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8"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2021</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-10160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Michigan</w:t>
            </w:r>
          </w:p>
        </w:tc>
        <w:tc>
          <w:tcPr>
            <w:tcW w:w="5500" w:type="dxa"/>
            <w:vAlign w:val="bottom"/>
          </w:tcPr>
          <w:p>
            <w:pPr>
              <w:jc w:val="right"/>
              <w:ind w:right="2230"/>
              <w:spacing w:after="0"/>
              <w:rPr>
                <w:sz w:val="20"/>
                <w:szCs w:val="20"/>
                <w:color w:val="auto"/>
              </w:rPr>
            </w:pPr>
            <w:r>
              <w:rPr>
                <w:rFonts w:ascii="Arial" w:cs="Arial" w:eastAsia="Arial" w:hAnsi="Arial"/>
                <w:sz w:val="18"/>
                <w:szCs w:val="18"/>
                <w:color w:val="auto"/>
              </w:rPr>
              <w:t>38-2032782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66"/>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5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stock, no par value, 21,785,299 as of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9440" w:type="dxa"/>
            <w:vAlign w:val="bottom"/>
            <w:gridSpan w:val="14"/>
            <w:vMerge w:val="restart"/>
          </w:tcPr>
          <w:p>
            <w:pPr>
              <w:ind w:left="320"/>
              <w:spacing w:after="0"/>
              <w:rPr>
                <w:sz w:val="20"/>
                <w:szCs w:val="20"/>
                <w:color w:val="auto"/>
              </w:rPr>
            </w:pPr>
            <w:r>
              <w:rPr>
                <w:rFonts w:ascii="Arial" w:cs="Arial" w:eastAsia="Arial" w:hAnsi="Arial"/>
                <w:sz w:val="18"/>
                <w:szCs w:val="18"/>
                <w:color w:val="auto"/>
              </w:rPr>
              <w:t>Financial Information</w:t>
            </w:r>
          </w:p>
        </w:tc>
        <w:tc>
          <w:tcPr>
            <w:tcW w:w="800" w:type="dxa"/>
            <w:vAlign w:val="bottom"/>
            <w:gridSpan w:val="2"/>
          </w:tcPr>
          <w:p>
            <w:pPr>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237"/>
        </w:trPr>
        <w:tc>
          <w:tcPr>
            <w:tcW w:w="1020" w:type="dxa"/>
            <w:vAlign w:val="bottom"/>
            <w:vMerge w:val="continue"/>
          </w:tcPr>
          <w:p>
            <w:pPr>
              <w:spacing w:after="0"/>
              <w:rPr>
                <w:sz w:val="20"/>
                <w:szCs w:val="20"/>
                <w:color w:val="auto"/>
              </w:rPr>
            </w:pPr>
          </w:p>
        </w:tc>
        <w:tc>
          <w:tcPr>
            <w:tcW w:w="9440" w:type="dxa"/>
            <w:vAlign w:val="bottom"/>
            <w:gridSpan w:val="14"/>
            <w:vMerge w:val="continue"/>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5"/>
                <w:szCs w:val="15"/>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March 31, 2021 and December 31, 2020</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20" w:type="dxa"/>
            <w:vAlign w:val="bottom"/>
            <w:gridSpan w:val="1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Three-month periods ended March 31, 2021 and 2020</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5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Three-month periods ended March 31, 2021 and 2020</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9440" w:type="dxa"/>
            <w:vAlign w:val="bottom"/>
            <w:gridSpan w:val="14"/>
          </w:tcPr>
          <w:p>
            <w:pPr>
              <w:ind w:left="3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Three-month periods ended March 31, 2021 and 2020</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Shareholders' Equity Three-month periods ended March 31, 2021 and 2020</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3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82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32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Quantitative and Qualitative Disclosures about Market Risk</w:t>
              </w:r>
            </w:hyperlink>
          </w:p>
        </w:tc>
        <w:tc>
          <w:tcPr>
            <w:tcW w:w="268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40" w:type="dxa"/>
            <w:vAlign w:val="bottom"/>
            <w:gridSpan w:val="14"/>
            <w:shd w:val="clear" w:color="auto" w:fill="CCEEFF"/>
          </w:tcPr>
          <w:p>
            <w:pPr>
              <w:ind w:left="3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II -</w:t>
            </w:r>
          </w:p>
        </w:tc>
        <w:tc>
          <w:tcPr>
            <w:tcW w:w="9440" w:type="dxa"/>
            <w:vAlign w:val="bottom"/>
            <w:gridSpan w:val="14"/>
            <w:shd w:val="clear" w:color="auto" w:fill="CCEEFF"/>
          </w:tcPr>
          <w:p>
            <w:pPr>
              <w:ind w:left="320"/>
              <w:spacing w:after="0"/>
              <w:rPr>
                <w:sz w:val="20"/>
                <w:szCs w:val="20"/>
                <w:color w:val="auto"/>
              </w:rPr>
            </w:pPr>
            <w:r>
              <w:rPr>
                <w:rFonts w:ascii="Arial" w:cs="Arial" w:eastAsia="Arial" w:hAnsi="Arial"/>
                <w:sz w:val="18"/>
                <w:szCs w:val="18"/>
                <w:color w:val="auto"/>
              </w:rPr>
              <w:t>Other Information</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440" w:type="dxa"/>
            <w:vAlign w:val="bottom"/>
            <w:gridSpan w:val="14"/>
          </w:tcPr>
          <w:p>
            <w:pPr>
              <w:ind w:left="3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Risk Factors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Unregistered Sales of Equity Securities and Use of Proceeds</w:t>
              </w:r>
            </w:hyperlink>
          </w:p>
        </w:tc>
        <w:tc>
          <w:tcPr>
            <w:tcW w:w="476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320" w:type="dxa"/>
            <w:vAlign w:val="bottom"/>
          </w:tcPr>
          <w:p>
            <w:pPr>
              <w:spacing w:after="0"/>
              <w:rPr>
                <w:sz w:val="15"/>
                <w:szCs w:val="15"/>
                <w:color w:val="auto"/>
              </w:rPr>
            </w:pPr>
          </w:p>
        </w:tc>
        <w:tc>
          <w:tcPr>
            <w:tcW w:w="9120" w:type="dxa"/>
            <w:vAlign w:val="bottom"/>
            <w:gridSpan w:val="13"/>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2"/>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credit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2020,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Part I - Item 1.</w:t>
            </w:r>
          </w:p>
        </w:tc>
        <w:tc>
          <w:tcPr>
            <w:tcW w:w="5500" w:type="dxa"/>
            <w:vAlign w:val="bottom"/>
            <w:gridSpan w:val="3"/>
          </w:tcPr>
          <w:p>
            <w:pPr>
              <w:jc w:val="right"/>
              <w:ind w:right="530"/>
              <w:spacing w:after="0"/>
              <w:rPr>
                <w:sz w:val="20"/>
                <w:szCs w:val="20"/>
                <w:color w:val="auto"/>
              </w:rPr>
            </w:pPr>
            <w:r>
              <w:rPr>
                <w:rFonts w:ascii="Arial" w:cs="Arial" w:eastAsia="Arial" w:hAnsi="Arial"/>
                <w:sz w:val="18"/>
                <w:szCs w:val="18"/>
                <w:color w:val="auto"/>
                <w:w w:val="97"/>
              </w:rPr>
              <w:t>INDEPENDENT BANK CORPORATION AND SUBSIDIARIES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5500" w:type="dxa"/>
            <w:vAlign w:val="bottom"/>
            <w:gridSpan w:val="3"/>
          </w:tcPr>
          <w:p>
            <w:pPr>
              <w:jc w:val="right"/>
              <w:ind w:right="790"/>
              <w:spacing w:after="0" w:line="190" w:lineRule="exact"/>
              <w:rPr>
                <w:sz w:val="20"/>
                <w:szCs w:val="20"/>
                <w:color w:val="auto"/>
              </w:rPr>
            </w:pPr>
            <w:r>
              <w:rPr>
                <w:rFonts w:ascii="Arial" w:cs="Arial" w:eastAsia="Arial" w:hAnsi="Arial"/>
                <w:sz w:val="18"/>
                <w:szCs w:val="18"/>
                <w:color w:val="auto"/>
                <w:w w:val="96"/>
              </w:rPr>
              <w:t>Condensed Consolidated Statements of Financial Condition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March 31,</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88"/>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Interest bearing deposits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62,699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1,247,280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3"/>
              </w:rPr>
              <w:t>Loans held for sale, carried at fair value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77,799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92,434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1,301,223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1,242,415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1,015,926</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475,337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2,784,224</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Allowance for credit losses (1)</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(46,755)</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Net Loans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2,737,469</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Other real estate and repossessed assets, net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Accrued income and other assets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62,456</w:t>
            </w: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1,153,473</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w w:val="91"/>
              </w:rPr>
              <w:t>Savings and interest-bearing checking</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1,526,465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Reciprocal</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556,185</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Time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287,402</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Brokered time</w:t>
            </w:r>
          </w:p>
        </w:tc>
        <w:tc>
          <w:tcPr>
            <w:tcW w:w="3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gridSpan w:val="2"/>
          </w:tcPr>
          <w:p>
            <w:pPr>
              <w:jc w:val="right"/>
              <w:ind w:right="1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3,858,575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3,637,355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Subordinated debt</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39,281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w w:val="97"/>
              </w:rPr>
              <w:t>Accrued expenses and other liabilities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68,319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4,039,111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3,814,491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5"/>
              </w:rPr>
              <w:t>Commitments and contingent liabilities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ind w:left="14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Common stock, no par value, 500,000,000 shares authorized; issued and outstanding: 21,773,734 shares at March</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31, 2021 and 21,853,800 shares at December 31, 2020</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339,353</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40,145</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80" w:type="dxa"/>
            <w:vAlign w:val="bottom"/>
            <w:gridSpan w:val="2"/>
          </w:tcPr>
          <w:p>
            <w:pPr>
              <w:jc w:val="right"/>
              <w:ind w:right="1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387,329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389,522</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right="3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4"/>
          </w:tcPr>
          <w:p>
            <w:pPr>
              <w:jc w:val="center"/>
              <w:ind w:left="570"/>
              <w:spacing w:after="0"/>
              <w:rPr>
                <w:sz w:val="20"/>
                <w:szCs w:val="20"/>
                <w:color w:val="auto"/>
              </w:rPr>
            </w:pPr>
            <w:r>
              <w:rPr>
                <w:rFonts w:ascii="Arial" w:cs="Arial" w:eastAsia="Arial" w:hAnsi="Arial"/>
                <w:sz w:val="18"/>
                <w:szCs w:val="18"/>
                <w:color w:val="auto"/>
                <w:w w:val="92"/>
              </w:rPr>
              <w:t>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0"/>
              </w:rPr>
              <w:t>(unaudited)</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900" w:type="dxa"/>
            <w:vAlign w:val="bottom"/>
            <w:gridSpan w:val="6"/>
          </w:tcPr>
          <w:p>
            <w:pPr>
              <w:spacing w:after="0"/>
              <w:rPr>
                <w:sz w:val="20"/>
                <w:szCs w:val="20"/>
                <w:color w:val="auto"/>
              </w:rPr>
            </w:pPr>
            <w:r>
              <w:rPr>
                <w:rFonts w:ascii="Arial" w:cs="Arial" w:eastAsia="Arial" w:hAnsi="Arial"/>
                <w:sz w:val="18"/>
                <w:szCs w:val="18"/>
                <w:color w:val="auto"/>
                <w:w w:val="86"/>
              </w:rPr>
              <w:t>(In thousands, except per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fees on loans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Interest on securities available for sale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Tax-exempt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Interest Income</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32,502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35,579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borrowings and subordinated debt and debentures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Net Interest Income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Provision for credit losses (1)</w:t>
            </w:r>
          </w:p>
        </w:tc>
        <w:tc>
          <w:tcPr>
            <w:tcW w:w="28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Net Interest Income After Provision for Credit Losses</w:t>
            </w: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30,758</w:t>
            </w: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Non-interest Income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Service charges on deposit accounts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12,828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Mortgage loan servicing,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Non-interest Income</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26,406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Compensation and employee benefits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18,522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Data processing</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Interchange expense</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Loan and collection</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Legal and professional</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FDIC deposit insurance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 Non-interest Expense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Income Before Income Tax</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27,143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22,037</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right="160" w:hanging="312"/>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(unaudited - In thousands)</w:t>
            </w:r>
          </w:p>
        </w:tc>
      </w:tr>
      <w:tr>
        <w:trPr>
          <w:trHeight w:val="216"/>
        </w:trPr>
        <w:tc>
          <w:tcPr>
            <w:tcW w:w="8680" w:type="dxa"/>
            <w:vAlign w:val="bottom"/>
            <w:shd w:val="clear" w:color="auto" w:fill="CCEEFF"/>
          </w:tcPr>
          <w:p>
            <w:pPr>
              <w:jc w:val="right"/>
              <w:ind w:right="7750"/>
              <w:spacing w:after="0"/>
              <w:rPr>
                <w:sz w:val="20"/>
                <w:szCs w:val="20"/>
                <w:color w:val="auto"/>
              </w:rPr>
            </w:pPr>
            <w:r>
              <w:rPr>
                <w:rFonts w:ascii="Arial" w:cs="Arial" w:eastAsia="Arial" w:hAnsi="Arial"/>
                <w:sz w:val="18"/>
                <w:szCs w:val="18"/>
                <w:color w:val="auto"/>
                <w:w w:val="90"/>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w:t>
            </w:r>
          </w:p>
        </w:tc>
      </w:tr>
      <w:tr>
        <w:trPr>
          <w:trHeight w:val="216"/>
        </w:trPr>
        <w:tc>
          <w:tcPr>
            <w:tcW w:w="8680" w:type="dxa"/>
            <w:vAlign w:val="bottom"/>
          </w:tcPr>
          <w:p>
            <w:pPr>
              <w:jc w:val="right"/>
              <w:ind w:right="6470"/>
              <w:spacing w:after="0"/>
              <w:rPr>
                <w:sz w:val="20"/>
                <w:szCs w:val="20"/>
                <w:color w:val="auto"/>
              </w:rPr>
            </w:pPr>
            <w:r>
              <w:rPr>
                <w:rFonts w:ascii="Arial" w:cs="Arial" w:eastAsia="Arial" w:hAnsi="Arial"/>
                <w:sz w:val="18"/>
                <w:szCs w:val="18"/>
                <w:color w:val="auto"/>
                <w:w w:val="89"/>
              </w:rPr>
              <w:t>Other comprehensive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w w:val="95"/>
              </w:rPr>
              <w:t>Securities 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Unrealized losses arising during period</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(5,781)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02"/>
        </w:trPr>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unrealized gains and losses for which a portion of other than temporary impairment has been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jc w:val="right"/>
              <w:ind w:right="6490"/>
              <w:spacing w:after="0"/>
              <w:rPr>
                <w:sz w:val="20"/>
                <w:szCs w:val="20"/>
                <w:color w:val="auto"/>
              </w:rPr>
            </w:pPr>
            <w:r>
              <w:rPr>
                <w:rFonts w:ascii="Arial" w:cs="Arial" w:eastAsia="Arial" w:hAnsi="Arial"/>
                <w:sz w:val="18"/>
                <w:szCs w:val="18"/>
                <w:color w:val="auto"/>
              </w:rPr>
              <w:t>recognized in earnings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Reclassification adjustments for gains included in earnings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Unrealized losses recognized in other comprehensive loss on securities available for sale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jc w:val="right"/>
              <w:ind w:right="675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(1,511)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Unrealized losses recognized in other comprehensive loss on securities available for sale,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jc w:val="right"/>
              <w:ind w:right="6810"/>
              <w:spacing w:after="0"/>
              <w:rPr>
                <w:sz w:val="20"/>
                <w:szCs w:val="20"/>
                <w:color w:val="auto"/>
              </w:rPr>
            </w:pPr>
            <w:r>
              <w:rPr>
                <w:rFonts w:ascii="Arial" w:cs="Arial" w:eastAsia="Arial" w:hAnsi="Arial"/>
                <w:sz w:val="18"/>
                <w:szCs w:val="18"/>
                <w:color w:val="auto"/>
                <w:w w:val="98"/>
              </w:rPr>
              <w:t>Derivative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arising during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Reclassification adjustment for expense recognized in earnings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Unrealized losses recognized in other comprehensive loss on derivative instruments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jc w:val="right"/>
              <w:ind w:right="675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Unrealized losses recognized in other comprehensive loss on derivative instruments,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(5,686)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56"/>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Three months ended March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8"/>
                <w:szCs w:val="18"/>
                <w:color w:val="auto"/>
                <w:w w:val="98"/>
              </w:rPr>
              <w:t>(unaudited - In thousands)</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241,856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Disbursements for loans held for sale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(365,381)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(227,765)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credit losses (1)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loan fees (costs)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interest bearing deposits - time</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mortgage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gains on securities available for sale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accrued income and other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Total Adjustments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17,472</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 Used in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securities available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107,834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42,744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(103,901)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the maturity of interest bearing deposits - time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the sale of portfolio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bank-owned life insurance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(235,794)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(58,588)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increase in total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221,220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46,837</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increase (decrease) in other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Federal Home Loan Bank Advances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Federal Home Loan Bank Advances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(4,592)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(4,477)</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23"/>
        </w:trPr>
        <w:tc>
          <w:tcPr>
            <w:tcW w:w="86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212,531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65,304</w:t>
            </w:r>
          </w:p>
        </w:tc>
      </w:tr>
      <w:tr>
        <w:trPr>
          <w:trHeight w:val="256"/>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Securitization of portfolio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Shareholders'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Common</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Retained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Shareholders’</w:t>
            </w: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40,145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389,522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Adoption of ASU 2016-13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 as adjusted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379,219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March 31,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$0.21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180,667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19,050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Share based compensation (issuance of 109,075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27,524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(5,686)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(5,686)</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March 31, 2021</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335,704</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47,287</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March 31,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678,929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(13,784)</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11,567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Share based compensation (issuance of 105,894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28,174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March 31, 2020</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2020 included in our Annual Report on Form 10-K.</w:t>
      </w:r>
    </w:p>
    <w:p>
      <w:pPr>
        <w:spacing w:after="0" w:line="18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our opinion, the accompanying unaudited condensed consolidated financial statements contain all the adjustments necessary to present fairly our consolidated financial condition as of March 31, 2021 and December 31, 2020, and the results of operations for the three month periods ended March 31, 2021 and 2020. The results of operations for the three month period ended March 31, 2021,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2020 Annual Report on Form 10-K for a disclosure of our accounting policies.</w:t>
      </w:r>
    </w:p>
    <w:p>
      <w:pPr>
        <w:spacing w:after="0" w:line="19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ASU:</w:t>
      </w:r>
    </w:p>
    <w:p>
      <w:pPr>
        <w:spacing w:after="0" w:line="252"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ACL for in scope financial assets (including collateral dependent assets).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began evaluating this ASU in 2016 and established a company-wide, cross-discipline governance structure, which provides implementation oversight. We continued to test and refine our current expected credit loss (“CECL”) models that satisfied the requirements of this ASU. Oversight and testing, as well as efforts to meet expanded disclosure requirements, extended through the end of 2020. We currently estimate losses over approximately a one year forecast period using external economic forecast sources, including the Federal Open Market Committee median economic projections, and then revert to longer term historical loss experience to estimate losses over more extended periods. We were originally required to adopt this ASU on January 1, 2020 but section 4014 of the Coronavirus Aid, Relief, and Economic Security (‘‘CARES’’) Act allowed for temporary relief from applying this ASU. Under the amended CARES Act we were allowed to delay the adoption of this ASU until the earlier of the termination of the national emergency that was declared on March 13, 2020, or January 1, 2022. Early adoption was also allowed on either January 1, 2020 or January 1, 2021. As such, we chose to delay the adoption of this ASU during 2020 and adopted this ASU on January 1, 2021. Results for the reporting periods after January 1, 2021 are presented under this new ASU while prior period amounts continue to be reported in accordance with previously applicable accounting guidance.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this ASU using the modified retrospective method for all financial assets measured at amortized cost and unfunded lending commitments. As of January 1, 2021 we increased the ACL by $11.7 million which was primarily driven by the longer contractual maturities of our mortgage and consumer installment loan portfolio segments. In addition, we increased the allowance for losses related to unfunded loan commitments by $1.5 million. The ultimate impact of adopting this ASU, and at each subsequent reporting period, is highly dependent on credit quality, economic forecasts and conditions, composition of our loan portfolios and securities available for sale, along with other management judgments. As of January 1, 2021, we recorded a cumulative-effect adjustment of $10.3 million to decrease retained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Based on our evaluation of securities available for sale, we did not record an ACL on these securities under this ASU.</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adopted this ASU using the prospective transition approach for financial assets purchased with credit deterioration (“PCD”) that were previously classified as PCI and accounted for under accounting standards codification (“ASC”) 310-30. In accordance with this ASU, we did not reassess whether PCI assets met the definition of PCD assets as of the date of adoption. On January 1, 2021, the amortized cost basis of the PCD assets were adjusted to reflect the addition of $0.13 million to the ACL for loans. The remaining noncredit discount in the amount of $0.34 million (based on the adjusted amortized cost basis) will be accreted into interest income at the effective interest rate as of January 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The impact of the adoption of this ASU follows: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As Reported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Under</w:t>
            </w:r>
          </w:p>
        </w:tc>
        <w:tc>
          <w:tcPr>
            <w:tcW w:w="1500" w:type="dxa"/>
            <w:vAlign w:val="bottom"/>
            <w:gridSpan w:val="3"/>
          </w:tcPr>
          <w:p>
            <w:pPr>
              <w:spacing w:after="0"/>
              <w:rPr>
                <w:sz w:val="20"/>
                <w:szCs w:val="20"/>
                <w:color w:val="auto"/>
              </w:rPr>
            </w:pPr>
            <w:r>
              <w:rPr>
                <w:rFonts w:ascii="Arial" w:cs="Arial" w:eastAsia="Arial" w:hAnsi="Arial"/>
                <w:sz w:val="18"/>
                <w:szCs w:val="18"/>
                <w:color w:val="auto"/>
              </w:rPr>
              <w:t>Pre-ASU 2016-13</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Impact of</w:t>
            </w:r>
          </w:p>
        </w:tc>
      </w:tr>
      <w:tr>
        <w:trPr>
          <w:trHeight w:val="237"/>
        </w:trPr>
        <w:tc>
          <w:tcPr>
            <w:tcW w:w="71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ASU 2016-13</w:t>
            </w:r>
          </w:p>
        </w:tc>
        <w:tc>
          <w:tcPr>
            <w:tcW w:w="2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Adoption</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ASU 2016-13</w:t>
            </w:r>
          </w:p>
        </w:tc>
      </w:tr>
      <w:tr>
        <w:trPr>
          <w:trHeight w:val="418"/>
        </w:trPr>
        <w:tc>
          <w:tcPr>
            <w:tcW w:w="718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1,242,510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180" w:type="dxa"/>
            <w:vAlign w:val="bottom"/>
          </w:tcPr>
          <w:p>
            <w:pPr>
              <w:ind w:left="260"/>
              <w:spacing w:after="0"/>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1,015,926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7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80" w:type="dxa"/>
            <w:vAlign w:val="bottom"/>
          </w:tcPr>
          <w:p>
            <w:pPr>
              <w:ind w:left="400"/>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2,733,812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2,733,678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(11,708)</w:t>
            </w:r>
          </w:p>
        </w:tc>
      </w:tr>
      <w:tr>
        <w:trPr>
          <w:trHeight w:val="27"/>
        </w:trPr>
        <w:tc>
          <w:tcPr>
            <w:tcW w:w="7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80" w:type="dxa"/>
            <w:vAlign w:val="bottom"/>
          </w:tcPr>
          <w:p>
            <w:pPr>
              <w:ind w:left="400"/>
              <w:spacing w:after="0"/>
              <w:rPr>
                <w:sz w:val="20"/>
                <w:szCs w:val="20"/>
                <w:color w:val="auto"/>
              </w:rPr>
            </w:pPr>
            <w:r>
              <w:rPr>
                <w:rFonts w:ascii="Arial" w:cs="Arial" w:eastAsia="Arial" w:hAnsi="Arial"/>
                <w:sz w:val="18"/>
                <w:szCs w:val="18"/>
                <w:color w:val="auto"/>
              </w:rPr>
              <w:t>Net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2,686,675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2,698,249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(11,574)</w:t>
            </w:r>
          </w:p>
        </w:tc>
      </w:tr>
      <w:tr>
        <w:trPr>
          <w:trHeight w:val="21"/>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assets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1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4,195,179</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4,204,013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(8,834)</w:t>
            </w:r>
          </w:p>
        </w:tc>
      </w:tr>
      <w:tr>
        <w:trPr>
          <w:trHeight w:val="21"/>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Liabilities and shareholders's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 on unfunded lending commitments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1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3,815,960</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3,814,491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r>
      <w:tr>
        <w:trPr>
          <w:trHeight w:val="21"/>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18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379,219</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389,522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(10,303)</w:t>
            </w:r>
          </w:p>
        </w:tc>
      </w:tr>
      <w:tr>
        <w:trPr>
          <w:trHeight w:val="21"/>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4,195,179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3.  Securities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March 31, 2021</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399,290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3,315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400,420</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41,624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42,817</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226,812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228,530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438,721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7,274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444,688</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105,293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107,823</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1,234,450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1,247,280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2020</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340,224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344,582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41,429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252,596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315,780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8,691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324,293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1,052,132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color w:val="auto"/>
                <w:w w:val="97"/>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2,184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185,651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87,301</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87,301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20,403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305,819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28,957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29,757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available for sale was needed at March 31, 2021. Accrued interest receivable on securities available for sale totaled $5.1 million at March 31, 2021 and is excluded from the estimate of credit losses.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 xml:space="preserve">U.S. agency, U.S. agency residential mortgage-backed and U.S. agency commercial mortgage-backed securities — at March 31, 2021, we had </w:t>
      </w:r>
      <w:r>
        <w:rPr>
          <w:rFonts w:ascii="Arial" w:cs="Arial" w:eastAsia="Arial" w:hAnsi="Arial"/>
          <w:sz w:val="18"/>
          <w:szCs w:val="18"/>
          <w:color w:val="000000"/>
        </w:rPr>
        <w:t>25</w:t>
      </w:r>
      <w:r>
        <w:rPr>
          <w:rFonts w:ascii="Arial" w:cs="Arial" w:eastAsia="Arial" w:hAnsi="Arial"/>
          <w:sz w:val="18"/>
          <w:szCs w:val="18"/>
          <w:color w:val="231F20"/>
        </w:rPr>
        <w:t xml:space="preserve"> U.S. agency, </w:t>
      </w:r>
      <w:r>
        <w:rPr>
          <w:rFonts w:ascii="Arial" w:cs="Arial" w:eastAsia="Arial" w:hAnsi="Arial"/>
          <w:sz w:val="18"/>
          <w:szCs w:val="18"/>
          <w:color w:val="000000"/>
        </w:rPr>
        <w:t>57</w:t>
      </w:r>
      <w:r>
        <w:rPr>
          <w:rFonts w:ascii="Arial" w:cs="Arial" w:eastAsia="Arial" w:hAnsi="Arial"/>
          <w:sz w:val="18"/>
          <w:szCs w:val="18"/>
          <w:color w:val="231F20"/>
        </w:rPr>
        <w:t xml:space="preserve"> U.S. agency residential mortgage-backed and </w:t>
      </w:r>
      <w:r>
        <w:rPr>
          <w:rFonts w:ascii="Arial" w:cs="Arial" w:eastAsia="Arial" w:hAnsi="Arial"/>
          <w:sz w:val="18"/>
          <w:szCs w:val="18"/>
          <w:color w:val="000000"/>
        </w:rPr>
        <w:t>two</w:t>
      </w:r>
      <w:r>
        <w:rPr>
          <w:rFonts w:ascii="Arial" w:cs="Arial" w:eastAsia="Arial" w:hAnsi="Arial"/>
          <w:sz w:val="18"/>
          <w:szCs w:val="18"/>
          <w:color w:val="231F20"/>
        </w:rPr>
        <w:t xml:space="preserve">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Private label mortgage backed, other asset backed and corporate securities — at March 31, 2021, we had </w:t>
      </w:r>
      <w:r>
        <w:rPr>
          <w:rFonts w:ascii="Arial" w:cs="Arial" w:eastAsia="Arial" w:hAnsi="Arial"/>
          <w:sz w:val="18"/>
          <w:szCs w:val="18"/>
          <w:color w:val="000000"/>
        </w:rPr>
        <w:t>11</w:t>
      </w:r>
      <w:r>
        <w:rPr>
          <w:rFonts w:ascii="Arial" w:cs="Arial" w:eastAsia="Arial" w:hAnsi="Arial"/>
          <w:sz w:val="18"/>
          <w:szCs w:val="18"/>
          <w:color w:val="231F20"/>
        </w:rPr>
        <w:t xml:space="preserve"> private label mortgage backed, </w:t>
      </w:r>
      <w:r>
        <w:rPr>
          <w:rFonts w:ascii="Arial" w:cs="Arial" w:eastAsia="Arial" w:hAnsi="Arial"/>
          <w:sz w:val="18"/>
          <w:szCs w:val="18"/>
          <w:color w:val="000000"/>
        </w:rPr>
        <w:t>20</w:t>
      </w:r>
      <w:r>
        <w:rPr>
          <w:rFonts w:ascii="Arial" w:cs="Arial" w:eastAsia="Arial" w:hAnsi="Arial"/>
          <w:sz w:val="18"/>
          <w:szCs w:val="18"/>
          <w:color w:val="231F20"/>
        </w:rPr>
        <w:t xml:space="preserve"> other asset backed and </w:t>
      </w:r>
      <w:r>
        <w:rPr>
          <w:rFonts w:ascii="Arial" w:cs="Arial" w:eastAsia="Arial" w:hAnsi="Arial"/>
          <w:sz w:val="18"/>
          <w:szCs w:val="18"/>
          <w:color w:val="000000"/>
        </w:rPr>
        <w:t>19</w:t>
      </w:r>
      <w:r>
        <w:rPr>
          <w:rFonts w:ascii="Arial" w:cs="Arial" w:eastAsia="Arial" w:hAnsi="Arial"/>
          <w:sz w:val="18"/>
          <w:szCs w:val="18"/>
          <w:color w:val="231F20"/>
        </w:rPr>
        <w:t xml:space="preserve"> corporate securities whose fair value is less than amortized cost. The unrealized losses are primarily due to credit spread widening </w:t>
      </w:r>
      <w:r>
        <w:rPr>
          <w:rFonts w:ascii="Arial" w:cs="Arial" w:eastAsia="Arial" w:hAnsi="Arial"/>
          <w:sz w:val="18"/>
          <w:szCs w:val="18"/>
          <w:color w:val="000000"/>
        </w:rPr>
        <w:t>and/or an</w:t>
      </w:r>
      <w:r>
        <w:rPr>
          <w:rFonts w:ascii="Arial" w:cs="Arial" w:eastAsia="Arial" w:hAnsi="Arial"/>
          <w:sz w:val="18"/>
          <w:szCs w:val="18"/>
          <w:color w:val="231F20"/>
        </w:rPr>
        <w:t xml:space="preserve"> </w:t>
      </w:r>
      <w:r>
        <w:rPr>
          <w:rFonts w:ascii="Arial" w:cs="Arial" w:eastAsia="Arial" w:hAnsi="Arial"/>
          <w:sz w:val="18"/>
          <w:szCs w:val="18"/>
          <w:color w:val="000000"/>
        </w:rPr>
        <w:t xml:space="preserve">increase in interest rates </w:t>
      </w:r>
      <w:r>
        <w:rPr>
          <w:rFonts w:ascii="Arial" w:cs="Arial" w:eastAsia="Arial" w:hAnsi="Arial"/>
          <w:sz w:val="18"/>
          <w:szCs w:val="18"/>
          <w:color w:val="231F20"/>
        </w:rPr>
        <w:t>since acquisition.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Obligations of states and political subdivisions — at March 31, 2021, we had </w:t>
      </w:r>
      <w:r>
        <w:rPr>
          <w:rFonts w:ascii="Arial" w:cs="Arial" w:eastAsia="Arial" w:hAnsi="Arial"/>
          <w:sz w:val="18"/>
          <w:szCs w:val="18"/>
          <w:color w:val="000000"/>
        </w:rPr>
        <w:t>107</w:t>
      </w:r>
      <w:r>
        <w:rPr>
          <w:rFonts w:ascii="Arial" w:cs="Arial" w:eastAsia="Arial" w:hAnsi="Arial"/>
          <w:sz w:val="18"/>
          <w:szCs w:val="18"/>
          <w:color w:val="231F20"/>
        </w:rPr>
        <w:t xml:space="preserve"> municipal securities whose fair value is less than amortized cost.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unrealized losses are primarily due to an increase in interest rates since acquisition.</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 xml:space="preserve">Trust preferred securities — at March 31, 2021, </w:t>
      </w:r>
      <w:r>
        <w:rPr>
          <w:rFonts w:ascii="Arial" w:cs="Arial" w:eastAsia="Arial" w:hAnsi="Arial"/>
          <w:sz w:val="16"/>
          <w:szCs w:val="16"/>
          <w:color w:val="000000"/>
        </w:rPr>
        <w:t>we had two trust preferred securities whose fair value is less than amortized cost. Both of our trust</w:t>
      </w:r>
      <w:r>
        <w:rPr>
          <w:rFonts w:ascii="Arial" w:cs="Arial" w:eastAsia="Arial" w:hAnsi="Arial"/>
          <w:sz w:val="16"/>
          <w:szCs w:val="16"/>
          <w:color w:val="231F20"/>
        </w:rPr>
        <w:t xml:space="preserve"> </w:t>
      </w:r>
      <w:r>
        <w:rPr>
          <w:rFonts w:ascii="Arial" w:cs="Arial" w:eastAsia="Arial" w:hAnsi="Arial"/>
          <w:sz w:val="16"/>
          <w:szCs w:val="16"/>
          <w:color w:val="000000"/>
        </w:rPr>
        <w:t>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$0.92 million as of March 31, 2021, continues to have satisfactory credit metrics and make interest payments.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At March 31, 2021 management does not intend to liquidate any of the securities discussed above and it is more likely than not that we will not be required to sell these securities prior to recovery of these unrealized losses.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no credit related charges in our Condensed Consolidated Statements of Operations related to securities available for sale during the three month periods ended March 31,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5"/>
              </w:rPr>
              <w:t>The amortized cost and fair value of securities available for sale at March 31, 2021, by contractual maturity, follow:</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16"/>
              <w:spacing w:after="0"/>
              <w:rPr>
                <w:sz w:val="20"/>
                <w:szCs w:val="20"/>
                <w:color w:val="auto"/>
              </w:rPr>
            </w:pPr>
            <w:r>
              <w:rPr>
                <w:rFonts w:ascii="Arial" w:cs="Arial" w:eastAsia="Arial" w:hAnsi="Arial"/>
                <w:sz w:val="18"/>
                <w:szCs w:val="18"/>
                <w:color w:val="auto"/>
                <w:w w:val="96"/>
              </w:rPr>
              <w:t>Amortized</w:t>
            </w: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22,748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99,528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102,202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83,969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348,963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352,889</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555,208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563,809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399,290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400,420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41,624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42,817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1,234,450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1,247,280</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21,743</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the ACL based on relevant available information from both internal and external sources, including historical loss trends, current conditions and forecasts, specific analysis of individual loans, and a review of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designated as a TDR, or mortgage and installment TDR loans with a rate concession. When we determine that foreclosure is probable or when repayment is expected to be provided substantially through the operation or sale of underlying collateral, expected credit losses are based on the fair value of the collateral at the reporting date, adjusted for selling costs. For loans evaluated on an individual basis that are not determined to be collateral dependent, a discounted cash flow analysis is performed to determine expected credit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the Bloomberg composite forecast of approximately 50 analysts as well as the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the two year average rates per segment as calculated through the Bank’s Asset and Liability Management program.</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the volume of loans on forbearance,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ACL by portfolio segment for the three month periods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adoption of ASC 326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Initial allowance on loans purchased with credit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deterioration</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9,530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18,448</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46,755</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credit losses (1)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10,212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7,416</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ACL and recorded investment in loans by portfolio segment at December 31, 2020 follows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ACL: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ending ACL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7,401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1,236,052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980,449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474,379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2,690,880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1,245,951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476,522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2,742,577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1,242,415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1,015,926</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475,337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1"/>
              </w:rPr>
              <w:t>March 31, 2021</w:t>
            </w: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Non- Accrual</w:t>
            </w:r>
          </w:p>
        </w:tc>
        <w:tc>
          <w:tcPr>
            <w:tcW w:w="20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Non-Accrual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4"/>
              </w:rPr>
              <w:t>with no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with an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11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Allowance for</w:t>
            </w: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Allowance for</w:t>
            </w:r>
          </w:p>
        </w:tc>
        <w:tc>
          <w:tcPr>
            <w:tcW w:w="2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w w:val="98"/>
              </w:rPr>
              <w:t>90+ and 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Non-Performing</w:t>
            </w:r>
          </w:p>
        </w:tc>
        <w:tc>
          <w:tcPr>
            <w:tcW w:w="1300" w:type="dxa"/>
            <w:vAlign w:val="bottom"/>
            <w:gridSpan w:val="3"/>
          </w:tcPr>
          <w:p>
            <w:pPr>
              <w:spacing w:after="0"/>
              <w:rPr>
                <w:sz w:val="20"/>
                <w:szCs w:val="20"/>
                <w:color w:val="auto"/>
              </w:rPr>
            </w:pPr>
            <w:r>
              <w:rPr>
                <w:rFonts w:ascii="Arial" w:cs="Arial" w:eastAsia="Arial" w:hAnsi="Arial"/>
                <w:sz w:val="18"/>
                <w:szCs w:val="18"/>
                <w:color w:val="auto"/>
              </w:rPr>
              <w:t>Non-Performing</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Credit Loss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Credit Loss</w:t>
            </w: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Non-Accrual</w:t>
            </w:r>
          </w:p>
        </w:tc>
        <w:tc>
          <w:tcPr>
            <w:tcW w:w="1000" w:type="dxa"/>
            <w:vAlign w:val="bottom"/>
          </w:tcPr>
          <w:p>
            <w:pPr>
              <w:jc w:val="right"/>
              <w:ind w:right="60"/>
              <w:spacing w:after="0"/>
              <w:rPr>
                <w:sz w:val="20"/>
                <w:szCs w:val="20"/>
                <w:color w:val="auto"/>
              </w:rPr>
            </w:pPr>
            <w:r>
              <w:rPr>
                <w:rFonts w:ascii="Arial" w:cs="Arial" w:eastAsia="Arial" w:hAnsi="Arial"/>
                <w:sz w:val="18"/>
                <w:szCs w:val="18"/>
                <w:color w:val="auto"/>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Loans (1)</w:t>
            </w:r>
          </w:p>
        </w:tc>
        <w:tc>
          <w:tcPr>
            <w:tcW w:w="0" w:type="dxa"/>
            <w:vAlign w:val="bottom"/>
          </w:tcPr>
          <w:p>
            <w:pPr>
              <w:spacing w:after="0"/>
              <w:rPr>
                <w:sz w:val="1"/>
                <w:szCs w:val="1"/>
                <w:color w:val="auto"/>
              </w:rPr>
            </w:pPr>
          </w:p>
        </w:tc>
      </w:tr>
      <w:tr>
        <w:trPr>
          <w:trHeight w:val="230"/>
        </w:trPr>
        <w:tc>
          <w:tcPr>
            <w:tcW w:w="34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and industrial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1-4 family owner occupied - jumbo</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0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1-4 family owner occupied - non-jumbo (3)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1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1-4 family non-owner occupied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10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1-4 family - 2nd lien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1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Resort lending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10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Boat lending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0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4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Recreational vehicle lending</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342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100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Non-performing loans at December 31, 2020 exclude PCI loans.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of government guaranteed loans at both March 31, 2021 and December 31, 2020.</w:t>
      </w:r>
    </w:p>
    <w:p>
      <w:pPr>
        <w:ind w:left="34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$0.406 million and $0.386 million of government guaranteed loans at March 31, 2021 and December 31, 2020,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8"/>
              </w:rPr>
              <w:t>The amortized cost of collateral-dependent loans by class follows: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8"/>
                <w:szCs w:val="18"/>
                <w:color w:val="auto"/>
              </w:rPr>
              <w:t>Collateral Type</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Real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Allowance for</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Credit 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auto"/>
              </w:rPr>
              <w:t>Commercial</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and industrial</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1-4 family owner occupied - jumbo</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 family owner occupied - non-jumbo</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1-4 family non-owner occupied</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1-4 family - 2nd lien</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Resort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Installment</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Boat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Recreational vehicle lending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160" w:type="dxa"/>
            <w:vAlign w:val="bottom"/>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51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151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1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aging analysis of loans by class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728,971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729,168</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572,055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572,055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446,426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447,865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249,846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251,498</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156,471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157,993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86,940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55,179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211,053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211,328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173,273</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97,932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98,418</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2,777,056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2,784,224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140"/>
              <w:spacing w:after="0"/>
              <w:rPr>
                <w:sz w:val="20"/>
                <w:szCs w:val="20"/>
                <w:color w:val="auto"/>
              </w:rPr>
            </w:pPr>
            <w:r>
              <w:rPr>
                <w:rFonts w:ascii="Arial" w:cs="Arial" w:eastAsia="Arial" w:hAnsi="Arial"/>
                <w:sz w:val="18"/>
                <w:szCs w:val="18"/>
                <w:color w:val="auto"/>
              </w:rPr>
              <w:t>Accrued interest excluded from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671,115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567,032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438,794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440,178</w:t>
            </w:r>
          </w:p>
        </w:tc>
        <w:tc>
          <w:tcPr>
            <w:tcW w:w="0" w:type="dxa"/>
            <w:vAlign w:val="bottom"/>
          </w:tcPr>
          <w:p>
            <w:pPr>
              <w:spacing w:after="0"/>
              <w:rPr>
                <w:sz w:val="1"/>
                <w:szCs w:val="1"/>
                <w:color w:val="auto"/>
              </w:rPr>
            </w:pPr>
          </w:p>
        </w:tc>
      </w:tr>
      <w:tr>
        <w:trPr>
          <w:trHeight w:val="202"/>
        </w:trPr>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2,843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264,730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267,573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159,776</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92,860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58,047</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207,513</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169,282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169,574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99,435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2,725,306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2,742,577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641"/>
        </w:trPr>
        <w:tc>
          <w:tcPr>
            <w:tcW w:w="3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Impaired loans at December 31, 2020 are as follows (1):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10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Impaired loans with no allocated ACL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Troubled debt restructurings ("TDR")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Non - TDR</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ACL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37,953</w:t>
            </w:r>
          </w:p>
        </w:tc>
      </w:tr>
      <w:tr>
        <w:trPr>
          <w:trHeight w:val="223"/>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9"/>
                <w:szCs w:val="19"/>
                <w:color w:val="auto"/>
              </w:rPr>
            </w:pPr>
          </w:p>
        </w:tc>
      </w:tr>
      <w:tr>
        <w:trPr>
          <w:trHeight w:val="257"/>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50,313</w:t>
            </w:r>
          </w:p>
        </w:tc>
        <w:tc>
          <w:tcPr>
            <w:tcW w:w="80" w:type="dxa"/>
            <w:vAlign w:val="bottom"/>
            <w:shd w:val="clear" w:color="auto" w:fill="CCEEFF"/>
          </w:tcPr>
          <w:p>
            <w:pPr>
              <w:spacing w:after="0"/>
              <w:rPr>
                <w:sz w:val="22"/>
                <w:szCs w:val="22"/>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 of ACL allocated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768</w:t>
            </w:r>
          </w:p>
        </w:tc>
      </w:tr>
      <w:tr>
        <w:trPr>
          <w:trHeight w:val="256"/>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amount of ACL allocated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Impaired loans by class at December 31, 2020 are as follows (1):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Unpaid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Related</w:t>
            </w: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ACL (1)</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ACL recorded: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With an ACL 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51,105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7,096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56"/>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Average recorded investment in and interest income earned on impaired loans by class for the three month period ending March 31, 2020, follows (1):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56"/>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6"/>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ACL recorded:</w:t>
            </w:r>
          </w:p>
        </w:tc>
        <w:tc>
          <w:tcPr>
            <w:tcW w:w="120" w:type="dxa"/>
            <w:vAlign w:val="bottom"/>
          </w:tcPr>
          <w:p>
            <w:pPr>
              <w:spacing w:after="0"/>
              <w:rPr>
                <w:sz w:val="17"/>
                <w:szCs w:val="17"/>
                <w:color w:val="auto"/>
              </w:rPr>
            </w:pPr>
          </w:p>
        </w:tc>
        <w:tc>
          <w:tcPr>
            <w:tcW w:w="10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With an a ACL recorded: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12,430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57,880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12,507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56"/>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TDRs follow:</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March 31, 2021</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78"/>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39,711</w:t>
            </w:r>
          </w:p>
        </w:tc>
      </w:tr>
      <w:tr>
        <w:trPr>
          <w:trHeight w:val="263"/>
        </w:trPr>
        <w:tc>
          <w:tcPr>
            <w:tcW w:w="3400" w:type="dxa"/>
            <w:vAlign w:val="bottom"/>
          </w:tcPr>
          <w:p>
            <w:pPr>
              <w:spacing w:after="0"/>
              <w:rPr>
                <w:sz w:val="20"/>
                <w:szCs w:val="20"/>
                <w:color w:val="auto"/>
              </w:rPr>
            </w:pPr>
            <w:r>
              <w:rPr>
                <w:rFonts w:ascii="Arial" w:cs="Arial" w:eastAsia="Arial" w:hAnsi="Arial"/>
                <w:sz w:val="18"/>
                <w:szCs w:val="18"/>
                <w:color w:val="auto"/>
              </w:rPr>
              <w:t>Non-performing TDRs (2)</w:t>
            </w: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1,459</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36,138</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42,275</w:t>
            </w:r>
          </w:p>
        </w:tc>
        <w:tc>
          <w:tcPr>
            <w:tcW w:w="60" w:type="dxa"/>
            <w:vAlign w:val="bottom"/>
            <w:tcBorders>
              <w:bottom w:val="single" w:sz="8" w:color="CCEEFF"/>
            </w:tcBorders>
            <w:shd w:val="clear" w:color="auto" w:fill="CCEEFF"/>
          </w:tcPr>
          <w:p>
            <w:pPr>
              <w:spacing w:after="0"/>
              <w:rPr>
                <w:sz w:val="22"/>
                <w:szCs w:val="22"/>
                <w:color w:val="auto"/>
              </w:rPr>
            </w:pPr>
          </w:p>
        </w:tc>
      </w:tr>
      <w:tr>
        <w:trPr>
          <w:trHeight w:val="459"/>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December 31, 2020</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78"/>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44,341</w:t>
            </w:r>
          </w:p>
        </w:tc>
      </w:tr>
      <w:tr>
        <w:trPr>
          <w:trHeight w:val="263"/>
        </w:trPr>
        <w:tc>
          <w:tcPr>
            <w:tcW w:w="3400" w:type="dxa"/>
            <w:vAlign w:val="bottom"/>
          </w:tcPr>
          <w:p>
            <w:pPr>
              <w:spacing w:after="0"/>
              <w:rPr>
                <w:sz w:val="20"/>
                <w:szCs w:val="20"/>
                <w:color w:val="auto"/>
              </w:rPr>
            </w:pPr>
            <w:r>
              <w:rPr>
                <w:rFonts w:ascii="Arial" w:cs="Arial" w:eastAsia="Arial" w:hAnsi="Arial"/>
                <w:sz w:val="18"/>
                <w:szCs w:val="18"/>
                <w:color w:val="auto"/>
              </w:rPr>
              <w:t>Non-performing TDRs (2)</w:t>
            </w: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2,732</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$4.6 million and $4.8 million of specific reserves to customers whose loan terms have been modified in troubled debt restructurings (“TDR”) at March 31, 2021 and December 31, 2020, respectively.</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2021 and 2020, the terms of certain loans were modified as TDRs. The modification of the terms of such loans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Loans that have been classified as TDRs during the three-month periods ended March 31 follow:</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100" w:type="dxa"/>
            <w:vAlign w:val="bottom"/>
          </w:tcPr>
          <w:p>
            <w:pPr>
              <w:spacing w:after="0"/>
              <w:rPr>
                <w:sz w:val="24"/>
                <w:szCs w:val="24"/>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24"/>
                <w:szCs w:val="24"/>
                <w:color w:val="auto"/>
              </w:rPr>
            </w:pP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w w:val="99"/>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Contracts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8"/>
                <w:szCs w:val="18"/>
                <w:color w:val="auto"/>
                <w:w w:val="93"/>
              </w:rPr>
              <w:t>(Dollars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TDRs described above for 2021 had no impact on the allowance for credit losses and resulted in zero charge offs while the TDRs described above for 2020 increased the allowance for credit losses by $0.27 million and resulted in zero charge offs.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TDRs that subsequently defaulted within twelve months following the modification during the three months periods ended March 31,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Non-TDR Loan Modifications and Paycheck Protection Program (“PPP”) due to COVID-19 - </w:t>
      </w:r>
      <w:r>
        <w:rPr>
          <w:rFonts w:ascii="Arial" w:cs="Arial" w:eastAsia="Arial" w:hAnsi="Arial"/>
          <w:sz w:val="17"/>
          <w:szCs w:val="17"/>
          <w:color w:val="auto"/>
        </w:rPr>
        <w:t>On March 22, 2020, the federal banking agencies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(less than 30 days past due) as of the implementation date of a relief program are not TDRs. In addition, on March 27, 2020, the CARES Act was signed into law. Section 4013 of the CARES Act also addressed COVID-19 related modifications and specified that COVID-19 related modifications on loans that were current (less than 30 days past due)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accommodations entered into under this guidance as of March 31, 2021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 of Total</w:t>
            </w: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Loans (#)</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1,301,223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15,263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999,982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Installment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2,784,224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59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3,072,491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720" w:firstLine="8"/>
        <w:spacing w:after="0" w:line="529"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delegated authority from all investors to grant these deferrals on their behalf. Information on subsequent accommodation extensions follows: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Retail Loan COVID-19 Subsequent Accomodations (1)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Loans (#)</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Loans ($)</w:t>
            </w:r>
          </w:p>
        </w:tc>
        <w:tc>
          <w:tcPr>
            <w:tcW w:w="100" w:type="dxa"/>
            <w:vAlign w:val="bottom"/>
          </w:tcPr>
          <w:p>
            <w:pPr>
              <w:spacing w:after="0"/>
              <w:rPr>
                <w:sz w:val="21"/>
                <w:szCs w:val="2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420"/>
              <w:spacing w:after="0"/>
              <w:rPr>
                <w:sz w:val="20"/>
                <w:szCs w:val="20"/>
                <w:color w:val="auto"/>
              </w:rPr>
            </w:pPr>
            <w:r>
              <w:rPr>
                <w:rFonts w:ascii="Arial" w:cs="Arial" w:eastAsia="Arial" w:hAnsi="Arial"/>
                <w:sz w:val="18"/>
                <w:szCs w:val="18"/>
                <w:color w:val="auto"/>
              </w:rPr>
              <w:t>(Dollars in thousands)</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11,658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Installment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1400" w:hanging="5532"/>
        <w:spacing w:after="0" w:line="778" w:lineRule="auto"/>
        <w:tabs>
          <w:tab w:leader="none" w:pos="3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accommodations are extensions of the original accommodations that were given as summarized in the paragraph above.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CARES Act also included an initial $349 billion loan program administered through the U.S. Small Business Administration (‘‘SBA’’) referred to as the PPP. Under the PPP, small businesses and other entities and individuals can apply for loans from existing SBA lenders and other approved regulated lenders that enroll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initially closed on August 8, 2020 (“Round 1”). On December 27, 2020, the Economic Aid to Hard-Hit Small Businesses, Nonprofits, and Venues Act (‘‘Economic Aid Act’’) was signed into law which allocates an additional $284 billion in funding for the PPP (“Round 2”). The Economic Aid Act reopens the PPP through March 31, 2021 with generally the same terms and conditions as originally enacted under the CARES Act while clarifying eligibility and ineligibility for certain entities and expanding the permitted uses of PPP funds. In addition, the Economic Aid Act simplifies the loan forgiveness process for PPP loans of $150,000 or less. The Economic Aid Act also establishes second draw loans for entities that have already used the initial PPP funds, subject to numerous limitations and eligibility criteria. PPP Round 2 loans are eligible for forgiveness similar to Round 1 PPP loans, subject to limitations set forth in the Economic Aid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following table summarizes PPP loans outstanding:</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b w:val="1"/>
                <w:bCs w:val="1"/>
                <w:color w:val="auto"/>
              </w:rPr>
              <w:t>Paycheck Protection Program</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80" w:type="dxa"/>
            <w:vAlign w:val="bottom"/>
          </w:tcPr>
          <w:p>
            <w:pPr>
              <w:spacing w:after="0"/>
              <w:rPr>
                <w:sz w:val="24"/>
                <w:szCs w:val="24"/>
                <w:color w:val="auto"/>
              </w:rPr>
            </w:pPr>
          </w:p>
        </w:tc>
        <w:tc>
          <w:tcPr>
            <w:tcW w:w="2720" w:type="dxa"/>
            <w:vAlign w:val="bottom"/>
            <w:gridSpan w:val="6"/>
          </w:tcPr>
          <w:p>
            <w:pPr>
              <w:ind w:left="460"/>
              <w:spacing w:after="0"/>
              <w:rPr>
                <w:sz w:val="20"/>
                <w:szCs w:val="20"/>
                <w:color w:val="auto"/>
              </w:rPr>
            </w:pPr>
            <w:r>
              <w:rPr>
                <w:rFonts w:ascii="Arial" w:cs="Arial" w:eastAsia="Arial" w:hAnsi="Arial"/>
                <w:sz w:val="18"/>
                <w:szCs w:val="18"/>
                <w:color w:val="auto"/>
              </w:rPr>
              <w:t>As of March 31, 2021</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As of December 31, 2020</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720" w:type="dxa"/>
            <w:vAlign w:val="bottom"/>
            <w:gridSpan w:val="6"/>
          </w:tcPr>
          <w:p>
            <w:pPr>
              <w:ind w:left="460"/>
              <w:spacing w:after="0"/>
              <w:rPr>
                <w:sz w:val="20"/>
                <w:szCs w:val="20"/>
                <w:color w:val="auto"/>
              </w:rPr>
            </w:pPr>
            <w:r>
              <w:rPr>
                <w:rFonts w:ascii="Arial" w:cs="Arial" w:eastAsia="Arial" w:hAnsi="Arial"/>
                <w:sz w:val="18"/>
                <w:szCs w:val="18"/>
                <w:color w:val="auto"/>
              </w:rPr>
              <w:t>(Dollars in thousands)</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 Round 1 loans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105,934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169,782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Closed and outstanding - Round 2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128,240</w:t>
            </w:r>
          </w:p>
        </w:tc>
        <w:tc>
          <w:tcPr>
            <w:tcW w:w="2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closed and outstanding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234,174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Unaccreted net fees remaining at period end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6,816</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79" w:lineRule="auto"/>
        <w:tabs>
          <w:tab w:leader="none" w:pos="3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loans are included in the commercial and industrial class of the commercial loan portfolio segment. As these loans are 100% guaranteed through the SBA the allowance for credit losses recorded on these loans is zero. Interest and fees on loans in our consolidated statement of operations includes $2.1 million during the three month period ended March 31, 2021, related to the accretion of net loan fees on PPP loans. No such accretion is included in the comparable prior year period.</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231F20"/>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March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3"/>
              </w:rPr>
              <w:t>Revolving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12"/>
            <w:vMerge w:val="restart"/>
          </w:tcPr>
          <w:p>
            <w:pPr>
              <w:spacing w:after="0"/>
              <w:rPr>
                <w:sz w:val="20"/>
                <w:szCs w:val="20"/>
                <w:color w:val="auto"/>
              </w:rPr>
            </w:pPr>
            <w:r>
              <w:rPr>
                <w:rFonts w:ascii="Arial" w:cs="Arial" w:eastAsia="Arial" w:hAnsi="Arial"/>
                <w:sz w:val="18"/>
                <w:szCs w:val="18"/>
                <w:color w:val="auto"/>
                <w:w w:val="96"/>
              </w:rPr>
              <w:t>Term Loans Amortized Cost Basis by Origination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6"/>
              </w:rPr>
              <w:t>Amortized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080" w:type="dxa"/>
            <w:vAlign w:val="bottom"/>
            <w:gridSpan w:val="3"/>
          </w:tcPr>
          <w:p>
            <w:pPr>
              <w:jc w:val="right"/>
              <w:ind w:right="290"/>
              <w:spacing w:after="0"/>
              <w:rPr>
                <w:sz w:val="20"/>
                <w:szCs w:val="20"/>
                <w:color w:val="auto"/>
              </w:rPr>
            </w:pPr>
            <w:r>
              <w:rPr>
                <w:rFonts w:ascii="Arial" w:cs="Arial" w:eastAsia="Arial" w:hAnsi="Arial"/>
                <w:sz w:val="18"/>
                <w:szCs w:val="18"/>
                <w:color w:val="auto"/>
                <w:w w:val="76"/>
              </w:rPr>
              <w:t>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48,651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59,051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701,837</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3,736</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6,731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142,709</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130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88,190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567,904</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161,456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184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228,546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136,841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116,098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1,269,741</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5,245</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6,841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183,754</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144,233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1,301,223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314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December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5"/>
              </w:rPr>
              <w:t>Commercial</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Non-watch</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1"/>
              </w:rPr>
              <w:t>10-11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561,382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1,199,208</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March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color w:val="auto"/>
              </w:rPr>
              <w:t>Mortgage (1)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20"/>
              <w:spacing w:after="0" w:line="201" w:lineRule="exact"/>
              <w:rPr>
                <w:sz w:val="20"/>
                <w:szCs w:val="20"/>
                <w:color w:val="auto"/>
              </w:rPr>
            </w:pPr>
            <w:r>
              <w:rPr>
                <w:rFonts w:ascii="Arial" w:cs="Arial" w:eastAsia="Arial" w:hAnsi="Arial"/>
                <w:sz w:val="18"/>
                <w:szCs w:val="18"/>
                <w:color w:val="auto"/>
                <w:w w:val="93"/>
              </w:rPr>
              <w:t>Revolving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14"/>
            <w:vMerge w:val="restart"/>
          </w:tcPr>
          <w:p>
            <w:pPr>
              <w:spacing w:after="0"/>
              <w:rPr>
                <w:sz w:val="20"/>
                <w:szCs w:val="20"/>
                <w:color w:val="auto"/>
              </w:rPr>
            </w:pPr>
            <w:r>
              <w:rPr>
                <w:rFonts w:ascii="Arial" w:cs="Arial" w:eastAsia="Arial" w:hAnsi="Arial"/>
                <w:sz w:val="18"/>
                <w:szCs w:val="18"/>
                <w:color w:val="auto"/>
                <w:w w:val="93"/>
              </w:rPr>
              <w:t>Term Loans Amortized Cost Basis by Origination Year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1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line="203" w:lineRule="exact"/>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040" w:type="dxa"/>
            <w:vAlign w:val="bottom"/>
            <w:gridSpan w:val="4"/>
          </w:tcPr>
          <w:p>
            <w:pPr>
              <w:jc w:val="right"/>
              <w:ind w:right="230"/>
              <w:spacing w:after="0"/>
              <w:rPr>
                <w:sz w:val="20"/>
                <w:szCs w:val="20"/>
                <w:color w:val="auto"/>
              </w:rPr>
            </w:pPr>
            <w:r>
              <w:rPr>
                <w:rFonts w:ascii="Arial" w:cs="Arial" w:eastAsia="Arial" w:hAnsi="Arial"/>
                <w:sz w:val="18"/>
                <w:szCs w:val="18"/>
                <w:color w:val="auto"/>
                <w:w w:val="78"/>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30,345</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61,591</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106,976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36,152</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12,328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19,061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228,910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21,894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98,609</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13,041</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46,817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79,327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193,400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84,856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32,480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43,244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447,865</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5"/>
              </w:rPr>
              <w:t>1-4 family owner occupied - non-jumbo</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5,336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3,713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91,452</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7,567</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34,273</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12,627</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9,866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83,259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11,811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17,133</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39,315</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20,386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13,708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14,076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33,168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20,207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157,993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9,192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27,423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14,713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98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52"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52"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Mortgage - continued (1)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00"/>
              <w:spacing w:after="0" w:line="201" w:lineRule="exact"/>
              <w:rPr>
                <w:sz w:val="20"/>
                <w:szCs w:val="20"/>
                <w:color w:val="auto"/>
              </w:rPr>
            </w:pPr>
            <w:r>
              <w:rPr>
                <w:rFonts w:ascii="Arial" w:cs="Arial" w:eastAsia="Arial" w:hAnsi="Arial"/>
                <w:sz w:val="18"/>
                <w:szCs w:val="18"/>
                <w:color w:val="auto"/>
                <w:w w:val="96"/>
              </w:rPr>
              <w:t>Revolving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gridSpan w:val="13"/>
            <w:vMerge w:val="restart"/>
          </w:tcPr>
          <w:p>
            <w:pPr>
              <w:ind w:left="80"/>
              <w:spacing w:after="0"/>
              <w:rPr>
                <w:sz w:val="20"/>
                <w:szCs w:val="20"/>
                <w:color w:val="auto"/>
              </w:rPr>
            </w:pPr>
            <w:r>
              <w:rPr>
                <w:rFonts w:ascii="Arial" w:cs="Arial" w:eastAsia="Arial" w:hAnsi="Arial"/>
                <w:sz w:val="18"/>
                <w:szCs w:val="18"/>
                <w:color w:val="auto"/>
                <w:w w:val="94"/>
              </w:rPr>
              <w:t>Term Loans Amortized Cost Basis by Origination Year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1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00"/>
              <w:spacing w:after="0" w:line="203"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w:t>
            </w:r>
          </w:p>
        </w:tc>
        <w:tc>
          <w:tcPr>
            <w:tcW w:w="22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080" w:type="dxa"/>
            <w:vAlign w:val="bottom"/>
            <w:gridSpan w:val="4"/>
          </w:tcPr>
          <w:p>
            <w:pPr>
              <w:jc w:val="right"/>
              <w:ind w:right="310"/>
              <w:spacing w:after="0"/>
              <w:rPr>
                <w:sz w:val="20"/>
                <w:szCs w:val="20"/>
                <w:color w:val="auto"/>
              </w:rPr>
            </w:pPr>
            <w:r>
              <w:rPr>
                <w:rFonts w:ascii="Arial" w:cs="Arial" w:eastAsia="Arial" w:hAnsi="Arial"/>
                <w:sz w:val="18"/>
                <w:szCs w:val="18"/>
                <w:color w:val="auto"/>
                <w:w w:val="74"/>
              </w:rPr>
              <w:t>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21,455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6,481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1,443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50,679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55,686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Mortgage</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15,374</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43,190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19,919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10,199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23,612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31,991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467,035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52,911</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33,150</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19,683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49,477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221,439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108,704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4,220</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13,523</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33,921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4,636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126,355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Arial" w:cs="Arial" w:eastAsia="Arial" w:hAnsi="Arial"/>
                <w:sz w:val="18"/>
                <w:szCs w:val="18"/>
                <w:color w:val="auto"/>
                <w:w w:val="95"/>
              </w:rPr>
              <w:t>Accrued interest excluded from total $</w:t>
            </w:r>
          </w:p>
        </w:tc>
        <w:tc>
          <w:tcPr>
            <w:tcW w:w="700" w:type="dxa"/>
            <w:vAlign w:val="bottom"/>
          </w:tcPr>
          <w:p>
            <w:pPr>
              <w:jc w:val="right"/>
              <w:spacing w:after="0"/>
              <w:rPr>
                <w:sz w:val="20"/>
                <w:szCs w:val="20"/>
                <w:color w:val="auto"/>
              </w:rPr>
            </w:pPr>
            <w:r>
              <w:rPr>
                <w:rFonts w:ascii="Arial" w:cs="Arial" w:eastAsia="Arial" w:hAnsi="Arial"/>
                <w:sz w:val="18"/>
                <w:szCs w:val="18"/>
                <w:color w:val="auto"/>
              </w:rPr>
              <w:t>1,046</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Installment (1)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12"/>
          </w:tcPr>
          <w:p>
            <w:pPr>
              <w:jc w:val="right"/>
              <w:ind w:right="67"/>
              <w:spacing w:after="0"/>
              <w:rPr>
                <w:sz w:val="20"/>
                <w:szCs w:val="20"/>
                <w:color w:val="auto"/>
              </w:rPr>
            </w:pPr>
            <w:r>
              <w:rPr>
                <w:rFonts w:ascii="Arial" w:cs="Arial" w:eastAsia="Arial" w:hAnsi="Arial"/>
                <w:sz w:val="18"/>
                <w:szCs w:val="18"/>
                <w:color w:val="auto"/>
                <w:w w:val="91"/>
              </w:rPr>
              <w:t>Term Loans Amortized Cost Basis by Origination Year</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Prior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83"/>
              </w:rPr>
              <w:t>(In 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Boat lending</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26,975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21,766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121,136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9,823</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20,547</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51,649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48,062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37,152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22,923</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30,995</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211,328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Recreational vehicle lending</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5,012</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29,483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22,986</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7,246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5,361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35,059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52,093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8,538</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4,952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25,438</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21,017</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25,901</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19,240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12,194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8,366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11,700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98,418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installment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13,739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16,808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7,595</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12,484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73,834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58,499</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42,680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254,143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22,561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14,757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101,360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1,337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58,613</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129,643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79,265</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114"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14"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December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color w:val="auto"/>
              </w:rPr>
              <w:t>Mortgage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5"/>
              </w:rPr>
              <w:t>1-4 Family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Owner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Owner</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Occupied -</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Occupied -</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Non-owner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1-4 Family</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Resort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Jumbo</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Non-jumbo</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Occupied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2nd Lien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223,177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70,642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82,124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42,138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27,530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445,611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75,489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241,589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40,296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44,344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11,021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color w:val="auto"/>
              </w:rPr>
              <w:t>Installment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1"/>
              </w:rPr>
              <w:t>Recreational</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Boat</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Vehicle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95,890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37,512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257,091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8,794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207,513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169,574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476,522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$0.3 million and $0.7 million at March 31, 2021 and December 31, 2020, respectively. Retail mortgage loans secured by residential real estate properties for which formal foreclosure proceedings are in process according to local requirements totaled $0.3 million at both March 31, 2021 and December 31, 2020.</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 of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These transactions were done primarily for asset/liability management purposes.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18, 2020, our Board of Directors authorized a share repurchase plan (the “Repurchase Plan”) to buy back up to 1,100,000 shares of our outstanding common stock through December 31, 2021.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periods ended March 31, 2021 and 2020 repurchases were made totaling 180,667 shares and 678,929 shares of common stock, respectively, for an aggregate purchase price of $3.6 million and $13.8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r>
      <w:tr>
        <w:trPr>
          <w:trHeight w:val="216"/>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854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22,271</w:t>
            </w:r>
          </w:p>
        </w:tc>
      </w:tr>
      <w:tr>
        <w:trPr>
          <w:trHeight w:val="216"/>
        </w:trPr>
        <w:tc>
          <w:tcPr>
            <w:tcW w:w="854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57"/>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140"/>
              <w:spacing w:after="0"/>
              <w:rPr>
                <w:sz w:val="20"/>
                <w:szCs w:val="20"/>
                <w:color w:val="auto"/>
              </w:rPr>
            </w:pPr>
            <w:r>
              <w:rPr>
                <w:rFonts w:ascii="Arial" w:cs="Arial" w:eastAsia="Arial" w:hAnsi="Arial"/>
                <w:sz w:val="18"/>
                <w:szCs w:val="18"/>
                <w:color w:val="auto"/>
              </w:rPr>
              <w:t>Basic (1)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r>
      <w:tr>
        <w:trPr>
          <w:trHeight w:val="20"/>
        </w:trPr>
        <w:tc>
          <w:tcPr>
            <w:tcW w:w="8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both three month periods ended March 31, 2021 and 2020.</w:t>
      </w:r>
    </w:p>
    <w:p>
      <w:pPr>
        <w:spacing w:after="0" w:line="197" w:lineRule="exact"/>
        <w:rPr>
          <w:sz w:val="20"/>
          <w:szCs w:val="20"/>
          <w:color w:val="auto"/>
        </w:rPr>
      </w:pPr>
    </w:p>
    <w:p>
      <w:pPr>
        <w:ind w:left="340" w:hanging="287"/>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March 31,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5"/>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148,895</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155,900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187,834</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149,328</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816,485</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89"/>
              </w:rPr>
              <w:t>December 31, 2020</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5"/>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41,950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49,038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168,816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186,092</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147,456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815,576</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80" w:type="dxa"/>
            <w:vAlign w:val="bottom"/>
            <w:vMerge w:val="restart"/>
          </w:tcPr>
          <w:p>
            <w:pPr>
              <w:jc w:val="right"/>
              <w:ind w:right="151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3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3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have used variable-rate and short-term fixed-rate (less than 12 months) debt obligations to fund a portion of our Condensed Consolidated Statements of Financial Condition, which exposed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Arial" w:cs="Arial" w:eastAsia="Arial" w:hAnsi="Arial"/>
          <w:sz w:val="16"/>
          <w:szCs w:val="16"/>
          <w:color w:val="231F20"/>
        </w:rPr>
        <w:t>Cash</w:t>
      </w:r>
      <w:r>
        <w:rPr>
          <w:rFonts w:ascii="Arial" w:cs="Arial" w:eastAsia="Arial" w:hAnsi="Arial"/>
          <w:sz w:val="16"/>
          <w:szCs w:val="16"/>
          <w:color w:val="auto"/>
        </w:rPr>
        <w:t xml:space="preserve"> </w:t>
      </w:r>
      <w:r>
        <w:rPr>
          <w:rFonts w:ascii="Arial" w:cs="Arial" w:eastAsia="Arial" w:hAnsi="Arial"/>
          <w:sz w:val="16"/>
          <w:szCs w:val="16"/>
          <w:color w:val="231F20"/>
        </w:rPr>
        <w:t xml:space="preserve">Flow Hedges had included certain pay-fixed interest rate swap and interest rate cap agreements. Pay-fixed interest rate swap agreements convert the variable-rate cash flows on debt obligations to fixed-rates. </w:t>
      </w:r>
      <w:r>
        <w:rPr>
          <w:rFonts w:ascii="Arial" w:cs="Arial" w:eastAsia="Arial" w:hAnsi="Arial"/>
          <w:sz w:val="16"/>
          <w:szCs w:val="16"/>
          <w:color w:val="000000"/>
        </w:rPr>
        <w:t>Under interest-rate cap agreements, we will receive cash if interest rates rise above a</w:t>
      </w:r>
      <w:r>
        <w:rPr>
          <w:rFonts w:ascii="Arial" w:cs="Arial" w:eastAsia="Arial" w:hAnsi="Arial"/>
          <w:sz w:val="16"/>
          <w:szCs w:val="16"/>
          <w:color w:val="231F20"/>
        </w:rPr>
        <w:t xml:space="preserve"> </w:t>
      </w:r>
      <w:r>
        <w:rPr>
          <w:rFonts w:ascii="Arial" w:cs="Arial" w:eastAsia="Arial" w:hAnsi="Arial"/>
          <w:sz w:val="16"/>
          <w:szCs w:val="16"/>
          <w:color w:val="000000"/>
        </w:rPr>
        <w:t>predetermined level. As a 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and pay-fixed interest rate swap agreements, respectively to a no hedge designation. The $2.0 million and $0.5 million unrealized loss on our Cash Flow Hedge interest rate cap and pay-fixed interest rate swap agreements, respectively, which were included as a component of accumulated other comprehensive income at the time of the transfers, were being reclassified into earnings over the remaining life of the interest rate cap agreements and pay-fixed interest rate swap agreements. In the fourth quarter of 2020 it became probable that the forecasted transactions being hedged by these interest rate cap and pay-fixed interest rate swap agreements would not occur by the end of the originally specified time period. As a result, all remaining unrealized losses included as a component of accumulated other comprehensive income were reclassified into earnings at that time. The interest rate cap and pay-fixed interest rate swap agreements are now classified as a no hedge designation at March 31, 2021 and any changes in fair value since the transfers to the no hedge designation are recorded in earnings.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available for sale – tax-exempt in our Condensed Consolidated Statements of Operations.</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Values of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Asset Derivatives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Liability Derivatives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March 31,</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jc w:val="right"/>
              <w:ind w:right="410"/>
              <w:spacing w:after="0" w:line="201" w:lineRule="exact"/>
              <w:rPr>
                <w:sz w:val="20"/>
                <w:szCs w:val="20"/>
                <w:color w:val="auto"/>
              </w:rPr>
            </w:pPr>
            <w:r>
              <w:rPr>
                <w:rFonts w:ascii="Arial" w:cs="Arial" w:eastAsia="Arial" w:hAnsi="Arial"/>
                <w:sz w:val="18"/>
                <w:szCs w:val="18"/>
                <w:color w:val="auto"/>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6"/>
          </w:tcPr>
          <w:p>
            <w:pPr>
              <w:ind w:left="620"/>
              <w:spacing w:after="0" w:line="201" w:lineRule="exact"/>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7"/>
                <w:szCs w:val="17"/>
                <w:color w:val="auto"/>
              </w:rPr>
            </w:pPr>
          </w:p>
        </w:tc>
        <w:tc>
          <w:tcPr>
            <w:tcW w:w="2000" w:type="dxa"/>
            <w:vAlign w:val="bottom"/>
            <w:gridSpan w:val="5"/>
          </w:tcPr>
          <w:p>
            <w:pPr>
              <w:jc w:val="right"/>
              <w:ind w:right="41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4"/>
              </w:rPr>
              <w:t>2021</w:t>
            </w: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9"/>
              </w:rPr>
              <w:t>2020</w:t>
            </w: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9"/>
              </w:rPr>
              <w:t>2021</w:t>
            </w: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4"/>
              </w:rPr>
              <w:t>2020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Sheet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Location</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2"/>
              </w:rPr>
              <w:t>Value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vMerge w:val="restart"/>
          </w:tcPr>
          <w:p>
            <w:pPr>
              <w:spacing w:after="0"/>
              <w:rPr>
                <w:sz w:val="20"/>
                <w:szCs w:val="20"/>
                <w:color w:val="auto"/>
              </w:rPr>
            </w:pPr>
            <w:r>
              <w:rPr>
                <w:rFonts w:ascii="Arial" w:cs="Arial" w:eastAsia="Arial" w:hAnsi="Arial"/>
                <w:sz w:val="18"/>
                <w:szCs w:val="18"/>
                <w:color w:val="auto"/>
              </w:rPr>
              <w:t>Derivatives designated as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4"/>
          </w:tcPr>
          <w:p>
            <w:pPr>
              <w:ind w:left="26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Other assets</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2"/>
        </w:trPr>
        <w:tc>
          <w:tcPr>
            <w:tcW w:w="2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2"/>
              </w:rPr>
              <w:t>Derivatives not designated as</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Rate-lock mortgage loan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commitments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7,020</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w w:val="93"/>
              </w:rPr>
              <w:t>Mandatory commitments to</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sell mortgage loans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agreements - commercial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rPr>
              <w:t>Pay-variable interest rate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swap agreements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6,565</w:t>
            </w:r>
          </w:p>
        </w:tc>
        <w:tc>
          <w:tcPr>
            <w:tcW w:w="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9,700</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w w:val="88"/>
              </w:rPr>
              <w:t>Interest rate cap agreements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60</w:t>
            </w:r>
          </w:p>
        </w:tc>
        <w:tc>
          <w:tcPr>
            <w:tcW w:w="9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0"/>
              </w:rPr>
              <w:t>Other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ind w:left="60"/>
              <w:spacing w:after="0" w:line="203" w:lineRule="exact"/>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15,766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16,782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7,365</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11,754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38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 Periods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3"/>
              </w:rPr>
              <w:t>Location of</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Loss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Reclassified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vMerge w:val="restart"/>
          </w:tcPr>
          <w:p>
            <w:pPr>
              <w:ind w:left="640"/>
              <w:spacing w:after="0"/>
              <w:rPr>
                <w:sz w:val="20"/>
                <w:szCs w:val="20"/>
                <w:color w:val="auto"/>
              </w:rPr>
            </w:pPr>
            <w:r>
              <w:rPr>
                <w:rFonts w:ascii="Arial" w:cs="Arial" w:eastAsia="Arial" w:hAnsi="Arial"/>
                <w:sz w:val="18"/>
                <w:szCs w:val="18"/>
                <w:color w:val="auto"/>
              </w:rPr>
              <w:t>Loss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4"/>
              </w:rPr>
              <w:t>from</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3"/>
          </w:tcPr>
          <w:p>
            <w:pPr>
              <w:jc w:val="center"/>
              <w:ind w:right="238"/>
              <w:spacing w:after="0"/>
              <w:rPr>
                <w:sz w:val="20"/>
                <w:szCs w:val="20"/>
                <w:color w:val="auto"/>
              </w:rPr>
            </w:pPr>
            <w:r>
              <w:rPr>
                <w:rFonts w:ascii="Arial" w:cs="Arial" w:eastAsia="Arial" w:hAnsi="Arial"/>
                <w:sz w:val="18"/>
                <w:szCs w:val="18"/>
                <w:color w:val="auto"/>
                <w:w w:val="89"/>
              </w:rPr>
              <w:t>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Accumulated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2"/>
              </w:rPr>
              <w:t>Reclassified from</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gridSpan w:val="4"/>
          </w:tcPr>
          <w:p>
            <w:pPr>
              <w:jc w:val="center"/>
              <w:ind w:left="290"/>
              <w:spacing w:after="0"/>
              <w:rPr>
                <w:sz w:val="20"/>
                <w:szCs w:val="20"/>
                <w:color w:val="auto"/>
              </w:rPr>
            </w:pPr>
            <w:r>
              <w:rPr>
                <w:rFonts w:ascii="Arial" w:cs="Arial" w:eastAsia="Arial" w:hAnsi="Arial"/>
                <w:sz w:val="18"/>
                <w:szCs w:val="18"/>
                <w:color w:val="auto"/>
                <w:w w:val="89"/>
              </w:rPr>
              <w:t>Recognized in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Other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Accumulated Other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3"/>
          </w:tcPr>
          <w:p>
            <w:pPr>
              <w:jc w:val="center"/>
              <w:ind w:right="238"/>
              <w:spacing w:after="0"/>
              <w:rPr>
                <w:sz w:val="20"/>
                <w:szCs w:val="20"/>
                <w:color w:val="auto"/>
              </w:rPr>
            </w:pPr>
            <w:r>
              <w:rPr>
                <w:rFonts w:ascii="Arial" w:cs="Arial" w:eastAsia="Arial" w:hAnsi="Arial"/>
                <w:sz w:val="18"/>
                <w:szCs w:val="18"/>
                <w:color w:val="auto"/>
                <w:w w:val="93"/>
              </w:rPr>
              <w:t>Other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Comprehensive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Income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1"/>
              </w:rPr>
              <w:t>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Location of</w:t>
            </w:r>
          </w:p>
        </w:tc>
        <w:tc>
          <w:tcPr>
            <w:tcW w:w="18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3"/>
          </w:tcPr>
          <w:p>
            <w:pPr>
              <w:jc w:val="center"/>
              <w:ind w:right="238"/>
              <w:spacing w:after="0"/>
              <w:rPr>
                <w:sz w:val="20"/>
                <w:szCs w:val="20"/>
                <w:color w:val="auto"/>
              </w:rPr>
            </w:pPr>
            <w:r>
              <w:rPr>
                <w:rFonts w:ascii="Arial" w:cs="Arial" w:eastAsia="Arial" w:hAnsi="Arial"/>
                <w:sz w:val="18"/>
                <w:szCs w:val="18"/>
                <w:color w:val="auto"/>
                <w:w w:val="89"/>
              </w:rPr>
              <w:t>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into Income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4"/>
              </w:rPr>
              <w:t>into 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Gain (Loss)</w:t>
            </w:r>
          </w:p>
        </w:tc>
        <w:tc>
          <w:tcPr>
            <w:tcW w:w="18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8"/>
                <w:szCs w:val="18"/>
                <w:color w:val="auto"/>
                <w:w w:val="93"/>
              </w:rPr>
              <w:t>(Effective Portion)</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(Effective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5"/>
              </w:rPr>
              <w:t>(Effective Portion)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Recognized</w:t>
            </w:r>
          </w:p>
        </w:tc>
        <w:tc>
          <w:tcPr>
            <w:tcW w:w="180" w:type="dxa"/>
            <w:vAlign w:val="bottom"/>
          </w:tcPr>
          <w:p>
            <w:pPr>
              <w:spacing w:after="0"/>
              <w:rPr>
                <w:sz w:val="20"/>
                <w:szCs w:val="20"/>
                <w:color w:val="auto"/>
              </w:rPr>
            </w:pPr>
          </w:p>
        </w:tc>
        <w:tc>
          <w:tcPr>
            <w:tcW w:w="118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in Income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in Income</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Pay-fixed interest rate swap</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 - Commercial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loan</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Interest 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ind w:left="140"/>
              <w:spacing w:after="0"/>
              <w:rPr>
                <w:sz w:val="20"/>
                <w:szCs w:val="20"/>
                <w:color w:val="auto"/>
              </w:rPr>
            </w:pPr>
            <w:r>
              <w:rPr>
                <w:rFonts w:ascii="Arial" w:cs="Arial" w:eastAsia="Arial" w:hAnsi="Arial"/>
                <w:sz w:val="18"/>
                <w:szCs w:val="18"/>
                <w:color w:val="auto"/>
                <w:w w:val="96"/>
              </w:rPr>
              <w:t>Pay-fixed interest rate swap</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spacing w:after="0" w:line="189" w:lineRule="exact"/>
              <w:rPr>
                <w:sz w:val="20"/>
                <w:szCs w:val="20"/>
                <w:color w:val="auto"/>
              </w:rPr>
            </w:pPr>
            <w:r>
              <w:rPr>
                <w:rFonts w:ascii="Arial" w:cs="Arial" w:eastAsia="Arial" w:hAnsi="Arial"/>
                <w:sz w:val="18"/>
                <w:szCs w:val="18"/>
                <w:color w:val="auto"/>
              </w:rPr>
              <w:t>available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60"/>
              <w:spacing w:after="0"/>
              <w:rPr>
                <w:sz w:val="20"/>
                <w:szCs w:val="20"/>
                <w:color w:val="auto"/>
              </w:rPr>
            </w:pPr>
            <w:r>
              <w:rPr>
                <w:rFonts w:ascii="Arial" w:cs="Arial" w:eastAsia="Arial" w:hAnsi="Arial"/>
                <w:sz w:val="18"/>
                <w:szCs w:val="18"/>
                <w:color w:val="auto"/>
              </w:rPr>
              <w:t>agreement - Securities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for sale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60"/>
              <w:spacing w:after="0"/>
              <w:rPr>
                <w:sz w:val="20"/>
                <w:szCs w:val="20"/>
                <w:color w:val="auto"/>
              </w:rPr>
            </w:pPr>
            <w:r>
              <w:rPr>
                <w:rFonts w:ascii="Arial" w:cs="Arial" w:eastAsia="Arial" w:hAnsi="Arial"/>
                <w:sz w:val="18"/>
                <w:szCs w:val="18"/>
                <w:color w:val="auto"/>
              </w:rPr>
              <w:t>available for sale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tax-exempt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Cash Flow Hedges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Interest rate cap agreements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5"/>
              </w:rPr>
              <w:t>(14)Interest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40"/>
              <w:spacing w:after="0" w:line="201" w:lineRule="exact"/>
              <w:rPr>
                <w:sz w:val="20"/>
                <w:szCs w:val="20"/>
                <w:color w:val="auto"/>
              </w:rPr>
            </w:pPr>
            <w:r>
              <w:rPr>
                <w:rFonts w:ascii="Arial" w:cs="Arial" w:eastAsia="Arial" w:hAnsi="Arial"/>
                <w:sz w:val="18"/>
                <w:szCs w:val="18"/>
                <w:color w:val="auto"/>
                <w:w w:val="96"/>
              </w:rPr>
              <w:t>Pay-fixed interest rate swap</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7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w w:val="90"/>
              </w:rPr>
              <w:t>(392)Interest expense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(22)</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72"/>
              </w:rPr>
              <w:t>(75)</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Net gains 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40"/>
              <w:spacing w:after="0"/>
              <w:rPr>
                <w:sz w:val="20"/>
                <w:szCs w:val="20"/>
                <w:color w:val="auto"/>
              </w:rPr>
            </w:pPr>
            <w:r>
              <w:rPr>
                <w:rFonts w:ascii="Arial" w:cs="Arial" w:eastAsia="Arial" w:hAnsi="Arial"/>
                <w:sz w:val="18"/>
                <w:szCs w:val="18"/>
                <w:color w:val="auto"/>
              </w:rPr>
              <w:t>Rate-lock mortgage loan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Net gains 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Mandatory commitments to</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 mortgage loans</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2"/>
        </w:trPr>
        <w:tc>
          <w:tcPr>
            <w:tcW w:w="2300" w:type="dxa"/>
            <w:vAlign w:val="bottom"/>
          </w:tcPr>
          <w:p>
            <w:pPr>
              <w:ind w:left="140"/>
              <w:spacing w:after="0" w:line="201" w:lineRule="exact"/>
              <w:rPr>
                <w:sz w:val="20"/>
                <w:szCs w:val="20"/>
                <w:color w:val="auto"/>
              </w:rPr>
            </w:pPr>
            <w:r>
              <w:rPr>
                <w:rFonts w:ascii="Arial" w:cs="Arial" w:eastAsia="Arial" w:hAnsi="Arial"/>
                <w:sz w:val="18"/>
                <w:szCs w:val="18"/>
                <w:color w:val="auto"/>
                <w:w w:val="96"/>
              </w:rPr>
              <w:t>Pay-fixed interest rate swap</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60"/>
              <w:spacing w:after="0"/>
              <w:rPr>
                <w:sz w:val="20"/>
                <w:szCs w:val="20"/>
                <w:color w:val="auto"/>
              </w:rPr>
            </w:pPr>
            <w:r>
              <w:rPr>
                <w:rFonts w:ascii="Arial" w:cs="Arial" w:eastAsia="Arial" w:hAnsi="Arial"/>
                <w:sz w:val="18"/>
                <w:szCs w:val="18"/>
                <w:color w:val="auto"/>
                <w:w w:val="99"/>
              </w:rPr>
              <w:t>agreements - commercial</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Pay-variable interest rate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swap agreements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02"/>
        </w:trPr>
        <w:tc>
          <w:tcPr>
            <w:tcW w:w="2300" w:type="dxa"/>
            <w:vAlign w:val="bottom"/>
          </w:tcPr>
          <w:p>
            <w:pPr>
              <w:ind w:left="140"/>
              <w:spacing w:after="0" w:line="201" w:lineRule="exact"/>
              <w:rPr>
                <w:sz w:val="20"/>
                <w:szCs w:val="20"/>
                <w:color w:val="auto"/>
              </w:rPr>
            </w:pPr>
            <w:r>
              <w:rPr>
                <w:rFonts w:ascii="Arial" w:cs="Arial" w:eastAsia="Arial" w:hAnsi="Arial"/>
                <w:sz w:val="18"/>
                <w:szCs w:val="18"/>
                <w:color w:val="auto"/>
                <w:w w:val="96"/>
              </w:rPr>
              <w:t>Pay-fixed interest rate swap</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Interest rate cap agreements</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3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3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(1,852)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5"/>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March 31, 2021</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r>
      <w:tr>
        <w:trPr>
          <w:trHeight w:val="237"/>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30"/>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gridSpan w:val="5"/>
          </w:tcPr>
          <w:p>
            <w:pPr>
              <w:jc w:val="right"/>
              <w:ind w:right="940"/>
              <w:spacing w:after="0"/>
              <w:rPr>
                <w:sz w:val="20"/>
                <w:szCs w:val="20"/>
                <w:color w:val="auto"/>
              </w:rPr>
            </w:pPr>
            <w:r>
              <w:rPr>
                <w:rFonts w:ascii="Arial" w:cs="Arial" w:eastAsia="Arial" w:hAnsi="Arial"/>
                <w:sz w:val="18"/>
                <w:szCs w:val="18"/>
                <w:color w:val="auto"/>
                <w:w w:val="99"/>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8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11,916</w:t>
            </w:r>
          </w:p>
        </w:tc>
        <w:tc>
          <w:tcPr>
            <w:tcW w:w="560" w:type="dxa"/>
            <w:vAlign w:val="bottom"/>
            <w:shd w:val="clear" w:color="auto" w:fill="CCEEFF"/>
          </w:tcPr>
          <w:p>
            <w:pPr>
              <w:jc w:val="right"/>
              <w:ind w:right="39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7,610</w:t>
            </w:r>
          </w:p>
        </w:tc>
        <w:tc>
          <w:tcPr>
            <w:tcW w:w="10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gridSpan w:val="5"/>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28,300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60" w:type="dxa"/>
            <w:vAlign w:val="bottom"/>
            <w:gridSpan w:val="8"/>
          </w:tcPr>
          <w:p>
            <w:pPr>
              <w:spacing w:after="0"/>
              <w:rPr>
                <w:sz w:val="20"/>
                <w:szCs w:val="20"/>
                <w:color w:val="auto"/>
              </w:rPr>
            </w:pPr>
            <w:r>
              <w:rPr>
                <w:rFonts w:ascii="Arial" w:cs="Arial" w:eastAsia="Arial" w:hAnsi="Arial"/>
                <w:sz w:val="18"/>
                <w:szCs w:val="18"/>
                <w:color w:val="auto"/>
              </w:rPr>
              <w:t>A summary of estimated core deposit intangible amortization at March 31, 2021 follows:</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7"/>
              </w:rPr>
              <w:t>(In thousands)</w:t>
            </w:r>
          </w:p>
        </w:tc>
      </w:tr>
      <w:tr>
        <w:trPr>
          <w:trHeight w:val="216"/>
        </w:trPr>
        <w:tc>
          <w:tcPr>
            <w:tcW w:w="6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Nine months ending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2022</w:t>
            </w: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2024</w:t>
            </w: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5980" w:type="dxa"/>
            <w:vAlign w:val="bottom"/>
            <w:gridSpan w:val="5"/>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1,001</w:t>
            </w:r>
          </w:p>
        </w:tc>
        <w:tc>
          <w:tcPr>
            <w:tcW w:w="100" w:type="dxa"/>
            <w:vAlign w:val="bottom"/>
          </w:tcPr>
          <w:p>
            <w:pPr>
              <w:spacing w:after="0"/>
              <w:rPr>
                <w:sz w:val="19"/>
                <w:szCs w:val="19"/>
                <w:color w:val="auto"/>
              </w:rPr>
            </w:pPr>
          </w:p>
        </w:tc>
      </w:tr>
      <w:tr>
        <w:trPr>
          <w:trHeight w:val="257"/>
        </w:trPr>
        <w:tc>
          <w:tcPr>
            <w:tcW w:w="59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Share Based Compensation</w:t>
            </w:r>
          </w:p>
        </w:tc>
        <w:tc>
          <w:tcPr>
            <w:tcW w:w="36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March 31, 2021. The non-employee director stock purchase plan permits the issuance of additional share based payments for up to 0.1 million shares of common stock as of March 31, 2021. Share based awards and payments are measured at fair value at the date of grant and are expensed over the requisite service period. Common shares issued upon exercise of stock options come from currently authorized but unissued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stock units (“PSU”) granted pursuant to our long-term incentive plan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8680" w:type="dxa"/>
            <w:vAlign w:val="bottom"/>
          </w:tcPr>
          <w:p>
            <w:pPr>
              <w:spacing w:after="0"/>
              <w:rPr>
                <w:sz w:val="18"/>
                <w:szCs w:val="18"/>
                <w:color w:val="auto"/>
              </w:rPr>
            </w:pPr>
          </w:p>
        </w:tc>
        <w:tc>
          <w:tcPr>
            <w:tcW w:w="166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PSU</w:t>
            </w:r>
          </w:p>
        </w:tc>
        <w:tc>
          <w:tcPr>
            <w:tcW w:w="1120" w:type="dxa"/>
            <w:vAlign w:val="bottom"/>
          </w:tcPr>
          <w:p>
            <w:pPr>
              <w:jc w:val="right"/>
              <w:spacing w:after="0"/>
              <w:rPr>
                <w:sz w:val="20"/>
                <w:szCs w:val="20"/>
                <w:color w:val="auto"/>
              </w:rPr>
            </w:pPr>
            <w:r>
              <w:rPr>
                <w:rFonts w:ascii="Arial" w:cs="Arial" w:eastAsia="Arial" w:hAnsi="Arial"/>
                <w:sz w:val="18"/>
                <w:szCs w:val="18"/>
                <w:color w:val="auto"/>
              </w:rPr>
              <w:t>23,981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20,897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an index of our banking peers.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three month periods ended March 31, 2021 and 2020 we issued 0.005 million and 0.004 million shares, respectively and expensed their value during those same periods.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recognized for grants pursuant to our long-term incentive plan was $0.3 million and $0.5 million during the three month periods ended March 31, 2021 and 2020, respectively. The corresponding tax benefit relating to this expense was $0.1 million for each period. Total expense recognized for non-employee director share based payments was $0.09 million during both three month periods ended March 31, 2021 and 2020. The corresponding tax benefit relating to this expense was $0.02 million during each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the total expected compensation cost related to non-vested restricted stock and PSUs not yet recognized was $3.2 million. The weighted-average period over which this amount will be recognized is 2.3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5"/>
              </w:rPr>
              <w:t>A summary of outstanding stock option grants and related transactions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7"/>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102,139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and expected to vest at March 31, 2021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102,139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3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47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6120" w:type="dxa"/>
            <w:vAlign w:val="bottom"/>
            <w:gridSpan w:val="3"/>
          </w:tcPr>
          <w:p>
            <w:pPr>
              <w:jc w:val="right"/>
              <w:ind w:right="220"/>
              <w:spacing w:after="0"/>
              <w:rPr>
                <w:sz w:val="20"/>
                <w:szCs w:val="20"/>
                <w:color w:val="auto"/>
              </w:rPr>
            </w:pPr>
            <w:r>
              <w:rPr>
                <w:rFonts w:ascii="Arial" w:cs="Arial" w:eastAsia="Arial" w:hAnsi="Arial"/>
                <w:sz w:val="18"/>
                <w:szCs w:val="18"/>
                <w:color w:val="auto"/>
              </w:rPr>
              <w:t>99,565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6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(54,982)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r>
      <w:tr>
        <w:trPr>
          <w:trHeight w:val="223"/>
        </w:trPr>
        <w:tc>
          <w:tcPr>
            <w:tcW w:w="39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120" w:type="dxa"/>
            <w:vAlign w:val="bottom"/>
            <w:gridSpan w:val="3"/>
          </w:tcPr>
          <w:p>
            <w:pPr>
              <w:jc w:val="right"/>
              <w:ind w:right="160"/>
              <w:spacing w:after="0"/>
              <w:rPr>
                <w:sz w:val="20"/>
                <w:szCs w:val="20"/>
                <w:color w:val="auto"/>
              </w:rPr>
            </w:pPr>
            <w:r>
              <w:rPr>
                <w:rFonts w:ascii="Arial" w:cs="Arial" w:eastAsia="Arial" w:hAnsi="Arial"/>
                <w:sz w:val="18"/>
                <w:szCs w:val="18"/>
                <w:color w:val="auto"/>
              </w:rPr>
              <w:t>(10,229)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478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241,471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642"/>
        </w:trPr>
        <w:tc>
          <w:tcPr>
            <w:tcW w:w="3900" w:type="dxa"/>
            <w:vAlign w:val="bottom"/>
            <w:tcBorders>
              <w:top w:val="single" w:sz="8" w:color="CCEEFF"/>
            </w:tcBorders>
          </w:tcPr>
          <w:p>
            <w:pPr>
              <w:spacing w:after="0"/>
              <w:rPr>
                <w:sz w:val="24"/>
                <w:szCs w:val="24"/>
                <w:color w:val="auto"/>
              </w:rPr>
            </w:pPr>
          </w:p>
        </w:tc>
        <w:tc>
          <w:tcPr>
            <w:tcW w:w="4780" w:type="dxa"/>
            <w:vAlign w:val="bottom"/>
            <w:tcBorders>
              <w:top w:val="single" w:sz="8" w:color="CCEEFF"/>
            </w:tcBorders>
          </w:tcPr>
          <w:p>
            <w:pPr>
              <w:jc w:val="right"/>
              <w:ind w:right="2870"/>
              <w:spacing w:after="0"/>
              <w:rPr>
                <w:sz w:val="20"/>
                <w:szCs w:val="20"/>
                <w:color w:val="auto"/>
              </w:rPr>
            </w:pPr>
            <w:r>
              <w:rPr>
                <w:rFonts w:ascii="Arial" w:cs="Arial" w:eastAsia="Arial" w:hAnsi="Arial"/>
                <w:sz w:val="18"/>
                <w:szCs w:val="18"/>
                <w:color w:val="auto"/>
              </w:rPr>
              <w:t>41</w:t>
            </w: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390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2140" w:type="dxa"/>
            <w:vAlign w:val="bottom"/>
            <w:gridSpan w:val="5"/>
          </w:tcPr>
          <w:p>
            <w:pPr>
              <w:jc w:val="right"/>
              <w:ind w:right="7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4"/>
          </w:tcPr>
          <w:p>
            <w:pPr>
              <w:jc w:val="right"/>
              <w:ind w:right="45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020" w:type="dxa"/>
            <w:vAlign w:val="bottom"/>
            <w:gridSpan w:val="3"/>
          </w:tcPr>
          <w:p>
            <w:pPr>
              <w:jc w:val="right"/>
              <w:ind w:right="31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313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210</w:t>
            </w:r>
          </w:p>
        </w:tc>
      </w:tr>
      <w:tr>
        <w:trPr>
          <w:trHeight w:val="20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proceeds received</w:t>
            </w:r>
          </w:p>
        </w:tc>
        <w:tc>
          <w:tcPr>
            <w:tcW w:w="80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80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Income tax expense was $5.1 million and $0.9 million during the three month periods ended March 31, 2021 and 2020,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quarters of 2021 and 2020 include reductions of $0.1 million and $0.2 million of income tax expense related to impact of the excess value of stock awards that vested and stock options that were exercised as compared to the initial fair values that were expensed.</w:t>
      </w:r>
    </w:p>
    <w:p>
      <w:pPr>
        <w:spacing w:after="0" w:line="20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2021, March 31, 2020 and December 31, 2020 that the realization of substantially all of our deferred tax assets continues to be more likely than not.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March 31, 2021 and December 31, 2020, we had approximately $0.2 million, of gross unrecognized tax benefits. We do not expect the total amount of unrecognized tax benefits to significantly increase or decrease during the balance of 2021.</w:t>
      </w:r>
    </w:p>
    <w:p>
      <w:pPr>
        <w:spacing w:after="0" w:line="19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2021, the Bank had positive undivided profits of $81.6 million. It is not our intent to have dividends paid in amounts that would reduce the capital of our Bank to levels below those which we consider prudent or that would not be in accordance with guidelines of regulatory authorities.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2021 and December 31, 2020, categorized our Bank as well capitalized. Management is not aware of any conditions or events that would have changed the most recent Federal Deposit Insurance Corporation (“FDIC”) categorization.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90"/>
              <w:spacing w:after="0"/>
              <w:rPr>
                <w:sz w:val="20"/>
                <w:szCs w:val="20"/>
                <w:color w:val="auto"/>
              </w:rPr>
            </w:pPr>
            <w:r>
              <w:rPr>
                <w:rFonts w:ascii="Arial" w:cs="Arial" w:eastAsia="Arial" w:hAnsi="Arial"/>
                <w:sz w:val="18"/>
                <w:szCs w:val="18"/>
                <w:color w:val="auto"/>
                <w:w w:val="98"/>
              </w:rPr>
              <w:t>Minimum for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8"/>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Well-Capitalized</w:t>
            </w:r>
          </w:p>
        </w:tc>
      </w:t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3"/>
        </w:trPr>
        <w:tc>
          <w:tcPr>
            <w:tcW w:w="3240" w:type="dxa"/>
            <w:vAlign w:val="bottom"/>
          </w:tcPr>
          <w:p>
            <w:pPr>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467,880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236,589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414,246</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13.99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236,819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296,024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177,442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377,199</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177,614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236,819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133,081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377,199</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133,211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192,415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168,473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377,199</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168,622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210,778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455,072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228,214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401,005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285,139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171,161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341,095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128,370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128,312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165,825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165,828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431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3060" w:firstLine="8"/>
        <w:spacing w:after="0" w:line="277"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March 31, 2021 and December 31, 2020. NA - Not applicable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8"/>
                <w:szCs w:val="18"/>
                <w:color w:val="auto"/>
              </w:rPr>
              <w:t>Independent Bank</w:t>
            </w:r>
          </w:p>
        </w:tc>
      </w:tr>
      <w:tr>
        <w:trPr>
          <w:trHeight w:val="202"/>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7"/>
              </w:rPr>
              <w:t>March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4"/>
              </w:rPr>
              <w:t>March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387,329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389,522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413,770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Add (deduct)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for regulatory purposes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(32,363)</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(32,606)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(32,363)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(32,606)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CECL (1)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352,558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341,095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377,199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365,343</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38,317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Arial" w:cs="Arial" w:eastAsia="Arial" w:hAnsi="Arial"/>
                <w:sz w:val="18"/>
                <w:szCs w:val="18"/>
                <w:color w:val="auto"/>
              </w:rPr>
              <w:t>Tier 1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390,875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377,199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365,343</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Allowance for credit losses and allowance for unfunded lending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tcPr>
          <w:p>
            <w:pPr>
              <w:ind w:left="460"/>
              <w:spacing w:after="0"/>
              <w:rPr>
                <w:sz w:val="20"/>
                <w:szCs w:val="20"/>
                <w:color w:val="auto"/>
              </w:rPr>
            </w:pPr>
            <w:r>
              <w:rPr>
                <w:rFonts w:ascii="Arial" w:cs="Arial" w:eastAsia="Arial" w:hAnsi="Arial"/>
                <w:sz w:val="18"/>
                <w:szCs w:val="18"/>
                <w:color w:val="auto"/>
              </w:rPr>
              <w:t>commitments limited to 1.25% of total risk-weighted assets (2)</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37,005</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35,677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37,047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35,662</w:t>
            </w:r>
          </w:p>
        </w:tc>
      </w:tr>
      <w:tr>
        <w:trPr>
          <w:trHeight w:val="256"/>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risk-based capital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467,880</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455,072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elected the three year CECL transition method for regulatory purposes.</w:t>
      </w:r>
    </w:p>
    <w:p>
      <w:pPr>
        <w:spacing w:after="0" w:line="23" w:lineRule="exact"/>
        <w:rPr>
          <w:rFonts w:ascii="Arial" w:cs="Arial" w:eastAsia="Arial" w:hAnsi="Arial"/>
          <w:sz w:val="18"/>
          <w:szCs w:val="18"/>
          <w:color w:val="auto"/>
        </w:rPr>
      </w:pPr>
    </w:p>
    <w:p>
      <w:pPr>
        <w:ind w:firstLine="8"/>
        <w:spacing w:after="0" w:line="26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Beginning January 1, 2021, calculation of allowances are based on CECL methodology. Prior to January 1, 2021, calculation was based on the probable incurred loss methodology.</w:t>
      </w:r>
    </w:p>
    <w:p>
      <w:pPr>
        <w:spacing w:after="0" w:line="212"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 assets (recurring Level 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Collateral dependent loans with specific loss allocations based on collateral value</w:t>
      </w:r>
      <w:r>
        <w:rPr>
          <w:rFonts w:ascii="Arial" w:cs="Arial" w:eastAsia="Arial" w:hAnsi="Arial"/>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Other real estate</w:t>
      </w:r>
      <w:r>
        <w:rPr>
          <w:rFonts w:ascii="Arial" w:cs="Arial" w:eastAsia="Arial" w:hAnsi="Arial"/>
          <w:sz w:val="16"/>
          <w:szCs w:val="16"/>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11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8,910</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400,420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400,420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11,704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42,817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42,817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228,530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228,530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444,688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444,688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107,823</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107,823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1,874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77,799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77,799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23,530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23,530</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15,766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15,766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7,365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7,365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Collateral dependent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1,293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60" w:type="dxa"/>
            <w:vAlign w:val="bottom"/>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includes individually evaluated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11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December 31, 2020:</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10,748</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344,582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344,582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42,829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42,829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254,181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254,181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324,293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324,293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86,017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1,798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92,434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92,434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16,904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16,782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16,782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11,754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11,754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1,468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6,586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real estate (4)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1"/>
        </w:trPr>
        <w:tc>
          <w:tcPr>
            <w:tcW w:w="45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4040" w:type="dxa"/>
            <w:vAlign w:val="bottom"/>
            <w:gridSpan w:val="6"/>
          </w:tcPr>
          <w:p>
            <w:pPr>
              <w:jc w:val="center"/>
              <w:spacing w:after="0"/>
              <w:rPr>
                <w:sz w:val="20"/>
                <w:szCs w:val="20"/>
                <w:color w:val="auto"/>
              </w:rPr>
            </w:pPr>
            <w:r>
              <w:rPr>
                <w:rFonts w:ascii="Arial" w:cs="Arial" w:eastAsia="Arial" w:hAnsi="Arial"/>
                <w:sz w:val="18"/>
                <w:szCs w:val="18"/>
                <w:color w:val="auto"/>
                <w:w w:val="90"/>
              </w:rPr>
              <w:t>Changes in Fair Values for the Three-Month Periods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center"/>
              <w:ind w:right="110"/>
              <w:spacing w:after="0"/>
              <w:rPr>
                <w:sz w:val="20"/>
                <w:szCs w:val="20"/>
                <w:color w:val="auto"/>
              </w:rPr>
            </w:pPr>
            <w:r>
              <w:rPr>
                <w:rFonts w:ascii="Arial" w:cs="Arial" w:eastAsia="Arial" w:hAnsi="Arial"/>
                <w:sz w:val="18"/>
                <w:szCs w:val="18"/>
                <w:color w:val="auto"/>
                <w:w w:val="90"/>
              </w:rPr>
              <w:t>Ended March 31 for Items Measured at Fair Value</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8"/>
                <w:szCs w:val="18"/>
                <w:color w:val="auto"/>
                <w:w w:val="91"/>
              </w:rPr>
              <w:t>Pursuant to Election of the Fair Value Option</w:t>
            </w:r>
          </w:p>
        </w:tc>
        <w:tc>
          <w:tcPr>
            <w:tcW w:w="0" w:type="dxa"/>
            <w:vAlign w:val="bottom"/>
          </w:tcPr>
          <w:p>
            <w:pPr>
              <w:spacing w:after="0"/>
              <w:rPr>
                <w:sz w:val="1"/>
                <w:szCs w:val="1"/>
                <w:color w:val="auto"/>
              </w:rPr>
            </w:pPr>
          </w:p>
        </w:tc>
      </w:t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Net Gains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on Assets</w:t>
            </w:r>
          </w:p>
        </w:tc>
        <w:tc>
          <w:tcPr>
            <w:tcW w:w="26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2"/>
              </w:rPr>
              <w:t>Mortgage</w:t>
            </w:r>
          </w:p>
        </w:tc>
        <w:tc>
          <w:tcPr>
            <w:tcW w:w="22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7"/>
                <w:szCs w:val="17"/>
                <w:color w:val="auto"/>
              </w:rPr>
            </w:pPr>
          </w:p>
        </w:tc>
        <w:tc>
          <w:tcPr>
            <w:tcW w:w="110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9"/>
              </w:rPr>
              <w:t>Loan</w:t>
            </w:r>
          </w:p>
        </w:tc>
        <w:tc>
          <w:tcPr>
            <w:tcW w:w="220" w:type="dxa"/>
            <w:vAlign w:val="bottom"/>
          </w:tcPr>
          <w:p>
            <w:pPr>
              <w:spacing w:after="0"/>
              <w:rPr>
                <w:sz w:val="17"/>
                <w:szCs w:val="17"/>
                <w:color w:val="auto"/>
              </w:rPr>
            </w:pPr>
          </w:p>
        </w:tc>
        <w:tc>
          <w:tcPr>
            <w:tcW w:w="10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Loans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720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3,257</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 impairment charges recognized during the three month periods ended March 31, 2021 and 2020 relating to assets measured at fair value on a non-recurring basis:</w:t>
      </w:r>
    </w:p>
    <w:p>
      <w:pPr>
        <w:spacing w:after="0" w:line="197" w:lineRule="exact"/>
        <w:rPr>
          <w:sz w:val="20"/>
          <w:szCs w:val="20"/>
          <w:color w:val="auto"/>
        </w:rPr>
      </w:pPr>
    </w:p>
    <w:p>
      <w:pPr>
        <w:jc w:val="both"/>
        <w:ind w:left="660" w:hanging="328"/>
        <w:spacing w:after="0" w:line="28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Loans that are individually evaluated using the fair value of collateral for collateral dependent loans had a carrying amount of $2.9 million, which is net of a valuation allowance of $1.5 million at March 31, 2021, and had a carrying amount of $9.1 million, which is net of a valuation allowance of $1.8 million at December 31, 2020. The provision for credit losses included in our results of operations relating to collateral dependent loans was an expense of $0.2 million and $2.4 million during the three month periods ended March 31, 2021 and 2020, respectively.</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zero which is net of a valuation allowance of $0.06 million at March 31, 2021, and a carrying amount of $0.10 million which is net of a valuation allowance of $0.09 million, at December 31, 2020. An additional charge relating to other real estate measured at fair value of zero and $0.09 million was included in our results of operations during the three month periods ended March 31, 2021 and 2020,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Capitalized Mortgage Loan</w:t>
            </w:r>
          </w:p>
        </w:tc>
      </w:t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Servicing Rights</w:t>
            </w:r>
          </w:p>
        </w:tc>
      </w:tr>
      <w:tr>
        <w:trPr>
          <w:trHeight w:val="202"/>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90"/>
              <w:spacing w:after="0" w:line="201"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16,904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 gains (losses) realized and unrealized: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 of total gains (losses) for the period included in earnings attributable to the change in unrealized gains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relating to assets and liabilities still held at March 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(6,974)</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Asset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Valuation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Weighted</w:t>
            </w: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Technique</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Range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Average</w:t>
            </w:r>
          </w:p>
        </w:tc>
      </w:tr>
      <w:tr>
        <w:trPr>
          <w:trHeight w:val="202"/>
        </w:trPr>
        <w:tc>
          <w:tcPr>
            <w:tcW w:w="440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620" w:type="dxa"/>
            <w:vAlign w:val="bottom"/>
            <w:gridSpan w:val="2"/>
            <w:shd w:val="clear" w:color="auto" w:fill="CCEEFF"/>
          </w:tcPr>
          <w:p>
            <w:pPr>
              <w:jc w:val="right"/>
              <w:ind w:right="133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23,530</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r>
      <w:tr>
        <w:trPr>
          <w:trHeight w:val="202"/>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w w:val="90"/>
              </w:rPr>
              <w:t>Cost to service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69 to $215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to 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7.48% to 50.27%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620" w:type="dxa"/>
            <w:vAlign w:val="bottom"/>
            <w:gridSpan w:val="2"/>
            <w:shd w:val="clear" w:color="auto" w:fill="CCEEFF"/>
          </w:tcPr>
          <w:p>
            <w:pPr>
              <w:jc w:val="right"/>
              <w:ind w:right="133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r>
      <w:tr>
        <w:trPr>
          <w:trHeight w:val="202"/>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w w:val="90"/>
              </w:rPr>
              <w:t>Cost to service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69 to $289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to 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7.92% to 64.70%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20.85%</w:t>
            </w:r>
          </w:p>
        </w:tc>
      </w:tr>
      <w:tr>
        <w:trPr>
          <w:trHeight w:val="648"/>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51</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4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Fair</w:t>
            </w:r>
          </w:p>
        </w:tc>
        <w:tc>
          <w:tcPr>
            <w:tcW w:w="1120" w:type="dxa"/>
            <w:vAlign w:val="bottom"/>
          </w:tcPr>
          <w:p>
            <w:pPr>
              <w:ind w:left="220"/>
              <w:spacing w:after="0"/>
              <w:rPr>
                <w:sz w:val="20"/>
                <w:szCs w:val="20"/>
                <w:color w:val="auto"/>
              </w:rPr>
            </w:pPr>
            <w:r>
              <w:rPr>
                <w:rFonts w:ascii="Arial" w:cs="Arial" w:eastAsia="Arial" w:hAnsi="Arial"/>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w w:val="93"/>
              </w:rPr>
              <w:t>Unobservable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Weighted</w:t>
            </w:r>
          </w:p>
        </w:tc>
      </w:tr>
      <w:tr>
        <w:trPr>
          <w:trHeight w:val="237"/>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1120" w:type="dxa"/>
            <w:vAlign w:val="bottom"/>
          </w:tcPr>
          <w:p>
            <w:pPr>
              <w:ind w:left="180"/>
              <w:spacing w:after="0"/>
              <w:rPr>
                <w:sz w:val="20"/>
                <w:szCs w:val="20"/>
                <w:color w:val="auto"/>
              </w:rPr>
            </w:pPr>
            <w:r>
              <w:rPr>
                <w:rFonts w:ascii="Arial" w:cs="Arial" w:eastAsia="Arial" w:hAnsi="Arial"/>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Range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202"/>
        </w:trPr>
        <w:tc>
          <w:tcPr>
            <w:tcW w:w="46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Collateral dependent loans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8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48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1,513</w:t>
            </w: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(73.3) to 104.6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48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 dependent loans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8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(40.0)%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840" w:type="dxa"/>
            <w:vAlign w:val="bottom"/>
            <w:gridSpan w:val="2"/>
          </w:tcPr>
          <w:p>
            <w:pPr>
              <w:ind w:left="4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8,054</w:t>
            </w: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2"/>
        </w:trPr>
        <w:tc>
          <w:tcPr>
            <w:tcW w:w="4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(73.3) to 104.6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4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 to 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March 31, 2021 and December 31, 2020 certain collateral dependent installment loans totaling approximately $0.11 million and $0.16 million, respectively are secured by collateral other than real estate. For the majority of these loans, we apply internal discount rates to industry valuation guides.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Contractual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31, 2021</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88,578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20" w:type="dxa"/>
            <w:vAlign w:val="bottom"/>
          </w:tcPr>
          <w:p>
            <w:pPr>
              <w:jc w:val="right"/>
              <w:ind w:right="13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0" w:lineRule="exact"/>
        <w:rPr>
          <w:sz w:val="20"/>
          <w:szCs w:val="20"/>
          <w:color w:val="auto"/>
        </w:rPr>
      </w:pPr>
    </w:p>
    <w:p>
      <w:pPr>
        <w:ind w:left="780" w:hanging="772"/>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w w:val="96"/>
              </w:rPr>
              <w:t>The estimated recorded book balances and fair values follow:</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Book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vMerge w:val="restart"/>
          </w:tcPr>
          <w:p>
            <w:pPr>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81,287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81,287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1,247,280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1,247,280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w w:val="92"/>
              </w:rPr>
              <w:t>Federal Home Loan Bank and Federal Reserve Bank Stock</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2,815,268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2,750,724</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13,628</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3,544,206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3,544,206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3,544,206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314,369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316,123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30,006</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39,541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32,107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7,365</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56,006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1,072,159</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1,072,159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Federal Home Loan Bank and Federal Reserve Bank Stock</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2,790,683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2,794,058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92,434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2,701,624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16,782</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3,198,338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3,198,338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3,198,338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439,017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39,281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39,524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Deposits with no stated maturity include reciprocal deposits with a recorded book balance of $</w:t>
      </w:r>
      <w:r>
        <w:rPr>
          <w:rFonts w:ascii="Arial" w:cs="Arial" w:eastAsia="Arial" w:hAnsi="Arial"/>
          <w:sz w:val="18"/>
          <w:szCs w:val="18"/>
          <w:color w:val="000000"/>
        </w:rPr>
        <w:t>572.258</w:t>
      </w:r>
      <w:r>
        <w:rPr>
          <w:rFonts w:ascii="Arial" w:cs="Arial" w:eastAsia="Arial" w:hAnsi="Arial"/>
          <w:sz w:val="18"/>
          <w:szCs w:val="18"/>
          <w:color w:val="231F20"/>
        </w:rPr>
        <w:t xml:space="preserve"> million and </w:t>
      </w:r>
      <w:r>
        <w:rPr>
          <w:rFonts w:ascii="Arial" w:cs="Arial" w:eastAsia="Arial" w:hAnsi="Arial"/>
          <w:sz w:val="18"/>
          <w:szCs w:val="18"/>
          <w:color w:val="000000"/>
        </w:rPr>
        <w:t>$518.400 million at March 31,</w:t>
      </w:r>
      <w:r>
        <w:rPr>
          <w:rFonts w:ascii="Arial" w:cs="Arial" w:eastAsia="Arial" w:hAnsi="Arial"/>
          <w:sz w:val="18"/>
          <w:szCs w:val="18"/>
          <w:color w:val="231F20"/>
        </w:rPr>
        <w:t xml:space="preserve"> </w:t>
      </w:r>
      <w:r>
        <w:rPr>
          <w:rFonts w:ascii="Arial" w:cs="Arial" w:eastAsia="Arial" w:hAnsi="Arial"/>
          <w:sz w:val="18"/>
          <w:szCs w:val="18"/>
          <w:color w:val="000000"/>
        </w:rPr>
        <w:t xml:space="preserve">2021 and December 31, 2020, respectively. Deposits with a stated maturity include reciprocal deposits with a recorded book balance of </w:t>
      </w:r>
      <w:r>
        <w:rPr>
          <w:rFonts w:ascii="Arial" w:cs="Arial" w:eastAsia="Arial" w:hAnsi="Arial"/>
          <w:sz w:val="18"/>
          <w:szCs w:val="18"/>
          <w:color w:val="231F20"/>
        </w:rPr>
        <w:t>$</w:t>
      </w:r>
      <w:r>
        <w:rPr>
          <w:rFonts w:ascii="Arial" w:cs="Arial" w:eastAsia="Arial" w:hAnsi="Arial"/>
          <w:sz w:val="18"/>
          <w:szCs w:val="18"/>
          <w:color w:val="000000"/>
        </w:rPr>
        <w:t xml:space="preserve">36.431 </w:t>
      </w:r>
      <w:r>
        <w:rPr>
          <w:rFonts w:ascii="Arial" w:cs="Arial" w:eastAsia="Arial" w:hAnsi="Arial"/>
          <w:sz w:val="18"/>
          <w:szCs w:val="18"/>
          <w:color w:val="231F20"/>
        </w:rPr>
        <w:t>million and $</w:t>
      </w:r>
      <w:r>
        <w:rPr>
          <w:rFonts w:ascii="Arial" w:cs="Arial" w:eastAsia="Arial" w:hAnsi="Arial"/>
          <w:sz w:val="18"/>
          <w:szCs w:val="18"/>
          <w:color w:val="000000"/>
        </w:rPr>
        <w:t>37.785</w:t>
      </w:r>
      <w:r>
        <w:rPr>
          <w:rFonts w:ascii="Arial" w:cs="Arial" w:eastAsia="Arial" w:hAnsi="Arial"/>
          <w:sz w:val="18"/>
          <w:szCs w:val="18"/>
          <w:color w:val="231F20"/>
        </w:rPr>
        <w:t xml:space="preserve"> million at </w:t>
      </w:r>
      <w:r>
        <w:rPr>
          <w:rFonts w:ascii="Arial" w:cs="Arial" w:eastAsia="Arial" w:hAnsi="Arial"/>
          <w:sz w:val="18"/>
          <w:szCs w:val="18"/>
          <w:color w:val="000000"/>
        </w:rPr>
        <w:t>March 31, 2021 and December 31, 2020</w:t>
      </w:r>
      <w:r>
        <w:rPr>
          <w:rFonts w:ascii="Arial" w:cs="Arial" w:eastAsia="Arial" w:hAnsi="Arial"/>
          <w:sz w:val="18"/>
          <w:szCs w:val="18"/>
          <w:color w:val="231F20"/>
        </w:rPr>
        <w:t>,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As a result the pandemic and related government measures, Michigan has experienced an increase in unemployment. On December 11, 2020, the U.S. Food and Drug Administration (FDA) issued its first emergency use authorization for a COVID-19 vaccine. Since that time, the FDA has issued other emergency use authorizations for additional vaccines, and the United States has seen a rapid increase in the number of individuals receiving vaccinations. The U.S. Centers for Disease Control and Prevention (CDC) states that widespread vaccinations may lead to greater immunity, which ultimately is expected to result in slowing the spread of the virus.</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COVID-19 pandemic and the related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industries (such as hotels and restaurants) have been more adversely impacted by the COVID-19 pandemic and related periodic shut downs of our economy. We believe that the following industry concentrations within our commercial loan portfolio represent greater potential risk in the current economic environment. The balances below are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 portfolio segment:</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Retail - $93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Food service - $55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Hotel - $44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portfolio segment:</w:t>
      </w:r>
    </w:p>
    <w:p>
      <w:pPr>
        <w:spacing w:after="0" w:line="2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Retail - $98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Office - $65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Multifamily - $60 million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closely monitoring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Reimbursement Obligations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$0.04 million for both three month periods ended March 31, 2021 and 2020. The reserve for loss reimbursements on sold mortgage loans totaled $1.05 million and $1.02 million at March 31, 2021 and December 31, 2020,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Stock</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Class A shares for every 1 Class B share and the closing price of VISA Class A shares on April 20, 2021 of $223.26 per share, our 12,566 Class B shares would have a current “value” of approximately $4.6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360" w:firstLine="8"/>
        <w:spacing w:after="0" w:line="532" w:lineRule="auto"/>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 xml:space="preserve">Accumulated Other Comprehensive Income (Loss) (“AOCIL”) </w:t>
      </w:r>
      <w:r>
        <w:rPr>
          <w:rFonts w:ascii="Arial" w:cs="Arial" w:eastAsia="Arial" w:hAnsi="Arial"/>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Tax Effects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Gains 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for Sale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For the three months ended March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(6,805)</w:t>
            </w: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64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(5,686)</w:t>
            </w:r>
          </w:p>
        </w:tc>
      </w:tr>
      <w:tr>
        <w:trPr>
          <w:trHeight w:val="25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2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22"/>
                <w:szCs w:val="22"/>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5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(4,854)</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three months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780" w:hanging="696"/>
        <w:spacing w:after="0"/>
        <w:tabs>
          <w:tab w:leader="none" w:pos="5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1,416  Net gains on securities available for sale</w:t>
      </w:r>
    </w:p>
    <w:p>
      <w:pPr>
        <w:spacing w:after="0" w:line="9" w:lineRule="exact"/>
        <w:rPr>
          <w:rFonts w:ascii="Arial" w:cs="Arial" w:eastAsia="Arial" w:hAnsi="Arial"/>
          <w:sz w:val="18"/>
          <w:szCs w:val="18"/>
          <w:color w:val="auto"/>
        </w:rPr>
      </w:pPr>
    </w:p>
    <w:p>
      <w:pPr>
        <w:ind w:left="5920"/>
        <w:spacing w:after="0"/>
        <w:rPr>
          <w:rFonts w:ascii="Arial" w:cs="Arial" w:eastAsia="Arial" w:hAnsi="Arial"/>
          <w:sz w:val="18"/>
          <w:szCs w:val="18"/>
          <w:color w:val="auto"/>
        </w:rPr>
      </w:pPr>
      <w:r>
        <w:rPr>
          <w:rFonts w:ascii="Arial" w:cs="Arial" w:eastAsia="Arial" w:hAnsi="Arial"/>
          <w:sz w:val="18"/>
          <w:szCs w:val="18"/>
          <w:color w:val="auto"/>
        </w:rPr>
        <w:t>297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800" w:hanging="716"/>
        <w:spacing w:after="0"/>
        <w:tabs>
          <w:tab w:leader="none" w:pos="5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920" w:hanging="836"/>
        <w:spacing w:after="0"/>
        <w:tabs>
          <w:tab w:leader="none" w:pos="5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253  Net gains on securities available for sale</w:t>
      </w:r>
    </w:p>
    <w:p>
      <w:pPr>
        <w:spacing w:after="0" w:line="9" w:lineRule="exact"/>
        <w:rPr>
          <w:rFonts w:ascii="Arial" w:cs="Arial" w:eastAsia="Arial" w:hAnsi="Arial"/>
          <w:sz w:val="18"/>
          <w:szCs w:val="18"/>
          <w:color w:val="auto"/>
        </w:rPr>
      </w:pPr>
    </w:p>
    <w:p>
      <w:pPr>
        <w:ind w:left="6340" w:hanging="209"/>
        <w:spacing w:after="0"/>
        <w:tabs>
          <w:tab w:leader="none" w:pos="6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920"/>
        <w:spacing w:after="0"/>
        <w:tabs>
          <w:tab w:leader="none" w:pos="63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920" w:hanging="836"/>
        <w:spacing w:after="0"/>
        <w:tabs>
          <w:tab w:leader="none" w:pos="5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20" w:hanging="936"/>
        <w:spacing w:after="0"/>
        <w:tabs>
          <w:tab w:leader="none" w:pos="6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75  Interest expense</w:t>
      </w:r>
    </w:p>
    <w:p>
      <w:pPr>
        <w:spacing w:after="0" w:line="9" w:lineRule="exact"/>
        <w:rPr>
          <w:rFonts w:ascii="Arial" w:cs="Arial" w:eastAsia="Arial" w:hAnsi="Arial"/>
          <w:sz w:val="18"/>
          <w:szCs w:val="18"/>
          <w:color w:val="auto"/>
        </w:rPr>
      </w:pPr>
    </w:p>
    <w:p>
      <w:pPr>
        <w:ind w:left="6020"/>
        <w:spacing w:after="0"/>
        <w:rPr>
          <w:rFonts w:ascii="Arial" w:cs="Arial" w:eastAsia="Arial" w:hAnsi="Arial"/>
          <w:sz w:val="18"/>
          <w:szCs w:val="18"/>
          <w:color w:val="auto"/>
        </w:rPr>
      </w:pPr>
      <w:r>
        <w:rPr>
          <w:rFonts w:ascii="Arial" w:cs="Arial" w:eastAsia="Arial" w:hAnsi="Arial"/>
          <w:sz w:val="18"/>
          <w:szCs w:val="18"/>
          <w:color w:val="auto"/>
        </w:rPr>
        <w:t>16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6020" w:hanging="936"/>
        <w:spacing w:after="0"/>
        <w:tabs>
          <w:tab w:leader="none" w:pos="6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59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9" w:lineRule="exact"/>
        <w:rPr>
          <w:sz w:val="20"/>
          <w:szCs w:val="20"/>
          <w:color w:val="auto"/>
        </w:rPr>
      </w:pPr>
    </w:p>
    <w:p>
      <w:pPr>
        <w:ind w:left="5920" w:hanging="836"/>
        <w:spacing w:after="0"/>
        <w:tabs>
          <w:tab w:leader="none" w:pos="5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40640</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88.4% and 85.1% of total revenues for the three month periods ending March 31, 2021 and 2020, respectively.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2021 and December 31, 2020.</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NYCE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2021 and 2020 that were financed by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8"/>
              </w:rPr>
              <w:t>Disaggregation of our revenue sources by attribute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0"/>
                <w:szCs w:val="20"/>
                <w:color w:val="auto"/>
              </w:rPr>
            </w:pPr>
            <w:r>
              <w:rPr>
                <w:rFonts w:ascii="Arial" w:cs="Arial" w:eastAsia="Arial" w:hAnsi="Arial"/>
                <w:sz w:val="18"/>
                <w:szCs w:val="18"/>
                <w:color w:val="auto"/>
              </w:rPr>
              <w:t>Three months ending March 31, 2021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Three months ending March 31,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Service</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w:t>
      </w:r>
      <w:r>
        <w:rPr>
          <w:rFonts w:ascii="Arial" w:cs="Arial" w:eastAsia="Arial" w:hAnsi="Arial"/>
          <w:sz w:val="16"/>
          <w:szCs w:val="16"/>
          <w:color w:val="231F20"/>
        </w:rPr>
        <w:t>Consolidated Statements of Financial Condition</w:t>
      </w:r>
      <w:r>
        <w:rPr>
          <w:rFonts w:ascii="Arial" w:cs="Arial" w:eastAsia="Arial" w:hAnsi="Arial"/>
          <w:sz w:val="16"/>
          <w:szCs w:val="16"/>
          <w:color w:val="auto"/>
        </w:rPr>
        <w:t>.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March 31, 2021).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21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right"/>
              <w:ind w:right="45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ind w:right="31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453</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508</w:t>
            </w: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93"/>
              <w:spacing w:after="0"/>
              <w:rPr>
                <w:sz w:val="20"/>
                <w:szCs w:val="20"/>
                <w:color w:val="auto"/>
              </w:rPr>
            </w:pPr>
            <w:r>
              <w:rPr>
                <w:rFonts w:ascii="Arial" w:cs="Arial" w:eastAsia="Arial" w:hAnsi="Arial"/>
                <w:sz w:val="18"/>
                <w:szCs w:val="18"/>
                <w:color w:val="auto"/>
                <w:w w:val="94"/>
              </w:rPr>
              <w:t>March 31,</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8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Maturity analysis of our lease liabilities at March 31, 2021 based on required contractual payments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2021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2026 and 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r>
      <w:tr>
        <w:trPr>
          <w:trHeight w:val="256"/>
        </w:trPr>
        <w:tc>
          <w:tcPr>
            <w:tcW w:w="10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2"/>
          <w:szCs w:val="12"/>
          <w:b w:val="1"/>
          <w:bCs w:val="1"/>
          <w:color w:val="auto"/>
        </w:rPr>
        <w:t>PERATIONS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2020 Annual Report on Form 10-K filed with the U.S. Securities and Exchange Commission ("SEC"). That report includes a list of risk factors that you should consider in connection with any decision to buy or sell our securities.</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We also have two loan production offices in Ohio</w:t>
      </w:r>
      <w:r>
        <w:rPr>
          <w:rFonts w:ascii="Arial" w:cs="Arial" w:eastAsia="Arial" w:hAnsi="Arial"/>
          <w:sz w:val="17"/>
          <w:szCs w:val="17"/>
          <w:b w:val="1"/>
          <w:bCs w:val="1"/>
          <w:color w:val="auto"/>
        </w:rPr>
        <w:t xml:space="preserve"> </w:t>
      </w:r>
      <w:r>
        <w:rPr>
          <w:rFonts w:ascii="Arial" w:cs="Arial" w:eastAsia="Arial" w:hAnsi="Arial"/>
          <w:sz w:val="17"/>
          <w:szCs w:val="17"/>
          <w:color w:val="auto"/>
        </w:rPr>
        <w:t>(Columbus and Fairlawn). As a result, our success depends to a great extent upon the economic conditions in Michigan’s Lower Peninsula.</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Recent Developments. </w:t>
      </w:r>
      <w:r>
        <w:rPr>
          <w:rFonts w:ascii="Arial" w:cs="Arial" w:eastAsia="Arial" w:hAnsi="Arial"/>
          <w:sz w:val="17"/>
          <w:szCs w:val="17"/>
          <w:color w:val="auto"/>
        </w:rPr>
        <w:t>On March 11, 2020, the World Health Organization declared COVID-19, the disease caused by the novel coronavirus, a pandemic</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As a result of the pandemic and related government measures, Michigan has experienced an increase in unemployment. On December 11, 2020, the U.S. Food and Drug Administration (FDA) issued its first emergency use authorization for a COVID-19 vaccine. Since that time, the FDA has issued other emergency use authorizations for additional vaccines, and the United States has seen a rapid increase in the number of individuals receiving vaccinations. The U.S. Centers for Disease Control and Prevention (CDC) states that widespread vaccinations may lead to greater immunity, which ultimately is expected to result in slowing the spread of the virus.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and the related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increases in allowance for credit losses (“ACL”)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may continue for a significant period of time. The spread of COVID-19 has caused us to modify many of our business practices. Currently, approximately 38%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 Similarly, while we hope vaccinations will lessen the impact of the virus on our business, there is still a significant degree of uncertainty with respect to the potential impact of widespread vaccinations.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against this backdrop that we discuss our results of operations and financial condition in 2021 as compared to earlier periods.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$22.0 million and $4.8 million during the three months ended March 31, 2021 and 2020, respectively. The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2021 first quarter results as compared to 2020 primarily reflects increases in net interest income, non-interest income and a decrease in provision for credit losses that were partially offset by increases in non-interest expense and 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Key performance ratios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income (annualized) to</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0.54%</w:t>
            </w:r>
          </w:p>
        </w:tc>
      </w:tr>
      <w:tr>
        <w:trPr>
          <w:trHeight w:val="216"/>
        </w:trPr>
        <w:tc>
          <w:tcPr>
            <w:tcW w:w="8600" w:type="dxa"/>
            <w:vAlign w:val="bottom"/>
          </w:tcPr>
          <w:p>
            <w:pPr>
              <w:ind w:left="140"/>
              <w:spacing w:after="0"/>
              <w:rPr>
                <w:sz w:val="20"/>
                <w:szCs w:val="20"/>
                <w:color w:val="auto"/>
              </w:rPr>
            </w:pPr>
            <w:r>
              <w:rPr>
                <w:rFonts w:ascii="Arial" w:cs="Arial" w:eastAsia="Arial" w:hAnsi="Arial"/>
                <w:sz w:val="18"/>
                <w:szCs w:val="18"/>
                <w:color w:val="auto"/>
              </w:rPr>
              <w:t>Average shareholders’ equity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3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90"/>
              </w:rPr>
              <w:t>5.54%</w:t>
            </w: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0.22</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0.21</w:t>
            </w: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or interest-rate risk, in particular, can adversely impact our net interest income.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interest income totaled $30.3 million during the first quarter of 2021, an increase of $0.1 million, or 0.3% from the year-ago period. This increase primarily reflects a $697.0 million increase in average interest-earning assets that was partially offset by a 58 basis point decrease in our tax equivalent net interest income as a percent of average interest-earning assets (the “net interest margin”).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significant increases in average interest-earning assets for the three month period ended March 31, 2021 versus the comparable year period is primarily due to the deployment of funds from a substantial increase in deposits.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and fees on loans include $2.1 million for the first quarter of 2021, of accretion of net loan fees on PPP loans. No such accretion is included in the comparable prior year periods. Interest and fees on loans also include $0.4 million and $0.3 million for the first quarter of 2021 and 2020, respectively, of accretion of the discount recorded on loans acquired in the April 2018 acquisition of Traverse City State Bank (“TCSB”).</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net interest income is also impacted by our level of non-accrual loans. In the first quarter of 2021, non-accrual loans averaged $7.6 million compared to $11.1 million in the first quarter of 2020. In addition, in the first quarter of 2021, we had net recoveries of $0.17 million of unpaid interest on loans placed on or taken off non-accrual or on loans previously charged-off compared to net recoveries of $0.16 million during the same period in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Average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Interest</w:t>
            </w:r>
          </w:p>
        </w:tc>
        <w:tc>
          <w:tcPr>
            <w:tcW w:w="104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Balance</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9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2,827,335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28,039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2,758,909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31,688</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4.61%</w:t>
            </w:r>
          </w:p>
        </w:tc>
        <w:tc>
          <w:tcPr>
            <w:tcW w:w="0" w:type="dxa"/>
            <w:vAlign w:val="bottom"/>
          </w:tcPr>
          <w:p>
            <w:pPr>
              <w:spacing w:after="0"/>
              <w:rPr>
                <w:sz w:val="1"/>
                <w:szCs w:val="1"/>
                <w:color w:val="auto"/>
              </w:rPr>
            </w:pPr>
          </w:p>
        </w:tc>
      </w:tr>
      <w:tr>
        <w:trPr>
          <w:trHeight w:val="257"/>
        </w:trPr>
        <w:tc>
          <w:tcPr>
            <w:tcW w:w="49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Tax-exempt loans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7,861</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468,095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3,059</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7"/>
        </w:trPr>
        <w:tc>
          <w:tcPr>
            <w:tcW w:w="49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311,147</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1,770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59,300</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38,424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18,359</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4,047,952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3.27</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3,350,948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56,371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49,610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165,271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4,254,294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3,565,829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2,140,405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1,615,589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594,871</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2,770</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99,535</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3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Interest Bearing Liabilities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2,589,102</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0.35</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2,309,995</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1,218,534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855,838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66,547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51,033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380,111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Total liabilities and shareholders’ equity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4,254,294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3,565,829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Net Interest 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30,688</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30,312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w w:val="89"/>
              </w:rPr>
              <w:t>Net Interest Income as a Percent of Average Interest 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w w:val="90"/>
              </w:rPr>
              <w:t>3.63%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0" w:type="dxa"/>
            <w:vAlign w:val="bottom"/>
            <w:gridSpan w:val="2"/>
          </w:tcPr>
          <w:p>
            <w:pPr>
              <w:ind w:left="140"/>
              <w:spacing w:after="0"/>
              <w:rPr>
                <w:sz w:val="20"/>
                <w:szCs w:val="20"/>
                <w:color w:val="auto"/>
              </w:rPr>
            </w:pPr>
            <w:r>
              <w:rPr>
                <w:rFonts w:ascii="Arial" w:cs="Arial" w:eastAsia="Arial" w:hAnsi="Arial"/>
                <w:sz w:val="18"/>
                <w:szCs w:val="18"/>
                <w:b w:val="1"/>
                <w:bCs w:val="1"/>
                <w:color w:val="auto"/>
              </w:rPr>
              <w:t>Equivalent ("FTE")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30,191</w:t>
            </w:r>
          </w:p>
        </w:tc>
        <w:tc>
          <w:tcPr>
            <w:tcW w:w="0" w:type="dxa"/>
            <w:vAlign w:val="bottom"/>
          </w:tcPr>
          <w:p>
            <w:pPr>
              <w:spacing w:after="0"/>
              <w:rPr>
                <w:sz w:val="1"/>
                <w:szCs w:val="1"/>
                <w:color w:val="auto"/>
              </w:rPr>
            </w:pPr>
          </w:p>
        </w:tc>
      </w:tr>
      <w:tr>
        <w:trPr>
          <w:trHeight w:val="223"/>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Add: taxable equivalent adjustment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Net interest margin (GAAP) </w:t>
            </w:r>
            <w:r>
              <w:rPr>
                <w:rFonts w:ascii="Arial" w:cs="Arial" w:eastAsia="Arial" w:hAnsi="Arial"/>
                <w:sz w:val="28"/>
                <w:szCs w:val="28"/>
                <w:color w:val="auto"/>
                <w:vertAlign w:val="superscript"/>
              </w:rPr>
              <w:t>(1)</w:t>
            </w:r>
          </w:p>
        </w:tc>
        <w:tc>
          <w:tcPr>
            <w:tcW w:w="220" w:type="dxa"/>
            <w:vAlign w:val="bottom"/>
          </w:tcPr>
          <w:p>
            <w:pPr>
              <w:spacing w:after="0"/>
              <w:rPr>
                <w:sz w:val="21"/>
                <w:szCs w:val="21"/>
                <w:color w:val="auto"/>
              </w:rPr>
            </w:pPr>
          </w:p>
        </w:tc>
        <w:tc>
          <w:tcPr>
            <w:tcW w:w="1160" w:type="dxa"/>
            <w:vAlign w:val="bottom"/>
            <w:gridSpan w:val="2"/>
          </w:tcPr>
          <w:p>
            <w:pPr>
              <w:jc w:val="right"/>
              <w:ind w:right="53"/>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86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Net interest margin (FTE) </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Provision for credit losses. </w:t>
      </w:r>
      <w:r>
        <w:rPr>
          <w:rFonts w:ascii="Arial" w:cs="Arial" w:eastAsia="Arial" w:hAnsi="Arial"/>
          <w:sz w:val="18"/>
          <w:szCs w:val="18"/>
          <w:color w:val="auto"/>
        </w:rPr>
        <w:t>We adopted Financial Accounting Standards Board Accounting Standards Update 2016-13, Financial Instruments —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(Topic 326), Measurement of Credit Losses on Financial Instruments (“CECL”) on January 1, 2021. The primary drivers of the decrease in provision for credit losses were a decrease in balances of loans at risk, a decrease in commercial watch credits and an improvement in the employment forecast that decreased the retail pooled reserve. See note #2 to the Condensed Consolidated Financial Statements included within this report for our discussion on CECL implementation.</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credit losses was a credit of $0.5 million during the first quarter of 2021 compared to an expense of $6.7 million for three months ended March 31, 2020. The provision reflects our assessment of the ACL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In particular, the credit impact of the COVID-19 pandemic, and more specifically the periodic closing of various segments of the economy in order to contain it, may have a negative impact on our level of non-performing loans and assets in the future, but as of yet, the magnitude of that impact is undeterminable. See “Portfolio Loans and asset quality” for a discussion of the various components of the ACL and their impact on the provision for credit losses in the first quarter of 2021.</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$26.4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2021 compared to $11.0 million in 2020. Net gains on mortgage loan sales, as well as the change in mortgage loan servicing, net, were the key contributors to this increase.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8,840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26,406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11,004</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Interchange income increased $0.6 million on a comparative quarterly basis in 2021 as compared to 2020 due to an increase in transaction volume.</w:t>
      </w:r>
    </w:p>
    <w:p>
      <w:pPr>
        <w:spacing w:after="0" w:line="2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charges on deposit accounts decreased on a comparative quarterly basis in 2021 as compared to 2020. These decreases were principally due to a decrease in non-sufficient funds occurrences (and related fees) caused in part by the COVID-19 pandemic and reduced checking account activity.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gains on mortgage loans increased substantially in the first quarter of 2021 compared to the first quarter of 2020. Mortgage loan activity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509,003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311,078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Mortgage loans sold</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377,418</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262,260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12,828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mortgage loans originated is due primarily to lower interest rates spurring higher mortgage loan refinance volumes. Mortgage loans sold increased due to a rise in mortgage loan refinance activity. This resulted in net gains on mortgage loans increasing in the first quarter of 2021 as compared to the first quarter of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4.38% and 2.59% in the first quarters of 2021 and 2020, respectively. The increase in the Loan Sales Margin (excluding fair value adjustments) in 2021 was generally due to a substantial widening of primary-to-secondary market pricing spreads as mortgage loan volumes dramatically increased. Once mortgage loan volumes abate, we would expect our Loan Sales Margin to decline to more normal levels. The changes in the fair value accounting adjustments are primarily due to changes in the amount of commitments to originate mortgage loans for sale and changes in the loan sales margin.</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gains on securities available for sale during the first quarter of 2021 totaled $1.4 million compared to $0.3 million during the first quarter of 2020. The significant increase during the first quarter of 2021 is primarily due to the divestiture of certain mortgage back securities. We recorded no net impairment losses in either 2021 or 2020 on securities available for sale. See “Securities” below and note #3 to the Condensed Consolidated Financial Statements.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loan servicing, net, generated a gain of $5.2 million and a loss $5.3 million in the first quarters of 2021 and 2020, respectively. The significant variances in mortgage loan servicing, net are primarily due to changes in the fair value of capitalized mortgage loan servicing rights associated with changes in mortgage loan interest rates and expected future prepayment levels.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This activity is summarized in the following table: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b w:val="1"/>
                <w:bCs w:val="1"/>
                <w:color w:val="auto"/>
              </w:rPr>
              <w:t>Mortgage Servicing Revenue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8"/>
                <w:szCs w:val="18"/>
                <w:color w:val="auto"/>
                <w:w w:val="97"/>
              </w:rPr>
              <w:t>Three months ended</w:t>
            </w:r>
          </w:p>
        </w:tc>
      </w:tr>
      <w:tr>
        <w:trPr>
          <w:trHeight w:val="216"/>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March 31,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20"/>
                <w:szCs w:val="20"/>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2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200" w:type="dxa"/>
            <w:vAlign w:val="bottom"/>
            <w:gridSpan w:val="4"/>
          </w:tcPr>
          <w:p>
            <w:pPr>
              <w:jc w:val="right"/>
              <w:ind w:right="51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w:t>
            </w: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(5,931)</w:t>
            </w:r>
          </w:p>
        </w:tc>
      </w:tr>
      <w:tr>
        <w:trPr>
          <w:trHeight w:val="216"/>
        </w:trPr>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r>
      <w:tr>
        <w:trPr>
          <w:trHeight w:val="27"/>
        </w:trPr>
        <w:tc>
          <w:tcPr>
            <w:tcW w:w="7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(5,300)</w:t>
            </w: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variance in the fair value change due to price relates primarily to the increase in mortgage loan interest rates in the first quarter of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increase decreased projected prepayment rates for mortgage loans serviced for others, leading to an increase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capitalized mortgage loan servicing rights is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(6,974)</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23,530</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we were servicing approximately $3.1 billion in mortgage loans for others on which servicing rights have been capitalized. This servicing portfolio had a weighted average coupon rate of 3.64% and a weighted average service fee of approximately 25.7 basis points. Capitalized mortgage loan servicing rights at March 31, 2021 totaled $23.5 million, representing approximately 77 basis points on the related amount of mortgage loans serviced for others.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Investment and insurance commissions represent revenues generated on the sale or management of investments and insurance for our customers. Total investment and insurance commissions totaled $0.6 million and $0.5 million in the first quarter of 2021 and 2020, respectively.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bank owned life insurance (“BOLI”) was $0.1 million in the first quarter of 2021 compared to $0.3 million in the first quarter of 2020. Our BOLI separate account is primarily invested in agency mortgage-backed securities. The decrease in the first quarter 2021 is due to a 0.86% decrease in the crediting rate from the prior year. The crediting rate (on which the earnings are based) reflects the performance of the separate account. The total cash surrender value of our BOLI was $55.3 million and $55.2 million at March 31, 2021 and December 31, 2020, respectively.</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non-interest income decreased on a comparative quarterly basis in 2021 as compared to 2020. Several categories of fees have been reduced in 2021 due to the impact of the COVID-19 pandemic on transaction volumes, including ATM fees. In addition, we have elected to suspend certain electronic banking fees because of the COVID-19 pandemic and the increased need for our customers to access these channels. Commercial loan swap fee income is also lower in 2021 as customers have not felt the need to execute such transactions given the low interest rate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increased by $1.3 million to $30.0 million in the first quarter of 2021 compared to the first quarter of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16,509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Occupancy,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Correspondent bank service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tcPr>
          <w:p>
            <w:pPr>
              <w:spacing w:after="0"/>
              <w:rPr>
                <w:sz w:val="18"/>
                <w:szCs w:val="18"/>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30,021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28,719</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employee benefits expenses, in total, increased $2.0 million on a quarterly comparative basis.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decreased by $0.6 million in the first quarter of 2021 compared to the first quarter of 2020. The comparative decreases in 2021 is primarily due to an increased level of compensation that was deferred as direct loan origination costs (due to higher loan origination volumes) that was partially offset by salary increases that were predominantly effective on January 1,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Performance-based compensation for the first quarter of 2021 increased by $2.2 million versus the same period in 2020, due primarily to a higher accrual for anticipated incentive compensation based on our estimated full-year performance as compared to goals.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Payroll taxes and employee benefits increased by $0.4 million in the first quarter of 2021, compared to the same period in 2020. The quarterly comparative increase is due primarily to higher payroll taxes and our employer 401(k) match reflecting higher overall compensation levels in 2021, excluding deferred direct loan origination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Interchange expense primarily represents our third-party cost to process debit card transactions. This cost increased in the first quarter of 2021 compared to the first quarter of 2020 due principally to changes in transaction volume and transaction channel mix.</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Legal and professional fees increased by approximately $0.1 million in 2021 on a comparative quarterly basis, as compared to 2020. This increase is due primarily to an increase in professional fees, title search fees and bank examination fees (due to an increase in our asset size).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expense decreased by approximately $0.2 million in 2021 on a comparative quarterly basis as compared to 2020. The 2021 comparative decrease is due primarily to a shift in advertising channels.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Conversion related expenses totaled $0.2 million and $0.1 million for the first quarter 2021 and 2020, respectively. We are in the process of converting our core data processing system to a new system hosted by a new vendor. The 2021 expenses represent costs incurred for assistance from our existing vendor and fees from consultants who are assisting us in this conversion. We currently expect that the conversion will be substantially complete by the end of the second quarter of 2021.</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loss reimbursement on sold loans was an expense of $0.03 million and $0.04 million in the first quarter of 2021 and the first quarter of 2020, respectively. This provision represents our estimate of incurred losses related to mortgage loans that we have sold to investors (primarily Fannie Mae, Freddie Mac, Ginnie Mae and the Federal Home Loan Bank of Indianapolis). The decrease in provision during the first quarter of 2021 as compared to the same period in 2020 is due primarily to lower loan defaults. Since we sell mortgage loans without recourse, loss reimbursements only occur in those instances where we have breached a representation or warranty or other contractual requirement related to the loan sale. The reserve for loss reimbursements on sold mortgage loans totaled $1.05 million and $1.02 million at March 31, 2021 and December 31, 2020, respectively. This reserve is included in accrued expenses and other liabilities in our Condensed Consolidated Statements of Financial Condition.</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costs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non-interest expenses decreased by $0.3 million in the first quarter of 2021, compared to the same period in 2020. These decreases in 2020 are primarily due to a decline in travel and entertainment costs due to COVID-19 pandemic related travel restrictions as well as a reduction in deposit account and debit card related fraud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Income tax expense. </w:t>
      </w:r>
      <w:r>
        <w:rPr>
          <w:rFonts w:ascii="Arial" w:cs="Arial" w:eastAsia="Arial" w:hAnsi="Arial"/>
          <w:sz w:val="17"/>
          <w:szCs w:val="17"/>
          <w:color w:val="auto"/>
        </w:rPr>
        <w:t>We recorded an income tax expense of $5.1 million and $1.0 million in the first quarters of 2021 and 2020, respectively.</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2021 and 2020 and at December 31, 2020 that the realization of substantially all of our deferred tax assets continues to be more likely than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$222.4 million during the first quarter of 2021. Loans, excluding loans held for sale, were $2.78 billion at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2021, compared to $2.73 billion at December 31, 2020. Growth in commercial loans of $58.8 million and installment loans of $7.7 million were partially offset by a decline in mortgage loans of $15.9 million, due primarily to an increase in loan payoffs relative to new portfolio loan production. (See "Portfolio Loans and asset quality.")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Deposits totaled $3.86 billion at March 31, 2021, an increase of $221.2 million from December 31, 2020. The increase in deposits is primarily due to growth in non-interest bearing deposits, savings and interest bearing checking deposits and reciprocal deposits that were partially offset by a decline in time and brokered time deposits.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commercial loans in the first quarter of 2021 is due primarily to loans extended under the Paycheck Protection Program (“PPP”) administered by the U.S. Small Business Administration (“SBA”).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unclear as to when these various government stimulus programs may end and when ended, what the impact will be on our levels of Portfolio Loans and deposits. However, our liquidity and funding contingency plans take into account the possibility of significant reductions in commercial loans and deposits during 2021.</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We maintain diversified securities portfolios, which include obligations of U.S. government-sponsored agencies, securities issued by states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9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1,234,450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1,247,280</w:t>
            </w:r>
          </w:p>
        </w:tc>
      </w:tr>
      <w:tr>
        <w:trPr>
          <w:trHeight w:val="230"/>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1,052,132</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21,431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w w:val="99"/>
              </w:rPr>
              <w:t>1,072,159</w:t>
            </w:r>
          </w:p>
        </w:tc>
      </w:tr>
    </w:tbl>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available for sale was needed at March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b w:val="1"/>
                <w:bCs w:val="1"/>
                <w:color w:val="auto"/>
              </w:rPr>
              <w:t>Sales of Securities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ind w:left="180"/>
              <w:spacing w:after="0"/>
              <w:rPr>
                <w:sz w:val="20"/>
                <w:szCs w:val="20"/>
                <w:color w:val="auto"/>
              </w:rPr>
            </w:pPr>
            <w:r>
              <w:rPr>
                <w:rFonts w:ascii="Arial" w:cs="Arial" w:eastAsia="Arial" w:hAnsi="Arial"/>
                <w:sz w:val="18"/>
                <w:szCs w:val="18"/>
                <w:color w:val="auto"/>
              </w:rPr>
              <w:t>Three months ended</w:t>
            </w:r>
          </w:p>
        </w:tc>
      </w:tr>
      <w:tr>
        <w:trPr>
          <w:trHeight w:val="216"/>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March 31,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20"/>
                <w:szCs w:val="20"/>
                <w:color w:val="auto"/>
              </w:rPr>
            </w:pPr>
          </w:p>
        </w:tc>
      </w:tr>
      <w:tr>
        <w:trPr>
          <w:trHeight w:val="216"/>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200" w:type="dxa"/>
            <w:vAlign w:val="bottom"/>
            <w:gridSpan w:val="4"/>
          </w:tcPr>
          <w:p>
            <w:pPr>
              <w:jc w:val="right"/>
              <w:ind w:right="51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78,179</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21,743</w:t>
            </w:r>
          </w:p>
        </w:tc>
      </w:tr>
      <w:tr>
        <w:trPr>
          <w:trHeight w:val="216"/>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r>
      <w:tr>
        <w:trPr>
          <w:trHeight w:val="216"/>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gains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r>
      <w:tr>
        <w:trPr>
          <w:trHeight w:val="216"/>
        </w:trPr>
        <w:tc>
          <w:tcPr>
            <w:tcW w:w="7800" w:type="dxa"/>
            <w:vAlign w:val="bottom"/>
          </w:tcPr>
          <w:p>
            <w:pPr>
              <w:ind w:left="140"/>
              <w:spacing w:after="0"/>
              <w:rPr>
                <w:sz w:val="20"/>
                <w:szCs w:val="20"/>
                <w:color w:val="auto"/>
              </w:rPr>
            </w:pPr>
            <w:r>
              <w:rPr>
                <w:rFonts w:ascii="Arial" w:cs="Arial" w:eastAsia="Arial" w:hAnsi="Arial"/>
                <w:sz w:val="18"/>
                <w:szCs w:val="18"/>
                <w:color w:val="auto"/>
              </w:rPr>
              <w:t>Gross losses</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impairment charges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Net gains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PPP, is a short-term, forgivable loan program primarily intended to help businesses impacted by COVID-19 to continue paying their employees. Also see Part II, Item 1A. Risk Factors below regarding the PPP.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short summary of the PPP is as follows:</w:t>
      </w:r>
    </w:p>
    <w:p>
      <w:pPr>
        <w:spacing w:after="0" w:line="23" w:lineRule="exact"/>
        <w:rPr>
          <w:sz w:val="20"/>
          <w:szCs w:val="20"/>
          <w:color w:val="auto"/>
        </w:rPr>
      </w:pPr>
    </w:p>
    <w:p>
      <w:pPr>
        <w:jc w:val="both"/>
        <w:ind w:left="700" w:hanging="328"/>
        <w:spacing w:after="0" w:line="250"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Terms of two years (five years for loans originated after June 5, 2020) with payments automatically deferred to the date the SBA remits the borrower’s loan forgiveness amount to the lender (or, if the borrower does not apply for loan forgiveness, 10 months after the end of the borrower’s loan forgiveness covered period);</w:t>
      </w:r>
    </w:p>
    <w:p>
      <w:pPr>
        <w:spacing w:after="0" w:line="1" w:lineRule="exact"/>
        <w:rPr>
          <w:rFonts w:ascii="Arial" w:cs="Arial" w:eastAsia="Arial" w:hAnsi="Arial"/>
          <w:sz w:val="18"/>
          <w:szCs w:val="18"/>
          <w:color w:val="auto"/>
        </w:rPr>
      </w:pPr>
    </w:p>
    <w:p>
      <w:pPr>
        <w:ind w:left="700" w:hanging="32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 percent interest rate;</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collateral or personal guarantees required;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fees paid by the borrower, rather lenders are paid a fee through the SBA according to a set schedule based on loan size;</w:t>
      </w:r>
    </w:p>
    <w:p>
      <w:pPr>
        <w:spacing w:after="0" w:line="9" w:lineRule="exact"/>
        <w:rPr>
          <w:rFonts w:ascii="Arial" w:cs="Arial" w:eastAsia="Arial" w:hAnsi="Arial"/>
          <w:sz w:val="18"/>
          <w:szCs w:val="18"/>
          <w:color w:val="auto"/>
        </w:rPr>
      </w:pPr>
    </w:p>
    <w:p>
      <w:pPr>
        <w:ind w:left="700" w:hanging="328"/>
        <w:spacing w:after="0" w:line="250"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Loans are forgivable if at least 60% of the loan proceeds are used for payroll with the remainder being used for rent, mortgage interest and/or utilities; and</w:t>
      </w:r>
    </w:p>
    <w:p>
      <w:pPr>
        <w:ind w:left="700" w:hanging="32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Streamlined forgiveness application process for PPP loans of $50,000 or less.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86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8640" w:type="dxa"/>
            <w:vAlign w:val="bottom"/>
            <w:gridSpan w:val="2"/>
          </w:tcPr>
          <w:p>
            <w:pPr>
              <w:spacing w:after="0"/>
              <w:rPr>
                <w:sz w:val="20"/>
                <w:szCs w:val="20"/>
                <w:color w:val="auto"/>
              </w:rPr>
            </w:pPr>
            <w:r>
              <w:rPr>
                <w:rFonts w:ascii="Arial" w:cs="Arial" w:eastAsia="Arial" w:hAnsi="Arial"/>
                <w:sz w:val="18"/>
                <w:szCs w:val="18"/>
                <w:color w:val="auto"/>
              </w:rPr>
              <w:t>A summary of our participation in the PPP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Paycheck Protection Program Volume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8"/>
                <w:szCs w:val="18"/>
                <w:color w:val="auto"/>
              </w:rPr>
              <w:t>March 31, 2021</w:t>
            </w:r>
          </w:p>
        </w:tc>
      </w:tr>
      <w:tr>
        <w:trPr>
          <w:trHeight w:val="223"/>
        </w:trPr>
        <w:tc>
          <w:tcPr>
            <w:tcW w:w="3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8"/>
                <w:szCs w:val="18"/>
                <w:color w:val="auto"/>
              </w:rPr>
              <w:t>(Dollars in thousands)</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Closed and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234,174</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Forgiveness applications submitted to the SBA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183,346</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accreted into interest income during the quarter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2,072</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Unaccreted fees remaining at quarter-end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6,816</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loan yield for the quarter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State Banking Regulators and the National Credit Union Administration that contained their interpretation as to which modifications would qualify for these exceptions. In general, to qualify for this exception:</w:t>
      </w:r>
    </w:p>
    <w:p>
      <w:pPr>
        <w:spacing w:after="0" w:line="21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six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4013 of the CARES Act provides temporary relief from the accounting and reporting requirements for TDRs regarding certain loan modifications for our customers. Section 4013 specified that COVID-19 related modifications on loans that were current as of December 31, 2019 are not TDRs. The provisions of Section 4013 were extended to the earlier of 60 days after the termination of the national emergency that was previously declared on March 13, 2020 or January 21, 2022 by the Economic Aid to Hard-Hit Small Businesses, Nonprofits, and Venues Act which was signed into law on December 27,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have not been a significant number of requests for additional modifications. See note #4 to the Condensed Consolidated Financial Statements included within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5980" w:type="dxa"/>
            <w:vAlign w:val="bottom"/>
            <w:gridSpan w:val="3"/>
          </w:tcPr>
          <w:p>
            <w:pPr>
              <w:spacing w:after="0"/>
              <w:rPr>
                <w:sz w:val="20"/>
                <w:szCs w:val="20"/>
                <w:color w:val="auto"/>
              </w:rPr>
            </w:pPr>
            <w:r>
              <w:rPr>
                <w:rFonts w:ascii="Arial" w:cs="Arial" w:eastAsia="Arial" w:hAnsi="Arial"/>
                <w:sz w:val="18"/>
                <w:szCs w:val="18"/>
                <w:color w:val="auto"/>
              </w:rPr>
              <w:t>A summary of accommodations as of March 31, 2021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 of Total</w:t>
            </w:r>
          </w:p>
        </w:tc>
      </w:tr>
      <w:tr>
        <w:trPr>
          <w:trHeight w:val="223"/>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Loans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1,301,223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Mortgage</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15,263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999,982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7"/>
        </w:trPr>
        <w:tc>
          <w:tcPr>
            <w:tcW w:w="320" w:type="dxa"/>
            <w:vAlign w:val="bottom"/>
            <w:shd w:val="clear" w:color="auto" w:fill="CCEEFF"/>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2,784,224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
        </w:trPr>
        <w:tc>
          <w:tcPr>
            <w:tcW w:w="3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Mortgage loans serviced for others(1)</w:t>
            </w: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26,975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3,072,491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
        </w:trPr>
        <w:tc>
          <w:tcPr>
            <w:tcW w:w="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780" w:firstLine="8"/>
        <w:spacing w:after="0" w:line="532"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delegated authority from all investors to grant these deferrals on their behalf. A summary of our Portfolio Loans follows:</w:t>
      </w: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Real estate(1)</w:t>
            </w: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 first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792,762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Residential home equity and other junior mortgages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126,691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138,128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673,772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669,150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468,090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480,568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429,011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Agricultural</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2,784,224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spacing w:after="0"/>
              <w:rPr>
                <w:sz w:val="21"/>
                <w:szCs w:val="21"/>
                <w:color w:val="auto"/>
              </w:rPr>
            </w:pPr>
          </w:p>
        </w:tc>
        <w:tc>
          <w:tcPr>
            <w:tcW w:w="7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29"/>
                <w:szCs w:val="29"/>
                <w:b w:val="1"/>
                <w:bCs w:val="1"/>
                <w:color w:val="auto"/>
                <w:vertAlign w:val="superscript"/>
              </w:rPr>
              <w:t>(1)</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2"/>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March 31,</w:t>
            </w:r>
          </w:p>
        </w:tc>
        <w:tc>
          <w:tcPr>
            <w:tcW w:w="1160" w:type="dxa"/>
            <w:vAlign w:val="bottom"/>
            <w:gridSpan w:val="5"/>
          </w:tcPr>
          <w:p>
            <w:pPr>
              <w:spacing w:after="0"/>
              <w:rPr>
                <w:sz w:val="20"/>
                <w:szCs w:val="20"/>
                <w:color w:val="auto"/>
              </w:rPr>
            </w:pPr>
            <w:r>
              <w:rPr>
                <w:rFonts w:ascii="Arial" w:cs="Arial" w:eastAsia="Arial" w:hAnsi="Arial"/>
                <w:sz w:val="18"/>
                <w:szCs w:val="18"/>
                <w:color w:val="auto"/>
              </w:rPr>
              <w:t>December 31,</w:t>
            </w:r>
          </w:p>
        </w:tc>
      </w:tr>
      <w:tr>
        <w:trPr>
          <w:trHeight w:val="237"/>
        </w:trPr>
        <w:tc>
          <w:tcPr>
            <w:tcW w:w="3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8"/>
          </w:tcPr>
          <w:p>
            <w:pPr>
              <w:jc w:val="right"/>
              <w:ind w:right="480"/>
              <w:spacing w:after="0"/>
              <w:rPr>
                <w:sz w:val="20"/>
                <w:szCs w:val="20"/>
                <w:color w:val="auto"/>
              </w:rPr>
            </w:pPr>
            <w:r>
              <w:rPr>
                <w:rFonts w:ascii="Arial" w:cs="Arial" w:eastAsia="Arial" w:hAnsi="Arial"/>
                <w:sz w:val="18"/>
                <w:szCs w:val="18"/>
                <w:color w:val="auto"/>
              </w:rPr>
              <w:t>(Dollars in thousands)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8,312</w:t>
            </w:r>
          </w:p>
        </w:tc>
        <w:tc>
          <w:tcPr>
            <w:tcW w:w="80" w:type="dxa"/>
            <w:vAlign w:val="bottom"/>
            <w:shd w:val="clear" w:color="auto" w:fill="CCEEFF"/>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Subtotal</w:t>
            </w: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7,548</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Less: Government guaranteed loans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7,089</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r>
      <w:tr>
        <w:trPr>
          <w:trHeight w:val="257"/>
        </w:trPr>
        <w:tc>
          <w:tcPr>
            <w:tcW w:w="320" w:type="dxa"/>
            <w:vAlign w:val="bottom"/>
            <w:shd w:val="clear" w:color="auto" w:fill="CCEEFF"/>
          </w:tcPr>
          <w:p>
            <w:pPr>
              <w:spacing w:after="0"/>
              <w:rPr>
                <w:sz w:val="22"/>
                <w:szCs w:val="22"/>
                <w:color w:val="auto"/>
              </w:rPr>
            </w:pPr>
          </w:p>
        </w:tc>
        <w:tc>
          <w:tcPr>
            <w:tcW w:w="480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7,435</w:t>
            </w:r>
          </w:p>
        </w:tc>
        <w:tc>
          <w:tcPr>
            <w:tcW w:w="240" w:type="dxa"/>
            <w:vAlign w:val="bottom"/>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09"/>
        </w:trPr>
        <w:tc>
          <w:tcPr>
            <w:tcW w:w="3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Non-performing loans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5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credit losses as a percent of non-performing loans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450.01</w:t>
            </w:r>
          </w:p>
        </w:tc>
        <w:tc>
          <w:tcPr>
            <w:tcW w:w="80" w:type="dxa"/>
            <w:vAlign w:val="bottom"/>
            <w:shd w:val="clear" w:color="auto" w:fill="CCEEFF"/>
          </w:tcPr>
          <w:p>
            <w:pPr>
              <w:spacing w:after="0"/>
              <w:rPr>
                <w:sz w:val="18"/>
                <w:szCs w:val="18"/>
                <w:color w:val="auto"/>
              </w:rPr>
            </w:pPr>
          </w:p>
        </w:tc>
      </w:tr>
      <w:tr>
        <w:trPr>
          <w:trHeight w:val="622"/>
        </w:trPr>
        <w:tc>
          <w:tcPr>
            <w:tcW w:w="6800" w:type="dxa"/>
            <w:vAlign w:val="bottom"/>
            <w:gridSpan w:val="4"/>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Excludes loans classified as "troubled debt restructured" that are not past due.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9"/>
              </w:rPr>
              <w:t>March 31,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w w:val="95"/>
              </w:rPr>
              <w:t>Commercial</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center"/>
              <w:ind w:right="360"/>
              <w:spacing w:after="0" w:line="256" w:lineRule="exact"/>
              <w:rPr>
                <w:sz w:val="20"/>
                <w:szCs w:val="20"/>
                <w:color w:val="auto"/>
              </w:rPr>
            </w:pPr>
            <w:r>
              <w:rPr>
                <w:rFonts w:ascii="Arial" w:cs="Arial" w:eastAsia="Arial" w:hAnsi="Arial"/>
                <w:sz w:val="18"/>
                <w:szCs w:val="18"/>
                <w:color w:val="auto"/>
                <w:w w:val="88"/>
              </w:rPr>
              <w:t xml:space="preserve">Retail </w:t>
            </w:r>
            <w:r>
              <w:rPr>
                <w:rFonts w:ascii="Arial" w:cs="Arial" w:eastAsia="Arial" w:hAnsi="Arial"/>
                <w:sz w:val="29"/>
                <w:szCs w:val="29"/>
                <w:color w:val="auto"/>
                <w:w w:val="88"/>
                <w:vertAlign w:val="superscript"/>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Total</w:t>
            </w:r>
          </w:p>
        </w:tc>
      </w:tr>
      <w:tr>
        <w:trPr>
          <w:trHeight w:val="216"/>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1"/>
              </w:rPr>
              <w:t>(In thousands)</w:t>
            </w:r>
          </w:p>
        </w:tc>
        <w:tc>
          <w:tcPr>
            <w:tcW w:w="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5,032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34,679</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39,711</w:t>
            </w:r>
          </w:p>
        </w:tc>
      </w:tr>
      <w:tr>
        <w:trPr>
          <w:trHeight w:val="264"/>
        </w:trPr>
        <w:tc>
          <w:tcPr>
            <w:tcW w:w="5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88"/>
              </w:rPr>
              <w:t>1,105</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80"/>
              <w:spacing w:after="0" w:line="256" w:lineRule="exact"/>
              <w:rPr>
                <w:sz w:val="20"/>
                <w:szCs w:val="20"/>
                <w:color w:val="auto"/>
              </w:rPr>
            </w:pPr>
            <w:r>
              <w:rPr>
                <w:rFonts w:ascii="Arial" w:cs="Arial" w:eastAsia="Arial" w:hAnsi="Arial"/>
                <w:sz w:val="18"/>
                <w:szCs w:val="18"/>
                <w:color w:val="auto"/>
              </w:rPr>
              <w:t>1,459</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2,564</w:t>
            </w:r>
          </w:p>
        </w:tc>
      </w:tr>
      <w:tr>
        <w:trPr>
          <w:trHeight w:val="256"/>
        </w:trPr>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6,137</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36,138</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42,275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60"/>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jc w:val="right"/>
              <w:ind w:right="147"/>
              <w:spacing w:after="0"/>
              <w:rPr>
                <w:sz w:val="20"/>
                <w:szCs w:val="20"/>
                <w:color w:val="auto"/>
              </w:rPr>
            </w:pPr>
            <w:r>
              <w:rPr>
                <w:rFonts w:ascii="Arial" w:cs="Arial" w:eastAsia="Arial" w:hAnsi="Arial"/>
                <w:sz w:val="18"/>
                <w:szCs w:val="18"/>
                <w:color w:val="auto"/>
                <w:w w:val="91"/>
              </w:rPr>
              <w:t>December 31, 2020</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w w:val="95"/>
              </w:rPr>
              <w:t>Commercial</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center"/>
              <w:ind w:right="360"/>
              <w:spacing w:after="0" w:line="256" w:lineRule="exact"/>
              <w:rPr>
                <w:sz w:val="20"/>
                <w:szCs w:val="20"/>
                <w:color w:val="auto"/>
              </w:rPr>
            </w:pPr>
            <w:r>
              <w:rPr>
                <w:rFonts w:ascii="Arial" w:cs="Arial" w:eastAsia="Arial" w:hAnsi="Arial"/>
                <w:sz w:val="18"/>
                <w:szCs w:val="18"/>
                <w:color w:val="auto"/>
                <w:w w:val="88"/>
              </w:rPr>
              <w:t xml:space="preserve">Retail </w:t>
            </w:r>
            <w:r>
              <w:rPr>
                <w:rFonts w:ascii="Arial" w:cs="Arial" w:eastAsia="Arial" w:hAnsi="Arial"/>
                <w:sz w:val="29"/>
                <w:szCs w:val="29"/>
                <w:color w:val="auto"/>
                <w:w w:val="88"/>
                <w:vertAlign w:val="superscript"/>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Total</w:t>
            </w:r>
          </w:p>
        </w:tc>
      </w:tr>
      <w:tr>
        <w:trPr>
          <w:trHeight w:val="216"/>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1"/>
              </w:rPr>
              <w:t>(In thousands)</w:t>
            </w:r>
          </w:p>
        </w:tc>
        <w:tc>
          <w:tcPr>
            <w:tcW w:w="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7,956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36,385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44,341</w:t>
            </w:r>
          </w:p>
        </w:tc>
      </w:tr>
      <w:tr>
        <w:trPr>
          <w:trHeight w:val="263"/>
        </w:trPr>
        <w:tc>
          <w:tcPr>
            <w:tcW w:w="5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88"/>
              </w:rPr>
              <w:t>1,148</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80"/>
              <w:spacing w:after="0" w:line="256"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2,732</w:t>
            </w:r>
          </w:p>
        </w:tc>
      </w:tr>
      <w:tr>
        <w:trPr>
          <w:trHeight w:val="257"/>
        </w:trPr>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9,104</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Non-performing loans decreased by $0.8 million since year-end 2020 due to a decrease in non-performing mortgage loans. Our collection and resolution efforts have generally resulted in a stable trend in non-performing loans. However, the credit impact of the COVID-19 pandemic, and more specifically the periodic, government-mandated closing of various segments of the economy in order to contain it, may have a negative impact on the level of non-performing loans and assets in the future, but as yet, the magnitude of that impact is undeterminable.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exclude performing loans that are classified as TDRs. Performing TDRs totaled $39.7 million, or 1.4% of total Portfolio Loans, and $44.3 million, or 1.6% of total Portfolio Loans, at March 31, 2021 and December 31, 2020, respectively. The decrease in the amount of performing TDRs in the first quarter of 2021 reflects a decrease in both commercial and retail performing TDRs.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$0.3 million and $0.8 million at March 31, 2021 and December 31, 2020, respectively.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activity in our allowance for credit losses (“ACL”) on loans and ACL for unfunded lending commitments as well as the allocation of our ACL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w w:val="92"/>
              </w:rPr>
              <w:t>Allowance for credit losses on loans and unfunded lending commitments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2021</w:t>
            </w:r>
          </w:p>
        </w:tc>
        <w:tc>
          <w:tcPr>
            <w:tcW w:w="148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March 31,</w:t>
            </w:r>
          </w:p>
        </w:tc>
        <w:tc>
          <w:tcPr>
            <w:tcW w:w="1220" w:type="dxa"/>
            <w:vAlign w:val="bottom"/>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Loans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Additions (deductions)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adoption of ASC 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6,721</w:t>
            </w: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Initial allowance on loans purchased with credit deterioration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Recoveries credited to allowance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against the allowance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Additions (recoveries) included in non-interest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loans charged (recovered) against the allowance to average Portfolio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0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Allocation of the Allowance for Credit Losses (1)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January 1,</w:t>
            </w:r>
          </w:p>
        </w:tc>
      </w:tr>
      <w:tr>
        <w:trPr>
          <w:trHeight w:val="237"/>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Pooled analysis allocations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30,796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allocations based on subjective factors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47,137</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January 1, 2021 includes impact of the adoption of CECL.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January 1, 2021, we calculated the ACL using the current expected credit losses methodology. As of January 1, 2021, we increased the ACL for loans by $11.7 million and increased the ACL for unfunded loan commitments by $1.5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ACL decreased $0.4 million to $46.8 million at March 31, 2021 from $47.1 million at January 1, 2021 (CECL adoption date) and was equal to 1.68% of total Portfolio Loans at March 31, 2021.</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of the three components of the ACL outlined above decreased during the first quarter of 2021. The ACL related to specific loans decreased $0.3 million during the first quarter of 2021 due primarily to a $3.3 million decrease in the amount of such loans. The ACL related to pooled analysis of loans decreased $1.0 million due primarily to a $9.1 million decrease in the balance of such loans. The ACL related to subjective factors increased $0.9 million during the first quarter of 2021, due in part to the potential impact of the reported increase in COVID-19 cases in the State of Michigan.</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Deposits and borrowings. </w:t>
      </w:r>
      <w:r>
        <w:rPr>
          <w:rFonts w:ascii="Arial" w:cs="Arial" w:eastAsia="Arial" w:hAnsi="Arial"/>
          <w:sz w:val="16"/>
          <w:szCs w:val="16"/>
          <w:color w:val="auto"/>
        </w:rPr>
        <w:t>Historically, the loyalty of our customer base has allowed us to price deposits competitively, contributing to a net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Deposits totaled $3.86 billion and $3.64 billion at March 31, 2021 and December 31, 2020, respectively. The increase in deposits is primarily due to growth in non-interest bearing deposits, savings and interest bearing checking deposits and reciprocal deposits that were partially offset by a decline in time and brokered time deposits. Reciprocal deposits totaled $608.7 million and $556.2 million at March 31, 2021 and December 31, 2020,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March 31, 2021, we had approximately $850.9 million of uninsured deposits. A reduction in core deposits would likely increase our need to rely on wholesale funding sources.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Other borrowings, comprised primarily of advances from the FHLB, totaled $30.0 million at both March 31, 2021 and December 31, 2020, respectively.</w:t>
      </w: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we utilize wholesale funding, including federal funds purchased, FHLB and FRB borrowings and Brokered CDs to augment our core deposits and fund a portion of our assets. At March 31, 2021, our use of such wholesale funding sources (including reciprocal deposits) amounted to approximately $641.6 million, or 16.5%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quarter of 2021 and 2020, we entered into $7.6 million and $21.2 million (aggregate notional amounts), respectively, of interest rate swaps with commercial loan customers, which were offset with interest rate swaps that the Bank entered into with a broker-dealer. We recorded $0.09 million and $0.17 million of fee income related to these transactions during the first quarter of 2021 and 2020, respectively. See note #6 to the Condensed Consolidated Financial Statements included within this report for more information on our derivative financial instruments.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97"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At March 31, 2021, we had $232.5 million of time deposits that mature in the next 12 months. Historically, a majority of these maturing time deposits are renewed by our customers. Additionally, $3.54 billion of our deposits at March 31, 2021,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$49.7 million as of March 31, 2021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860" w:type="dxa"/>
            <w:vAlign w:val="bottom"/>
          </w:tcPr>
          <w:p>
            <w:pPr>
              <w:spacing w:after="0"/>
              <w:rPr>
                <w:sz w:val="24"/>
                <w:szCs w:val="24"/>
                <w:color w:val="auto"/>
              </w:rPr>
            </w:pPr>
          </w:p>
        </w:tc>
        <w:tc>
          <w:tcPr>
            <w:tcW w:w="1040" w:type="dxa"/>
            <w:vAlign w:val="bottom"/>
            <w:gridSpan w:val="3"/>
          </w:tcPr>
          <w:p>
            <w:pPr>
              <w:jc w:val="right"/>
              <w:ind w:right="150"/>
              <w:spacing w:after="0"/>
              <w:rPr>
                <w:sz w:val="20"/>
                <w:szCs w:val="20"/>
                <w:color w:val="auto"/>
              </w:rPr>
            </w:pPr>
            <w:r>
              <w:rPr>
                <w:rFonts w:ascii="Arial" w:cs="Arial" w:eastAsia="Arial" w:hAnsi="Arial"/>
                <w:sz w:val="18"/>
                <w:szCs w:val="18"/>
                <w:color w:val="auto"/>
                <w:w w:val="97"/>
              </w:rPr>
              <w:t>March 31,</w:t>
            </w:r>
          </w:p>
        </w:tc>
        <w:tc>
          <w:tcPr>
            <w:tcW w:w="1080" w:type="dxa"/>
            <w:vAlign w:val="bottom"/>
            <w:gridSpan w:val="3"/>
          </w:tcPr>
          <w:p>
            <w:pPr>
              <w:spacing w:after="0"/>
              <w:rPr>
                <w:sz w:val="20"/>
                <w:szCs w:val="20"/>
                <w:color w:val="auto"/>
              </w:rPr>
            </w:pPr>
            <w:r>
              <w:rPr>
                <w:rFonts w:ascii="Arial" w:cs="Arial" w:eastAsia="Arial" w:hAnsi="Arial"/>
                <w:sz w:val="18"/>
                <w:szCs w:val="18"/>
                <w:color w:val="auto"/>
                <w:w w:val="93"/>
              </w:rPr>
              <w:t>December 31,</w:t>
            </w:r>
          </w:p>
        </w:tc>
      </w:tr>
      <w:tr>
        <w:trPr>
          <w:trHeight w:val="237"/>
        </w:trPr>
        <w:tc>
          <w:tcPr>
            <w:tcW w:w="6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160" w:type="dxa"/>
            <w:vAlign w:val="bottom"/>
            <w:gridSpan w:val="3"/>
          </w:tcPr>
          <w:p>
            <w:pPr>
              <w:jc w:val="right"/>
              <w:ind w:right="410"/>
              <w:spacing w:after="0"/>
              <w:rPr>
                <w:sz w:val="20"/>
                <w:szCs w:val="20"/>
                <w:color w:val="auto"/>
              </w:rPr>
            </w:pPr>
            <w:r>
              <w:rPr>
                <w:rFonts w:ascii="Arial" w:cs="Arial" w:eastAsia="Arial" w:hAnsi="Arial"/>
                <w:sz w:val="18"/>
                <w:szCs w:val="18"/>
                <w:color w:val="auto"/>
                <w:w w:val="71"/>
              </w:rPr>
              <w:t>thousands)</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39,524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r>
      <w:tr>
        <w:trPr>
          <w:trHeight w:val="27"/>
        </w:trPr>
        <w:tc>
          <w:tcPr>
            <w:tcW w:w="6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6860" w:type="dxa"/>
            <w:vAlign w:val="bottom"/>
          </w:tcPr>
          <w:p>
            <w:pPr>
              <w:ind w:left="140"/>
              <w:spacing w:after="0"/>
              <w:rPr>
                <w:sz w:val="20"/>
                <w:szCs w:val="20"/>
                <w:color w:val="auto"/>
              </w:rPr>
            </w:pPr>
            <w:r>
              <w:rPr>
                <w:rFonts w:ascii="Arial" w:cs="Arial" w:eastAsia="Arial" w:hAnsi="Arial"/>
                <w:sz w:val="18"/>
                <w:szCs w:val="18"/>
                <w:color w:val="auto"/>
              </w:rPr>
              <w:t>Amount qualifying as regulatory capital</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78,300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335,704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339,353</w:t>
            </w:r>
          </w:p>
        </w:tc>
      </w:tr>
      <w:tr>
        <w:trPr>
          <w:trHeight w:val="216"/>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40,145</w:t>
            </w:r>
          </w:p>
        </w:tc>
      </w:tr>
      <w:tr>
        <w:trPr>
          <w:trHeight w:val="223"/>
        </w:trPr>
        <w:tc>
          <w:tcPr>
            <w:tcW w:w="68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10,024</w:t>
            </w:r>
          </w:p>
        </w:tc>
      </w:tr>
      <w:tr>
        <w:trPr>
          <w:trHeight w:val="223"/>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387,329</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465,646</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467,822</w:t>
            </w:r>
          </w:p>
        </w:tc>
      </w:tr>
      <w:tr>
        <w:trPr>
          <w:trHeight w:val="21"/>
        </w:trPr>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March 31, 2021 balance of $39.3 million is net of remaining unamortized deferred issuance costs of approximately $0.7 million that are being amortized through the maturity date into interest expense on other borrowings and subordinated debt and debentures in our Condensed Consolidated Statement of Operations.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special purpose entities with $39.5 million of outstanding cumulative trust preferred securities as of March 31, 2021.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2021 and December 31, 2020.</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Common shareholders’ equity decreased to $387.3 million at March 31, 2021, from $389.5 million at December 31, 2020, due primarily to a $10.3 million reduction in capital related to the adoption of CECL, a $5.7 million decrease in our accumulated other comprehensive income, by share repurchases and cash dividend payments that were partially offset by net income. Our tangible common equity (“TCE”) totaled $355.0 million and $356.9 million, respectively, at those same dates. Our ratio of TCE to tangible assets was 8.08% and 8.56% at March 31, 2021, and December 31, 2020, respectively. TCE and the ratio of TCE to tangible assets are non-GAAP measures. TCE represents total common equity less goodwill and other intangible assets.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our Board of Directors authorized a 2021 share repurchase plan. Under the terms of the 2021 share repurchase plan, we were authorized to buy back up 1,100,000, or approximately 5% of our outstanding common stock. During the first three months of 2021, the Company repurchased 180,667 shares at a weighted average purchase price of $19.93 per share.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$0.21 per share and $0.20 per share in the first quarters of 2021 and 2020, respectively. We generally favor a dividend payout ratio between 30% and 50% of net income.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and December 31, 2020, our Bank (and holding company) continued to meet the requirements to be considered “well-capitalized” under federal regulatory standards (also see note #10 to the Condensed Consolidated Financial Statements included within this report).</w:t>
      </w:r>
    </w:p>
    <w:p>
      <w:pPr>
        <w:spacing w:after="0" w:line="16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80" w:type="dxa"/>
            <w:vAlign w:val="bottom"/>
            <w:gridSpan w:val="7"/>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9"/>
              </w:rPr>
              <w:t>Market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Value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Portfolio</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Equity(1)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526,600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539,500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132,600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519,500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460,200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122,800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494,600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483,200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123,700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395,500</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114,900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12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340" w:hanging="332"/>
        <w:spacing w:after="0" w:line="255"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We adopted CECL on January 1, 2021 which changed the way we calculate our ACL. See notes #2 and #4 to the Condensed Consolidated Financial Statements included within this report for further discussion on CECL. There was no material change to our critical accounting policy on capitalized mortgage loan servicing rights as disclosed in our Annual Report on Form 10-K for the year ended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2021, have concluded that, as of such date, our disclosure controls and procedures were effective.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March 31, 2021, there were no changes in our internal control over financial reporting that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 factors disclosed in the Company’s Annual Report on Form 10-K for the year ended December 31, 2020, the following risk factors apply to the Company: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Since then, the Michigan Department of Health and Human Services (MDHHS) has issued orders similar to the Governor's executive orders under authority granted to the MDHHS by the Michigan Public Health Code – a different statute than the law on which the Governor based her executive orders. Under the MDHHS' orders, social distancing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region of the state in which they are located. It is currently expected that various forms of state and local government restrictions similar to those described above will continue through the fourth quarter and perhaps beyond. As a result of these events, Michigan has experienced an increase in unemployment. On December 11, 2020, the U.S. Food and Drug Administration (FDA) issued its first emergency use authorization for a COVID-19 vaccine. Since that time, the FDA has issued other emergency use authorizations for additional vaccines, and the United States has seen a rapid increase in the number of individuals receiving vaccinations. The U.S. Centers for Disease Control and Prevention (CDC) states that widespread vaccinations may lead to greater immunity, which ultimately is expected to result in slowing the spread of the virus.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and the related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increases in allowance for credit losses may be necessary;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spread of COVID-19 has caused us to modify many of our business practices. Currently, approximately 38%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 Similarly, while we hope vaccinations will lessen the impact of the virus on our business, there is still a significant degree of uncertainty with respect to the potential impact of widespread vaccinations.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PPP loans are eligible for forgiveness, subject to numerous limitations. The Bank is participating as a lender in the PPP. 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 Since then, the SBA and U.S. Department of Treasury have provided additional guidance and clarity on the PPP through the issuance of over 20 interim final rules implementing the PPP. On or about April 16, 2020, the SBA notified lenders that the $349 billion earmarked for the PPP was exhausted. The PPP was then expanded by the Paycheck Protection Program and Health Care Enhancement Act in late April 2020, adding an additional $310 billion in funding while the Paycheck Protection Program Flexibility Act made certain changes to the PPP by allowing for more time to spend the funds and making it easier to get a loan fully forgiven. The PPP initially closed on August 8, 2020 (“Round 1”). On December 27, 2020, the Economic Aid to Hard-Hit Small Businesses, Nonprofits, and Venues Act (‘‘Economic Aid Act’’) was signed into law which allocates an additional $284 billion in funding for the PPP (“Round 2”). The Economic Aid Act reopens the PPP through March 31, 2021 with generally the same terms and conditions as originally enacted under the CARES Act while clarifying eligibility and ineligibility for certain entities and expanding the permitted uses of PPP funds. In addition, the Economic Aid Act simplifies the loan forgiveness process for PPP loans of $150,000 or less. The Economic Aid Act also establishes second draw loans for entities that have already used the initial PPP funds, subject to numerous limitations and eligibility criteria. PPP Round 2 loans are eligible for forgiveness similar to Round 1 PPP loans, subject to limitations set forth in the Economic Aid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1,948 PPP loans outstanding with a total balance of $234.2 million.</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Arial" w:cs="Arial" w:eastAsia="Arial" w:hAnsi="Arial"/>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2021, the Company issued 374 shares of common stock to non-employee directors on a current basis and 4,692 shares of common stock to the trust for distribution to directors on a deferred basis. These shares were issued on January 1, 2021 representing aggregate fees of $0.09 million. The shares on a current basis were issued at a price of $18.47 per share and the shares on a deferred basis were issued at a price of $16.62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March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3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Shares Purchased (1)</w:t>
            </w: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Paid Per Share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January 2021</w:t>
            </w:r>
          </w:p>
        </w:tc>
        <w:tc>
          <w:tcPr>
            <w:tcW w:w="3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25,865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1,100,000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2021</w:t>
            </w:r>
          </w:p>
        </w:tc>
        <w:tc>
          <w:tcPr>
            <w:tcW w:w="3720" w:type="dxa"/>
            <w:vAlign w:val="bottom"/>
            <w:gridSpan w:val="2"/>
          </w:tcPr>
          <w:p>
            <w:pPr>
              <w:jc w:val="right"/>
              <w:ind w:right="10"/>
              <w:spacing w:after="0"/>
              <w:rPr>
                <w:sz w:val="20"/>
                <w:szCs w:val="20"/>
                <w:color w:val="auto"/>
              </w:rPr>
            </w:pPr>
            <w:r>
              <w:rPr>
                <w:rFonts w:ascii="Arial" w:cs="Arial" w:eastAsia="Arial" w:hAnsi="Arial"/>
                <w:sz w:val="18"/>
                <w:szCs w:val="18"/>
                <w:color w:val="auto"/>
              </w:rPr>
              <w:t>235,643</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180,667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919,333</w:t>
            </w:r>
          </w:p>
        </w:tc>
      </w:tr>
      <w:tr>
        <w:trPr>
          <w:trHeight w:val="22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2021</w:t>
            </w:r>
          </w:p>
        </w:tc>
        <w:tc>
          <w:tcPr>
            <w:tcW w:w="2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919,333</w:t>
            </w:r>
          </w:p>
        </w:tc>
      </w:tr>
      <w:tr>
        <w:trPr>
          <w:trHeight w:val="216"/>
        </w:trPr>
        <w:tc>
          <w:tcPr>
            <w:tcW w:w="3180" w:type="dxa"/>
            <w:vAlign w:val="bottom"/>
          </w:tcPr>
          <w:p>
            <w:pPr>
              <w:ind w:left="140"/>
              <w:spacing w:after="0"/>
              <w:rPr>
                <w:sz w:val="20"/>
                <w:szCs w:val="20"/>
                <w:color w:val="auto"/>
              </w:rPr>
            </w:pPr>
            <w:r>
              <w:rPr>
                <w:rFonts w:ascii="Arial" w:cs="Arial" w:eastAsia="Arial" w:hAnsi="Arial"/>
                <w:sz w:val="18"/>
                <w:szCs w:val="18"/>
                <w:color w:val="auto"/>
              </w:rPr>
              <w:t>Total</w:t>
            </w:r>
          </w:p>
        </w:tc>
        <w:tc>
          <w:tcPr>
            <w:tcW w:w="3720" w:type="dxa"/>
            <w:vAlign w:val="bottom"/>
            <w:gridSpan w:val="2"/>
          </w:tcPr>
          <w:p>
            <w:pPr>
              <w:jc w:val="right"/>
              <w:ind w:right="10"/>
              <w:spacing w:after="0"/>
              <w:rPr>
                <w:sz w:val="20"/>
                <w:szCs w:val="20"/>
                <w:color w:val="auto"/>
              </w:rPr>
            </w:pPr>
            <w:r>
              <w:rPr>
                <w:rFonts w:ascii="Arial" w:cs="Arial" w:eastAsia="Arial" w:hAnsi="Arial"/>
                <w:sz w:val="18"/>
                <w:szCs w:val="18"/>
                <w:color w:val="auto"/>
              </w:rPr>
              <w:t>263,087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180,667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919,333</w:t>
            </w:r>
          </w:p>
        </w:tc>
      </w:tr>
      <w:tr>
        <w:trPr>
          <w:trHeight w:val="21"/>
        </w:trPr>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301"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January, February and March include 25,865 shares, 80 and 1,579 shares, respectively, withheld from the shares that would otherwise have been issued to certain officers in order to satisfy tax withholding obligations resulting from the vesting of restricted stock as well as satisfy tax withholding obligations and stock option exercise price resulting from the exercise of stock options. February also includes 54,896 shares of our common stock purchased in the open market by the Independent Bank Corporation Employee Stock Ownership Trust as part of our employee stock ownership plan.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exhibits (listed by number corresponding to the Exhibit Table as Item 601 in Regulation S-K) are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680"/>
        <w:spacing w:after="0"/>
        <w:tabs>
          <w:tab w:leader="none" w:pos="1260" w:val="left"/>
        </w:tabs>
        <w:rPr>
          <w:rFonts w:ascii="Arial" w:cs="Arial" w:eastAsia="Arial" w:hAnsi="Arial"/>
          <w:sz w:val="18"/>
          <w:szCs w:val="18"/>
          <w:color w:val="0000EE"/>
        </w:rPr>
      </w:pPr>
      <w:hyperlink w:anchor="page96">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302 of the Sarbanes-Oxley Act of 2002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ind w:left="680"/>
        <w:spacing w:after="0"/>
        <w:tabs>
          <w:tab w:leader="none" w:pos="1260" w:val="left"/>
        </w:tabs>
        <w:rPr>
          <w:rFonts w:ascii="Arial" w:cs="Arial" w:eastAsia="Arial" w:hAnsi="Arial"/>
          <w:sz w:val="18"/>
          <w:szCs w:val="18"/>
          <w:color w:val="0000EE"/>
        </w:rPr>
      </w:pPr>
      <w:hyperlink w:anchor="page97">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302 of the Sarbanes-Oxley Act of 2002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spacing w:after="0"/>
        <w:tabs>
          <w:tab w:leader="none" w:pos="1260" w:val="left"/>
        </w:tabs>
        <w:rPr>
          <w:rFonts w:ascii="Arial" w:cs="Arial" w:eastAsia="Arial" w:hAnsi="Arial"/>
          <w:sz w:val="18"/>
          <w:szCs w:val="18"/>
          <w:color w:val="0000EE"/>
        </w:rPr>
      </w:pPr>
      <w:hyperlink w:anchor="page98">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906 of the Sarbanes-Oxley Act of 2002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ind w:left="680"/>
        <w:spacing w:after="0"/>
        <w:tabs>
          <w:tab w:leader="none" w:pos="1260" w:val="left"/>
        </w:tabs>
        <w:rPr>
          <w:rFonts w:ascii="Arial" w:cs="Arial" w:eastAsia="Arial" w:hAnsi="Arial"/>
          <w:sz w:val="18"/>
          <w:szCs w:val="18"/>
          <w:color w:val="0000EE"/>
        </w:rPr>
      </w:pPr>
      <w:hyperlink w:anchor="page99">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906 of the Sarbanes-Oxley Act of 2002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80" w:right="20" w:hanging="597"/>
        <w:spacing w:after="0" w:line="250"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ind w:left="1280" w:hanging="597"/>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80" w:hanging="597"/>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 Inline XBRL Taxonomy Extension Calculation Linkbase Document</w:t>
      </w:r>
    </w:p>
    <w:p>
      <w:pPr>
        <w:spacing w:after="0" w:line="9" w:lineRule="exact"/>
        <w:rPr>
          <w:sz w:val="20"/>
          <w:szCs w:val="20"/>
          <w:color w:val="auto"/>
        </w:rPr>
      </w:pPr>
    </w:p>
    <w:p>
      <w:pPr>
        <w:ind w:left="1280" w:hanging="597"/>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80" w:hanging="597"/>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LAB Inline XBRL Taxonomy Extension Label Linkbase Document</w:t>
      </w:r>
    </w:p>
    <w:p>
      <w:pPr>
        <w:spacing w:after="0" w:line="9" w:lineRule="exact"/>
        <w:rPr>
          <w:sz w:val="20"/>
          <w:szCs w:val="20"/>
          <w:color w:val="auto"/>
        </w:rPr>
      </w:pPr>
    </w:p>
    <w:p>
      <w:pPr>
        <w:ind w:left="1280" w:hanging="597"/>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3540" w:hanging="4857"/>
        <w:spacing w:after="0" w:line="761" w:lineRule="auto"/>
        <w:tabs>
          <w:tab w:leader="none" w:pos="1283"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1880" w:val="left"/>
          <w:tab w:leader="none" w:pos="58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85800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Gavin A. Mohr, Principal Financial Officer</w:t>
      </w:r>
    </w:p>
    <w:p>
      <w:pPr>
        <w:spacing w:after="0" w:line="225" w:lineRule="exact"/>
        <w:rPr>
          <w:sz w:val="20"/>
          <w:szCs w:val="20"/>
          <w:color w:val="auto"/>
        </w:rPr>
      </w:pPr>
    </w:p>
    <w:p>
      <w:pPr>
        <w:spacing w:after="0"/>
        <w:tabs>
          <w:tab w:leader="none" w:pos="1880" w:val="left"/>
          <w:tab w:leader="none" w:pos="58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85800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May 6, 2021</w:t>
            </w:r>
          </w:p>
        </w:tc>
        <w:tc>
          <w:tcPr>
            <w:tcW w:w="56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Gavin A. Mohr, certify that:</w:t>
      </w:r>
    </w:p>
    <w:p>
      <w:pPr>
        <w:spacing w:after="0" w:line="240"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May 6, 2021</w:t>
            </w:r>
          </w:p>
        </w:tc>
        <w:tc>
          <w:tcPr>
            <w:tcW w:w="5620" w:type="dxa"/>
            <w:vAlign w:val="bottom"/>
            <w:gridSpan w:val="2"/>
          </w:tcPr>
          <w:p>
            <w:pPr>
              <w:spacing w:after="0"/>
              <w:rPr>
                <w:sz w:val="20"/>
                <w:szCs w:val="20"/>
                <w:color w:val="auto"/>
              </w:rPr>
            </w:pPr>
            <w:r>
              <w:rPr>
                <w:rFonts w:ascii="Arial" w:cs="Arial" w:eastAsia="Arial" w:hAnsi="Arial"/>
                <w:sz w:val="18"/>
                <w:szCs w:val="18"/>
                <w:color w:val="auto"/>
              </w:rPr>
              <w:t>/s/ Gavin A. Mohr</w:t>
            </w:r>
          </w:p>
        </w:tc>
      </w:tr>
      <w:tr>
        <w:trPr>
          <w:trHeight w:val="20"/>
        </w:trPr>
        <w:tc>
          <w:tcPr>
            <w:tcW w:w="5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6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March 31, 2021,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right="140" w:firstLine="656"/>
        <w:spacing w:after="0" w:line="328" w:lineRule="auto"/>
        <w:tabs>
          <w:tab w:leader="none" w:pos="13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March 31, 2021,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May 6, 2021</w:t>
            </w:r>
          </w:p>
        </w:tc>
        <w:tc>
          <w:tcPr>
            <w:tcW w:w="31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Gavin A. Mohr, Chief Financial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75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March 31, 2021,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right="20" w:firstLine="656"/>
        <w:spacing w:after="0" w:line="328" w:lineRule="auto"/>
        <w:tabs>
          <w:tab w:leader="none" w:pos="1467"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March 31, 2021,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May 6, 2021</w:t>
            </w:r>
          </w:p>
        </w:tc>
        <w:tc>
          <w:tcPr>
            <w:tcW w:w="3120" w:type="dxa"/>
            <w:vAlign w:val="bottom"/>
            <w:gridSpan w:val="2"/>
          </w:tcPr>
          <w:p>
            <w:pPr>
              <w:spacing w:after="0"/>
              <w:rPr>
                <w:sz w:val="20"/>
                <w:szCs w:val="20"/>
                <w:color w:val="auto"/>
              </w:rPr>
            </w:pPr>
            <w:r>
              <w:rPr>
                <w:rFonts w:ascii="Arial" w:cs="Arial" w:eastAsia="Arial" w:hAnsi="Arial"/>
                <w:sz w:val="18"/>
                <w:szCs w:val="18"/>
                <w:color w:val="auto"/>
              </w:rPr>
              <w:t>/s/ Gavin A. Mohr</w:t>
            </w:r>
          </w:p>
        </w:tc>
      </w:tr>
      <w:tr>
        <w:trPr>
          <w:trHeight w:val="20"/>
        </w:trPr>
        <w:tc>
          <w:tcPr>
            <w:tcW w:w="5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upperLetter"/>
      <w:start w:val="68"/>
    </w:lvl>
  </w:abstractNum>
  <w:abstractNum w:abstractNumId="19">
    <w:nsid w:val="2CD89A32"/>
    <w:multiLevelType w:val="hybridMultilevel"/>
    <w:lvl w:ilvl="0">
      <w:lvlJc w:val="left"/>
      <w:lvlText w:val="%1."/>
      <w:numFmt w:val="decimal"/>
      <w:start w:val="5"/>
    </w:lvl>
  </w:abstractNum>
  <w:abstractNum w:abstractNumId="20">
    <w:nsid w:val="57E4CCAF"/>
    <w:multiLevelType w:val="hybridMultilevel"/>
    <w:lvl w:ilvl="0">
      <w:lvlJc w:val="left"/>
      <w:lvlText w:val="%1."/>
      <w:numFmt w:val="decimal"/>
      <w:start w:val="6"/>
    </w:lvl>
  </w:abstractNum>
  <w:abstractNum w:abstractNumId="21">
    <w:nsid w:val="7A6D8D3C"/>
    <w:multiLevelType w:val="hybridMultilevel"/>
    <w:lvl w:ilvl="0">
      <w:lvlJc w:val="left"/>
      <w:lvlText w:val="%1."/>
      <w:numFmt w:val="decimal"/>
      <w:start w:val="10"/>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2"/>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3"/>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14"/>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lvl w:ilvl="1">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5"/>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01"/>
    </w:lvl>
  </w:abstractNum>
  <w:abstractNum w:abstractNumId="59">
    <w:nsid w:val="5FF87E05"/>
    <w:multiLevelType w:val="hybridMultilevel"/>
    <w:lvl w:ilvl="0">
      <w:lvlJc w:val="left"/>
      <w:lvlText w:val="%1."/>
      <w:numFmt w:val="decimal"/>
      <w:start w:val="101"/>
    </w:lvl>
  </w:abstractNum>
  <w:abstractNum w:abstractNumId="60">
    <w:nsid w:val="2F305DEF"/>
    <w:multiLevelType w:val="hybridMultilevel"/>
    <w:lvl w:ilvl="0">
      <w:lvlJc w:val="left"/>
      <w:lvlText w:val="%1."/>
      <w:numFmt w:val="decimal"/>
      <w:start w:val="101"/>
    </w:lvl>
  </w:abstractNum>
  <w:abstractNum w:abstractNumId="61">
    <w:nsid w:val="25A70BF7"/>
    <w:multiLevelType w:val="hybridMultilevel"/>
    <w:lvl w:ilvl="0">
      <w:lvlJc w:val="left"/>
      <w:lvlText w:val="%1."/>
      <w:numFmt w:val="decimal"/>
      <w:start w:val="101"/>
    </w:lvl>
  </w:abstractNum>
  <w:abstractNum w:abstractNumId="62">
    <w:nsid w:val="1DBABF00"/>
    <w:multiLevelType w:val="hybridMultilevel"/>
    <w:lvl w:ilvl="0">
      <w:lvlJc w:val="left"/>
      <w:lvlText w:val="%1."/>
      <w:numFmt w:val="decimal"/>
      <w:start w:val="101"/>
    </w:lvl>
  </w:abstractNum>
  <w:abstractNum w:abstractNumId="63">
    <w:nsid w:val="4AD084E9"/>
    <w:multiLevelType w:val="hybridMultilevel"/>
    <w:lvl w:ilvl="0">
      <w:lvlJc w:val="left"/>
      <w:lvlText w:val="%1."/>
      <w:numFmt w:val="decimal"/>
      <w:start w:val="101"/>
    </w:lvl>
  </w:abstractNum>
  <w:abstractNum w:abstractNumId="64">
    <w:nsid w:val="1F48EAA1"/>
    <w:multiLevelType w:val="hybridMultilevel"/>
    <w:lvl w:ilvl="0">
      <w:lvlJc w:val="left"/>
      <w:lvlText w:val="%1"/>
      <w:numFmt w:val="decimal"/>
      <w:start w:val="104"/>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2021-05-06T10:51:32Z</dcterms:created>
  <dcterms:modified xsi:type="dcterms:W3CDTF">2021-05-06T10:51:32Z</dcterms:modified>
</cp:coreProperties>
</file>