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699135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724535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28" w:lineRule="exact"/>
        <w:rPr>
          <w:sz w:val="24"/>
          <w:szCs w:val="24"/>
          <w:color w:val="auto"/>
        </w:rPr>
      </w:pPr>
    </w:p>
    <w:p>
      <w:pPr>
        <w:jc w:val="center"/>
        <w:ind w:right="20"/>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Annual Report Pursuant to Section 13 or 15(d) of the Securities Exchange Act of 1934 for the fiscal year ended December 31, 2023 or</w:t>
      </w:r>
    </w:p>
    <w:p>
      <w:pPr>
        <w:spacing w:after="0" w:line="25" w:lineRule="exact"/>
        <w:rPr>
          <w:sz w:val="24"/>
          <w:szCs w:val="24"/>
          <w:color w:val="auto"/>
        </w:rPr>
      </w:pPr>
    </w:p>
    <w:p>
      <w:pPr>
        <w:ind w:left="40"/>
        <w:spacing w:after="0"/>
        <w:rPr>
          <w:sz w:val="20"/>
          <w:szCs w:val="20"/>
          <w:color w:val="auto"/>
        </w:rPr>
      </w:pPr>
      <w:r>
        <w:rPr>
          <w:rFonts w:ascii="Wingdings" w:cs="Wingdings" w:eastAsia="Wingdings" w:hAnsi="Wingdings"/>
          <w:sz w:val="17"/>
          <w:szCs w:val="17"/>
          <w:b w:val="1"/>
          <w:bCs w:val="1"/>
          <w:color w:val="auto"/>
        </w:rPr>
        <w:t xml:space="preserve">o </w:t>
      </w:r>
      <w:r>
        <w:rPr>
          <w:rFonts w:ascii="Times New Roman" w:cs="Times New Roman" w:eastAsia="Times New Roman" w:hAnsi="Times New Roman"/>
          <w:sz w:val="17"/>
          <w:szCs w:val="17"/>
          <w:color w:val="auto"/>
        </w:rPr>
        <w:t>Transition Report Pursuant to Section 13 or 15(d) of the Securities Exchange Act of 1934 for the transition period from _____________to_____________</w:t>
      </w:r>
    </w:p>
    <w:p>
      <w:pPr>
        <w:spacing w:after="0" w:line="160" w:lineRule="exact"/>
        <w:rPr>
          <w:sz w:val="24"/>
          <w:szCs w:val="24"/>
          <w:color w:val="auto"/>
        </w:rPr>
      </w:pPr>
    </w:p>
    <w:tbl>
      <w:tblPr>
        <w:tblLayout w:type="fixed"/>
        <w:tblInd w:w="20" w:type="dxa"/>
        <w:tblCellMar>
          <w:top w:w="0" w:type="dxa"/>
          <w:left w:w="0" w:type="dxa"/>
          <w:bottom w:w="0" w:type="dxa"/>
          <w:right w:w="0" w:type="dxa"/>
        </w:tblCellMar>
      </w:tblPr>
      <w:tr>
        <w:trPr>
          <w:trHeight w:val="232"/>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w:t>
            </w:r>
          </w:p>
        </w:tc>
        <w:tc>
          <w:tcPr>
            <w:tcW w:w="8520" w:type="dxa"/>
            <w:vAlign w:val="bottom"/>
          </w:tcPr>
          <w:p>
            <w:pPr>
              <w:jc w:val="right"/>
              <w:ind w:right="3911"/>
              <w:spacing w:after="0"/>
              <w:rPr>
                <w:sz w:val="20"/>
                <w:szCs w:val="20"/>
                <w:color w:val="auto"/>
              </w:rPr>
            </w:pPr>
            <w:r>
              <w:rPr>
                <w:rFonts w:ascii="Times New Roman" w:cs="Times New Roman" w:eastAsia="Times New Roman" w:hAnsi="Times New Roman"/>
                <w:sz w:val="18"/>
                <w:szCs w:val="18"/>
                <w:color w:val="auto"/>
              </w:rPr>
              <w:t>0-7818</w:t>
            </w:r>
          </w:p>
        </w:tc>
      </w:tr>
      <w:tr>
        <w:trPr>
          <w:trHeight w:val="26"/>
        </w:trPr>
        <w:tc>
          <w:tcPr>
            <w:tcW w:w="2700" w:type="dxa"/>
            <w:vAlign w:val="bottom"/>
          </w:tcPr>
          <w:p>
            <w:pPr>
              <w:spacing w:after="0"/>
              <w:rPr>
                <w:sz w:val="2"/>
                <w:szCs w:val="2"/>
                <w:color w:val="auto"/>
              </w:rPr>
            </w:pPr>
          </w:p>
        </w:tc>
        <w:tc>
          <w:tcPr>
            <w:tcW w:w="8520" w:type="dxa"/>
            <w:vAlign w:val="bottom"/>
            <w:tcBorders>
              <w:bottom w:val="single" w:sz="8" w:color="auto"/>
            </w:tcBorders>
          </w:tcPr>
          <w:p>
            <w:pPr>
              <w:spacing w:after="0"/>
              <w:rPr>
                <w:sz w:val="2"/>
                <w:szCs w:val="2"/>
                <w:color w:val="auto"/>
              </w:rPr>
            </w:pPr>
          </w:p>
        </w:tc>
      </w:tr>
    </w:tbl>
    <w:p>
      <w:pPr>
        <w:spacing w:after="0" w:line="2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47625</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87"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56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Michigan</w:t>
            </w:r>
          </w:p>
        </w:tc>
        <w:tc>
          <w:tcPr>
            <w:tcW w:w="5600" w:type="dxa"/>
            <w:vAlign w:val="bottom"/>
          </w:tcPr>
          <w:p>
            <w:pPr>
              <w:jc w:val="right"/>
              <w:ind w:right="2291"/>
              <w:spacing w:after="0"/>
              <w:rPr>
                <w:sz w:val="20"/>
                <w:szCs w:val="20"/>
                <w:color w:val="auto"/>
              </w:rPr>
            </w:pPr>
            <w:r>
              <w:rPr>
                <w:rFonts w:ascii="Times New Roman" w:cs="Times New Roman" w:eastAsia="Times New Roman" w:hAnsi="Times New Roman"/>
                <w:sz w:val="18"/>
                <w:szCs w:val="18"/>
                <w:color w:val="auto"/>
              </w:rPr>
              <w:t>38-2032782</w:t>
            </w:r>
          </w:p>
        </w:tc>
      </w:tr>
      <w:tr>
        <w:trPr>
          <w:trHeight w:val="26"/>
        </w:trPr>
        <w:tc>
          <w:tcPr>
            <w:tcW w:w="5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34"/>
        </w:trPr>
        <w:tc>
          <w:tcPr>
            <w:tcW w:w="56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(I.R.S. employer identification no.)</w:t>
            </w:r>
          </w:p>
        </w:tc>
      </w:tr>
      <w:tr>
        <w:trPr>
          <w:trHeight w:val="480"/>
        </w:trPr>
        <w:tc>
          <w:tcPr>
            <w:tcW w:w="56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4200 East Beltline, Grand Rapids, Michigan</w:t>
            </w:r>
          </w:p>
        </w:tc>
        <w:tc>
          <w:tcPr>
            <w:tcW w:w="5600" w:type="dxa"/>
            <w:vAlign w:val="bottom"/>
          </w:tcPr>
          <w:p>
            <w:pPr>
              <w:jc w:val="right"/>
              <w:ind w:right="2491"/>
              <w:spacing w:after="0"/>
              <w:rPr>
                <w:sz w:val="20"/>
                <w:szCs w:val="20"/>
                <w:color w:val="auto"/>
              </w:rPr>
            </w:pPr>
            <w:r>
              <w:rPr>
                <w:rFonts w:ascii="Times New Roman" w:cs="Times New Roman" w:eastAsia="Times New Roman" w:hAnsi="Times New Roman"/>
                <w:sz w:val="18"/>
                <w:szCs w:val="18"/>
                <w:color w:val="auto"/>
              </w:rPr>
              <w:t>49525</w:t>
            </w:r>
          </w:p>
        </w:tc>
      </w:tr>
      <w:tr>
        <w:trPr>
          <w:trHeight w:val="26"/>
        </w:trPr>
        <w:tc>
          <w:tcPr>
            <w:tcW w:w="5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34"/>
        </w:trPr>
        <w:tc>
          <w:tcPr>
            <w:tcW w:w="56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53"/>
        </w:trPr>
        <w:tc>
          <w:tcPr>
            <w:tcW w:w="56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234"/>
        </w:trPr>
        <w:tc>
          <w:tcPr>
            <w:tcW w:w="5640" w:type="dxa"/>
            <w:vAlign w:val="bottom"/>
            <w:tcBorders>
              <w:right w:val="single" w:sz="8" w:color="auto"/>
            </w:tcBorders>
            <w:gridSpan w:val="2"/>
          </w:tcPr>
          <w:p>
            <w:pPr>
              <w:ind w:left="10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20" w:type="dxa"/>
            <w:vAlign w:val="bottom"/>
            <w:tcBorders>
              <w:top w:val="single" w:sz="8" w:color="auto"/>
            </w:tcBorders>
          </w:tcPr>
          <w:p>
            <w:pPr>
              <w:spacing w:after="0"/>
              <w:rPr>
                <w:sz w:val="20"/>
                <w:szCs w:val="20"/>
                <w:color w:val="auto"/>
              </w:rPr>
            </w:pPr>
          </w:p>
        </w:tc>
        <w:tc>
          <w:tcPr>
            <w:tcW w:w="5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(616) 527-5820</w:t>
            </w:r>
          </w:p>
        </w:tc>
      </w:tr>
      <w:tr>
        <w:trPr>
          <w:trHeight w:val="26"/>
        </w:trPr>
        <w:tc>
          <w:tcPr>
            <w:tcW w:w="558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bl>
    <w:p>
      <w:pPr>
        <w:spacing w:after="0" w:line="1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60"/>
        </w:trPr>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000" w:type="dxa"/>
            <w:vAlign w:val="bottom"/>
            <w:tcBorders>
              <w:bottom w:val="single" w:sz="8" w:color="auto"/>
            </w:tcBorders>
          </w:tcPr>
          <w:p>
            <w:pPr>
              <w:spacing w:after="0"/>
              <w:rPr>
                <w:sz w:val="22"/>
                <w:szCs w:val="22"/>
                <w:color w:val="auto"/>
              </w:rPr>
            </w:pPr>
          </w:p>
        </w:tc>
        <w:tc>
          <w:tcPr>
            <w:tcW w:w="2760" w:type="dxa"/>
            <w:vAlign w:val="bottom"/>
            <w:tcBorders>
              <w:bottom w:val="single" w:sz="8" w:color="auto"/>
              <w:right w:val="single" w:sz="8" w:color="auto"/>
            </w:tcBorders>
          </w:tcPr>
          <w:p>
            <w:pPr>
              <w:jc w:val="center"/>
              <w:ind w:right="931"/>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 of each exchange on which registered</w:t>
            </w:r>
          </w:p>
        </w:tc>
      </w:tr>
      <w:tr>
        <w:trPr>
          <w:trHeight w:val="241"/>
        </w:trPr>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Common Stock, No Par Value</w:t>
            </w:r>
          </w:p>
        </w:tc>
        <w:tc>
          <w:tcPr>
            <w:tcW w:w="1000" w:type="dxa"/>
            <w:vAlign w:val="bottom"/>
          </w:tcPr>
          <w:p>
            <w:pPr>
              <w:spacing w:after="0"/>
              <w:rPr>
                <w:sz w:val="20"/>
                <w:szCs w:val="20"/>
                <w:color w:val="auto"/>
              </w:rPr>
            </w:pPr>
          </w:p>
        </w:tc>
        <w:tc>
          <w:tcPr>
            <w:tcW w:w="2760" w:type="dxa"/>
            <w:vAlign w:val="bottom"/>
            <w:tcBorders>
              <w:right w:val="single" w:sz="8" w:color="auto"/>
            </w:tcBorders>
          </w:tcPr>
          <w:p>
            <w:pPr>
              <w:jc w:val="center"/>
              <w:ind w:right="951"/>
              <w:spacing w:after="0"/>
              <w:rPr>
                <w:sz w:val="20"/>
                <w:szCs w:val="20"/>
                <w:color w:val="auto"/>
              </w:rPr>
            </w:pPr>
            <w:r>
              <w:rPr>
                <w:rFonts w:ascii="Times New Roman" w:cs="Times New Roman" w:eastAsia="Times New Roman" w:hAnsi="Times New Roman"/>
                <w:sz w:val="18"/>
                <w:szCs w:val="18"/>
                <w:color w:val="auto"/>
                <w:w w:val="99"/>
              </w:rPr>
              <w:t>IBCP</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26"/>
        </w:trPr>
        <w:tc>
          <w:tcPr>
            <w:tcW w:w="37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76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394"/>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2760" w:type="dxa"/>
            <w:vAlign w:val="bottom"/>
          </w:tcPr>
          <w:p>
            <w:pPr>
              <w:spacing w:after="0"/>
              <w:rPr>
                <w:sz w:val="24"/>
                <w:szCs w:val="24"/>
                <w:color w:val="auto"/>
              </w:rPr>
            </w:pPr>
          </w:p>
        </w:tc>
        <w:tc>
          <w:tcPr>
            <w:tcW w:w="3720" w:type="dxa"/>
            <w:vAlign w:val="bottom"/>
          </w:tcPr>
          <w:p>
            <w:pPr>
              <w:spacing w:after="0"/>
              <w:rPr>
                <w:sz w:val="24"/>
                <w:szCs w:val="24"/>
                <w:color w:val="auto"/>
              </w:rPr>
            </w:pPr>
          </w:p>
        </w:tc>
      </w:tr>
    </w:tbl>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during the preceding 12 months (or for such shorter period that the registrant was required to file such reports), and (2) has been subject to such filing</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requirements for the past 90 days.</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28" w:lineRule="exact"/>
        <w:rPr>
          <w:sz w:val="24"/>
          <w:szCs w:val="24"/>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3" w:lineRule="exact"/>
        <w:rPr>
          <w:sz w:val="24"/>
          <w:szCs w:val="24"/>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right="4000"/>
        <w:spacing w:after="0" w:line="255" w:lineRule="auto"/>
        <w:rPr>
          <w:sz w:val="20"/>
          <w:szCs w:val="20"/>
          <w:color w:val="auto"/>
        </w:rPr>
      </w:pPr>
      <w:r>
        <w:rPr>
          <w:rFonts w:ascii="Times New Roman" w:cs="Times New Roman" w:eastAsia="Times New Roman" w:hAnsi="Times New Roman"/>
          <w:sz w:val="18"/>
          <w:szCs w:val="18"/>
          <w:color w:val="auto"/>
        </w:rPr>
        <w:t xml:space="preserve">Large accelerated filer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Accelerated Filer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Non-accelerated filer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Smaller reporting company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Emerging growth company </w:t>
      </w:r>
      <w:r>
        <w:rPr>
          <w:rFonts w:ascii="Wingdings" w:cs="Wingdings" w:eastAsia="Wingdings" w:hAnsi="Wingdings"/>
          <w:sz w:val="18"/>
          <w:szCs w:val="18"/>
          <w:b w:val="1"/>
          <w:bCs w:val="1"/>
          <w:color w:val="auto"/>
        </w:rPr>
        <w:t>o</w:t>
      </w:r>
    </w:p>
    <w:p>
      <w:pPr>
        <w:spacing w:after="0" w:line="209" w:lineRule="exact"/>
        <w:rPr>
          <w:sz w:val="24"/>
          <w:szCs w:val="24"/>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89" w:lineRule="exact"/>
        <w:rPr>
          <w:sz w:val="24"/>
          <w:szCs w:val="24"/>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89"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190" w:lineRule="exact"/>
        <w:rPr>
          <w:sz w:val="24"/>
          <w:szCs w:val="24"/>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 of the Act).</w:t>
      </w:r>
    </w:p>
    <w:p>
      <w:pPr>
        <w:spacing w:after="0" w:line="25"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aggregate market value of the voting and non-voting common stock held by non-affiliates of the registrant as of June 30, 2023, was $347,018,642.</w:t>
      </w:r>
    </w:p>
    <w:p>
      <w:pPr>
        <w:sectPr>
          <w:pgSz w:w="11900" w:h="16838" w:orient="portrait"/>
          <w:cols w:equalWidth="0" w:num="1">
            <w:col w:w="11260"/>
          </w:cols>
          <w:pgMar w:left="320" w:top="1327" w:right="31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March 7, 2024 was 20,905,513.</w:t>
      </w:r>
    </w:p>
    <w:p>
      <w:pPr>
        <w:spacing w:after="0" w:line="24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Documents incorporated by reference: Portions of our definitive proxy statement and annual report, to be delivered to shareholders in connection with the April 23, 2024 Annual Meeting of Shareholders, are incorporated by reference into Part I, Part II, Part III, and Part IV of this Form 10-K.</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Exhibit Index appears on Pages 24-25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774065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117475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142875</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Statements in this Annual Report on Form 10-K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200" w:lineRule="exact"/>
        <w:rPr>
          <w:sz w:val="20"/>
          <w:szCs w:val="20"/>
          <w:color w:val="auto"/>
        </w:rPr>
      </w:pPr>
    </w:p>
    <w:p>
      <w:pPr>
        <w:ind w:left="800" w:hanging="473"/>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market, operational, liquidity, credit, and interest rate risks associated with our business;</w:t>
      </w:r>
    </w:p>
    <w:p>
      <w:pPr>
        <w:spacing w:after="0" w:line="25" w:lineRule="exact"/>
        <w:rPr>
          <w:rFonts w:ascii="Times New Roman" w:cs="Times New Roman" w:eastAsia="Times New Roman" w:hAnsi="Times New Roman"/>
          <w:sz w:val="18"/>
          <w:szCs w:val="18"/>
          <w:color w:val="auto"/>
        </w:rPr>
      </w:pPr>
    </w:p>
    <w:p>
      <w:pPr>
        <w:ind w:left="800" w:hanging="473"/>
        <w:spacing w:after="0" w:line="247" w:lineRule="auto"/>
        <w:tabs>
          <w:tab w:leader="none" w:pos="7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generally and in the financial services industry, particularly economic conditions within Michigan and the regional and local real estate markets in which our bank operates;</w:t>
      </w:r>
    </w:p>
    <w:p>
      <w:pPr>
        <w:ind w:left="800" w:hanging="473"/>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assumptions underlying the establishment of, and provisions made to, our allowance for credit losses;</w:t>
      </w:r>
    </w:p>
    <w:p>
      <w:pPr>
        <w:spacing w:after="0" w:line="6"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the financial services industry, either nationally or regionally;</w:t>
      </w:r>
    </w:p>
    <w:p>
      <w:pPr>
        <w:spacing w:after="0" w:line="6"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loan and deposit growth;</w:t>
      </w:r>
    </w:p>
    <w:p>
      <w:pPr>
        <w:spacing w:after="0" w:line="6"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direction of market interest rates;</w:t>
      </w:r>
    </w:p>
    <w:p>
      <w:pPr>
        <w:spacing w:after="0" w:line="6"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services of our management team; and</w:t>
      </w:r>
    </w:p>
    <w:p>
      <w:pPr>
        <w:spacing w:after="0" w:line="6"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new legislation, which may have significant effects on us and the financial services industry.</w:t>
      </w:r>
    </w:p>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list provides examples of factors that could affect the results described by forward-looking statements contained in this Annual Report on Form 10-K, but the list is not intended to be all-inclusive. The risk factors disclosed in Part I – Item 1A below include those risks our management believes could materially affect the results described by forward-looking statements in this report. However, those risks are not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our current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u w:val="single" w:color="auto"/>
          <w:color w:val="auto"/>
        </w:rPr>
        <w:t>PART I</w:t>
      </w:r>
    </w:p>
    <w:p>
      <w:pPr>
        <w:spacing w:after="0" w:line="22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7"/>
          <w:szCs w:val="17"/>
          <w:u w:val="single" w:color="auto"/>
          <w:color w:val="auto"/>
        </w:rPr>
        <w:t>BUSINESS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Independent Bank Corporation was incorporated under the laws of the State of Michigan on September 17, 1973, for the purpose of becoming a bank holding company. We are registered under the Bank Holding Company Act of 1956, as amended, and own all of the outstanding stock of Independent Bank (the "bank"), which is also organized under the laws of the State of Michigan. The bank was founded as First National Bank in Ionia in 1864. Over the years, we have grown both organically and as the result of acquisitions of community banks, bank branches, and other organizations within the financial services industry. Our most recent acquisition was our acquisition of Traverse City State Bank in April 2018.</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Aside from the stock of our bank, we have no other substantial assets. We conduct no business except for the collection of dividends or returns of capital from our bank and the payment of dividends to our shareholders and the payment of interest on subordinated debt and debentures. We have established certain employee retirement plans, including an employee stock ownership plan (ESOP) and deferred compensation plans, as well as health and other insurance programs, the cost of which is borne by our subsidiaries. We have no material patents, trademarks, licenses or franchises except the corporate charter of our bank, which permits it to engage in commercial banking pursuant to Michigan law.</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bank transacts business in the single industry of commercial banking. It offers a broad range of banking services to individuals and businesses, including checking and savings accounts, commercial lending, direct and indirect consumer financing, mortgage lending, and safe deposit box services. Our bank does not offer trust services. Our principal markets are the rural and suburban communities across Lower Michigan, which are served by the bank's main office in Grand Rapids, Michigan, and a total of 56 branches, two drive-thru facilities, and five Michigan based loan production offices. We also have one loan production facility in Ohio (Fairlawn). Most of our bank's branches provide full-service lobby and drive-thru services, as well as automatic teller machines (ATMs). In addition, we provide internet and mobile banking capabilities to our customers. We continue to see customer transaction volume declining at our bank offices and increasing through our electronic channels.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bank competes with other commercial banks, savings banks, credit unions, mortgage banking companies, fintech companies, securities brokerage companies, insurance companies, and money market mutual funds. Many of these competitors have substantially greater resources than we do and offer certain services that we do not currently provide. Such competitors may also have greater lending limits than our bank. In addition, non-bank competitors are generally not subject to the extensive regulations applicable to us. Price (the interest charged on loans and paid on deposits) remains a principal means of competition within the financial services industry. Our bank also competes on the basis of service and convenience in providing financial services.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our bank had total loans (excluding loans held for sale) of $3.791 billion and total deposits of $4.623 billion.</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2023, we had 741 full-time employees and 91 part-time employees. We compete for talent and human resources with other financial services organizations within our geographic market, which is largely the lower peninsula of Michigan. The market for residential mortgage loan officers and support staff is particularly competitive given the competitive nature of those products. We strive to be an employer of choice by offering competitive compensation and benefits as well as fostering strong employee relations through our culture, training and growth opportunities, and similar measures. As a community-oriented bank, we believe it is especially important for our employees to engage with the communities in our market areas, and we encourage and provide opportunities for our employees to volunteer with local organizations in the markets served by our bank branches.</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addition to general banking services, we also offer investment services through a third party agreement with Cetera Investment Services LLC and title insurance services.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4" w:name="page5"/>
    <w:bookmarkEnd w:id="4"/>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7"/>
          <w:szCs w:val="17"/>
          <w:u w:val="single" w:color="auto"/>
          <w:color w:val="auto"/>
        </w:rPr>
        <w:t xml:space="preserve">BUSINESS </w:t>
      </w:r>
      <w:r>
        <w:rPr>
          <w:rFonts w:ascii="Times New Roman" w:cs="Times New Roman" w:eastAsia="Times New Roman" w:hAnsi="Times New Roman"/>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On a consolidated basis, our principal sources of revenue are interest and fees on loans, other interest income, and non-interest income. The sources of revenue for the three most recent years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00" w:type="dxa"/>
            <w:vAlign w:val="bottom"/>
          </w:tcPr>
          <w:p>
            <w:pPr>
              <w:spacing w:after="0"/>
              <w:rPr>
                <w:sz w:val="20"/>
                <w:szCs w:val="20"/>
                <w:color w:val="auto"/>
              </w:rPr>
            </w:pPr>
          </w:p>
        </w:tc>
        <w:tc>
          <w:tcPr>
            <w:tcW w:w="158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158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58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2021</w:t>
            </w:r>
          </w:p>
        </w:tc>
      </w:tr>
      <w:tr>
        <w:trPr>
          <w:trHeight w:val="26"/>
        </w:trPr>
        <w:tc>
          <w:tcPr>
            <w:tcW w:w="63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0"/>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60.2 %</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54.3 %</w:t>
            </w:r>
          </w:p>
        </w:tc>
      </w:tr>
      <w:tr>
        <w:trPr>
          <w:trHeight w:val="241"/>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interest income</w:t>
            </w:r>
          </w:p>
        </w:tc>
        <w:tc>
          <w:tcPr>
            <w:tcW w:w="1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c>
          <w:tcPr>
            <w:tcW w:w="1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c>
          <w:tcPr>
            <w:tcW w:w="1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w:t>
            </w:r>
          </w:p>
        </w:tc>
      </w:tr>
      <w:tr>
        <w:trPr>
          <w:trHeight w:val="26"/>
        </w:trPr>
        <w:tc>
          <w:tcPr>
            <w:tcW w:w="6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67"/>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5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35.7</w:t>
            </w:r>
          </w:p>
        </w:tc>
      </w:tr>
      <w:tr>
        <w:trPr>
          <w:trHeight w:val="234"/>
        </w:trPr>
        <w:tc>
          <w:tcPr>
            <w:tcW w:w="63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6"/>
        </w:trPr>
        <w:tc>
          <w:tcPr>
            <w:tcW w:w="63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63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Supervision and Regulation</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following is a summary of certain statutes and regulations affecting us. This summary is qualified in its entirety by reference to the particular statutes and regulations. A change in applicable laws or regulations may have a material effect on us and our bank.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Financial institutions and their holding companies are extensively regulated under federal and state law. Consequently, our growth and earnings performance can be affected not only by management decisions and general and local economic conditions, but also by the statutes administered by, and the regulations and policies of, various governmental regulatory authorities. Those authorities include, but are not limited to, the Federal Reserve, the Federal Deposit Insurance Corporation ("FDIC"), the Michigan Department of Insurance and Financial Services ("Michigan DIFS"), the Internal Revenue Service, and state taxing authorities. The effect of such statutes, regulations and policies and any changes thereto can be significant and cannot necessarily be predicted.</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Federal and state laws and regulations generally applicable to financial institutions and their holding companies regulate, among other things, the scope of business, investments, reserves against deposits, capital levels, lending activities and practices, the nature and amount of collateral for loans, the establishment of branches, mergers, consolidations and dividends. The system of supervision and regulation applicable to us establishes a comprehensive framework for our operations and is intended primarily for the protection of the FDIC's deposit insurance fund, our depositors, and the public, rather than our shareholders.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Bank Corporation</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are a bank holding company and, as such, are registered with, and subject to regulation by, the Federal Reserve under the Bank Holding Company Act, as amended (the "BHCA"). Under the BHCA, we are subject to periodic examination by the Federal Reserve and are required to file periodic reports of operations and such additional information as the Federal Reserve may require.</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Federal law requires bank holding companies to act as a source of strength to their bank subsidiaries and to commit capital and financial resources to support those subsidiaries. Such support may be required by the Federal Reserve at times when we might otherwise determine not to provide it.</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if the Michigan DIFS deems a bank's capital to be impaired, it may require a bank to restore its capital by special assessment upon the bank holding company, as the bank's sole shareholder. If the bank holding company failed to pay such assessment, the directors of that bank would be required, under Michigan law, to sell the shares of bank stock owned by the bank holding company to the highest bidder at either public or private auction and use the proceeds of the sale to restore the bank's capital.</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Any capital loans by a bank holding company to a subsidiary bank are subordinate in right of payment to deposits and to certain other indebtedness of such subsidiary bank. In the event of a bank holding company's bankruptcy, any commitment by the bank holding company to a federal bank regulatory agency to maintain the capital of a subsidiary bank will be assumed by the bankruptcy trustee and entitled to a priority of payment.</w:t>
      </w:r>
    </w:p>
    <w:p>
      <w:pPr>
        <w:spacing w:after="0" w:line="17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i w:val="1"/>
          <w:iCs w:val="1"/>
          <w:u w:val="single" w:color="auto"/>
          <w:color w:val="auto"/>
        </w:rPr>
        <w:t>Investments and Activities</w:t>
      </w:r>
      <w:r>
        <w:rPr>
          <w:rFonts w:ascii="Times New Roman" w:cs="Times New Roman" w:eastAsia="Times New Roman" w:hAnsi="Times New Roman"/>
          <w:sz w:val="18"/>
          <w:szCs w:val="18"/>
          <w:color w:val="auto"/>
        </w:rPr>
        <w:t>. Federal law places restrictions on the ability of our holding company to engage in certain transactions, make investments,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 (directly or indirectly through a subsidiary) in various activities.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 w:name="page6"/>
    <w:bookmarkEnd w:id="5"/>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7"/>
          <w:szCs w:val="17"/>
          <w:u w:val="single" w:color="auto"/>
          <w:color w:val="auto"/>
        </w:rPr>
        <w:t xml:space="preserve">BUSINESS </w:t>
      </w:r>
      <w:r>
        <w:rPr>
          <w:rFonts w:ascii="Times New Roman" w:cs="Times New Roman" w:eastAsia="Times New Roman" w:hAnsi="Times New Roman"/>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general, any direct or indirect acquisition by a bank holding company of any voting shares of any bank which would result in the bank holding company's direct or indirect ownership or control of more than 5% of any class of voting shares of such bank, and any merger or consolidation of the bank holding company with another bank holding company, will require the prior written approval of the Federal Reserve under the BHCA. In acting on such applications, the Federal Reserve must consider various statutory factors including the effect of the proposed transaction on competition in relevant geographic and product markets and each party's financial condition, managerial resources, and record of performance under the Community Reinvestment Act.</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merger or consolidation of an existing bank subsidiary of a bank holding company with another bank, or the acquisition by such a subsidiary of the assets of another bank, or the assumption of the deposit and other liabilities by such a subsidiary requires the prior written approval of the responsible federal regulatory agency under the Bank Merger Act, based upon a consideration of statutory factors similar to those outlined above with respect to the BHCA. In addition, in certain cases, an application to, and the prior approval of, the Federal Reserve under the BHCA and/or Michigan DIFS under Michigan banking laws, may be required.</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With certain limited exceptions, the BHCA prohibits any bank holding company from engaging, either directly or indirectly through a subsidiary, in any activity other than managing or controlling banks unless the proposed non-banking activity is one the Federal Reserve has determined to be so closely related to banking as to be a proper incident thereto. Under current Federal Reserve regulations, such permissible non-banking activities include such things as mortgage banking, equipment leasing, securities brokerage, and consumer and commercial finance company operations. Well-capitalized and well-managed bank holding companies may, however, engage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in certain types of non-banking activities without prior notice to, or approval of, the Federal Reserve, provided that written notice of the new activity is given to the Federal Reserve within 10 business days after the activity is commenced. If a bank holding company wishes to engage in a non-banking activity by acquiring a going concern, prior notice and/or prior approval will be required, depending upon the activities in which the company to be acquired is engaged, the size of the company to be acquired and the financial and managerial condition of the acquiring bank holding company.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Eligible bank holding companies that elect to operate as financial holding companies may engage in, or own shares in companies engaged in, a wider range of non-banking activities, including securities and insurance activities and any other activity the Federal Reserve, in consultation with the U.S. Department of Treasury, (the "Treasury") determines by regulation or order is financial in nature, incidental to any such financial activity or complementary to any such financial activity and does not pose a substantial risk to the safety or soundness of depository institutions or the financial system generally. The BHCA generally does not place territorial restrictions on the domestic activities of non-bank subsidiaries of bank or financial holding companies. We have not applied for approval to operate as a financial holding company and have no current intention of doing so.</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u w:val="single" w:color="auto"/>
          <w:color w:val="auto"/>
        </w:rPr>
        <w:t>Capital Requirements</w:t>
      </w:r>
      <w:r>
        <w:rPr>
          <w:rFonts w:ascii="Times New Roman" w:cs="Times New Roman" w:eastAsia="Times New Roman" w:hAnsi="Times New Roman"/>
          <w:sz w:val="18"/>
          <w:szCs w:val="18"/>
          <w:color w:val="auto"/>
        </w:rPr>
        <w:t>. The Federal Reserve uses capital adequacy guidelines in its examination and regulation of bank holding companies. If capital falls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minimum guidelines, a bank holding company may, among other things, be denied approval to acquire or establish additional banks or non-bank businesses.</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Under current federal regulations, our holding company is required to maintain the following minimum capital ratios: (1) a minimum ratio of common equity Tier 1 capital to risk-weighted assets of 4.5%, (2) a minimum ratio of Tier 1 capital to risk-weighted assets of 6%, (3) a minimum ratio of total capital to total risk-weighted assets of 8%, and (4) a minimum leverage ratio of 4%. A 2.5% common equity Tier 1 capital conservation buffer is also required. As of December 31, 2023, our holding company's capital ratios exceeded minimum requirements for the well-capitalized category.</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It is important to note that these regulatory capital rules provide minimum requirements, and higher capital levels may be required if warranted by the particular circumstances or risk profiles of individual banking organizations. In addition, the federal bank regulatory agencies are required biennially to review risk-based capital standards to ensure that they adequately address interest rate risk, concentration of credit risk and risks from non-traditional activities.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Tier 1 capital as of December 31, 2023 includes $39.5 million of trust preferred securities (classified on our Consolidated Statements of Financial Condition as "Subordinated debentures"). The Federal Reserve has issued rules regarding trust preferred securities as a component of the Tier 1 capital of bank holding companies. The aggregate amount of trust preferred securities and certain other capital elements is limited to 25 percent of Tier 1 capital elements, net of goodwill (net of any associated deferred tax liability). The amount of trust preferred securities and certain other elements in excess of the limit could be included in the Tier 2 capital, subject to restrictions. The provisions of the Dodd-Frank Wall Street Reform and Consumer Protection Act adopted in 2010 (the "Dodd-Frank Act") imposed additional limitations on the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 w:name="page7"/>
    <w:bookmarkEnd w:id="6"/>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7"/>
          <w:szCs w:val="17"/>
          <w:u w:val="single" w:color="auto"/>
          <w:color w:val="auto"/>
        </w:rPr>
        <w:t xml:space="preserve">BUSINESS </w:t>
      </w:r>
      <w:r>
        <w:rPr>
          <w:rFonts w:ascii="Times New Roman" w:cs="Times New Roman" w:eastAsia="Times New Roman" w:hAnsi="Times New Roman"/>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ability to include trust preferred securities as Tier 1 capital; however, these additional limitations do not apply to our outstanding trust preferred securities.</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Tier 2 capital as of December 31, 2023 includes $40.0 million of subordinated notes that were issued during 2020 and mature May, 2030. Generally, for subordinated debt with a minimum maturity of five years, there is no limit on the amount of subordinated debt that can be included in Tier 2 capital.</w:t>
      </w:r>
    </w:p>
    <w:p>
      <w:pPr>
        <w:spacing w:after="0" w:line="16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Dividends</w:t>
      </w:r>
      <w:r>
        <w:rPr>
          <w:rFonts w:ascii="Times New Roman" w:cs="Times New Roman" w:eastAsia="Times New Roman" w:hAnsi="Times New Roman"/>
          <w:sz w:val="18"/>
          <w:szCs w:val="18"/>
          <w:color w:val="auto"/>
        </w:rPr>
        <w:t>. Historically, most of our revenues have been received in the form of dividends paid by our bank. We can also make requests for returns of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our bank; however, such requests require the approval of the Michigan DIFS. Thus, our ability to pay dividends to our shareholders is indirectly limited by restrictions on the ability of our bank to pay dividends or return capital to us, as described below. Further, in a policy statement, the Federal Reserve has expressed its view that a bank holding company experiencing earnings weaknesses should not pay cash dividends exceeding its net income or that can only be funded in ways that weaken the bank holding company's financial health, such as by borrowing. The Federal Reserve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 The "prompt corrective action" provisions of federal law and regulation authorize the Federal Reserve to restrict the amount of dividends that can be paid by an insured bank that fails to meet specified capital levels.</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to the restrictions on dividends imposed by the Federal Reserve, the Michigan Business Corporation Act provides that dividends may be legally declared or paid only if, after the distribution, the corporation can pay its debts as they come due in the usual course of business and its total assets equal or exceed the sum of its liabilities plus the amount that would be needed to satisfy the preferential rights upon dissolution of any holders of preferred stock whose preferential rights are superior to those receiving the distribution.</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Change in Control Limitations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certain exceptions, the Change in the Bank Control Act ("Control Act") and regulations promulgated thereunder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Federal Reserve, require any person acting directly or indirectly, or through or in concert with one or more persons, to give the Federal Reserve 60 days' written notice before acquiring control of a bank holding company. Pursuant to the Control Act, the Federal Reserve has the authority to prevent any such acquisition. Transactions that are presumed to constitute the acquisition of control include the acquisition of any voting securities of a bank holding company having securities registered under Section 12 of the Securities Exchange Act of 1934, as amended, if, after the transaction, the acquiring person (or persons acting in concert) owns, controls or holds with power to vote 10% or more of any class of voting securities of the institution.</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u w:val="single" w:color="auto"/>
          <w:color w:val="auto"/>
        </w:rPr>
        <w:t>Federal Securities Regulation</w:t>
      </w:r>
      <w:r>
        <w:rPr>
          <w:rFonts w:ascii="Times New Roman" w:cs="Times New Roman" w:eastAsia="Times New Roman" w:hAnsi="Times New Roman"/>
          <w:sz w:val="18"/>
          <w:szCs w:val="18"/>
          <w:color w:val="auto"/>
        </w:rPr>
        <w:t>. Our common stock is registered under the Securities Exchange Act of 1934, as amended (the "Exchange Act").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therefore subject to the information, proxy solicitation, insider trading and other restrictions and requirements of the Securities and Exchange Commission ("SEC") under the Exchange Act.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Bank</w:t>
      </w:r>
    </w:p>
    <w:p>
      <w:pPr>
        <w:spacing w:after="0" w:line="2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Independent Bank is a Michigan banking corporation and a member of the Federal Reserve System, and its deposit accounts are insured by the FDIC's Deposit Insurance Fund ("DIF"). As a member of the Federal Reserve System and a Michigan-chartered bank, our bank is subject to the examination, supervision, reporting and enforcement requirements of the Federal Reserve as its primary federal regulator and the Michigan DIFS as the chartering authority for Michigan banks. These agencies and the federal and state laws applicable to our bank and its operations extensively regulate various aspects of the banking business including, among other things, permissible types and amounts of loans, investments and other activities, capital adequacy, branching, interest rates on loans and on deposits, the maintenance of non-interest bearing reserves on deposit accounts, and the safety and soundness of banking practices.</w:t>
      </w:r>
    </w:p>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u w:val="single" w:color="auto"/>
          <w:color w:val="auto"/>
        </w:rPr>
        <w:t>Deposit Insurance</w:t>
      </w:r>
      <w:r>
        <w:rPr>
          <w:rFonts w:ascii="Times New Roman" w:cs="Times New Roman" w:eastAsia="Times New Roman" w:hAnsi="Times New Roman"/>
          <w:sz w:val="18"/>
          <w:szCs w:val="18"/>
          <w:color w:val="auto"/>
        </w:rPr>
        <w:t>. As an FDIC-insured institution, our bank is required to pay deposit insurance premium assessments to the FDIC. Under the FDIC’s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risk-based assessment system for deposit insurance premiums, our bank’s assessment rate is based on a formula using financial data and supervisory ratings.</w:t>
      </w:r>
    </w:p>
    <w:p>
      <w:pPr>
        <w:spacing w:after="0" w:line="1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u w:val="single" w:color="auto"/>
          <w:color w:val="auto"/>
        </w:rPr>
        <w:t>Michigan DIFS Assessments</w:t>
      </w:r>
      <w:r>
        <w:rPr>
          <w:rFonts w:ascii="Times New Roman" w:cs="Times New Roman" w:eastAsia="Times New Roman" w:hAnsi="Times New Roman"/>
          <w:sz w:val="18"/>
          <w:szCs w:val="18"/>
          <w:color w:val="auto"/>
        </w:rPr>
        <w:t>. Michigan banks are required to pay supervisory fees to the Michigan DIFS to fund their operations. The amount of supervisory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paid by a bank is based upon the bank's total assets, with surcharges imposed for certain banks with lower supervisory ratings.</w:t>
      </w:r>
    </w:p>
    <w:p>
      <w:pPr>
        <w:spacing w:after="0" w:line="17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i w:val="1"/>
          <w:iCs w:val="1"/>
          <w:u w:val="single" w:color="auto"/>
          <w:color w:val="auto"/>
        </w:rPr>
        <w:t>Capital Requirements</w:t>
      </w:r>
      <w:r>
        <w:rPr>
          <w:rFonts w:ascii="Times New Roman" w:cs="Times New Roman" w:eastAsia="Times New Roman" w:hAnsi="Times New Roman"/>
          <w:sz w:val="18"/>
          <w:szCs w:val="18"/>
          <w:color w:val="auto"/>
        </w:rPr>
        <w:t>. The Federal Reserve has established the following minimum capital standards for state-chartered, FDIC-insured member banks,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our bank: (1) a minimum ratio of common equity Tier 1 capital to risk-weighted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 w:name="page8"/>
    <w:bookmarkEnd w:id="7"/>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7"/>
          <w:szCs w:val="17"/>
          <w:u w:val="single" w:color="auto"/>
          <w:color w:val="auto"/>
        </w:rPr>
        <w:t xml:space="preserve">BUSINESS </w:t>
      </w:r>
      <w:r>
        <w:rPr>
          <w:rFonts w:ascii="Times New Roman" w:cs="Times New Roman" w:eastAsia="Times New Roman" w:hAnsi="Times New Roman"/>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assets of 4.5%, (2) a minimum ratio of Tier 1 capital to risk-weighted assets of 6%, (3) a minimum ratio of total capital to total risk-weighted assets of 8%, and (4) a minimum leverage ratio of 4%. A 2.5% common equity Tier 1 capital conservation buffer is also required. It is important to note that these regulatory capital rules provide minimum requirements, and higher capital levels may be required if warranted by the particular circumstances or risk profiles of individual banking organizations. In addition, the federal bank regulatory agencies are required biennially to review risk-based capital standards to ensure that they adequately address interest rate risk, concentration of credit risk and risks from non-traditional activities.</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Federal law provides the federal banking regulators with broad power to take prompt corrective action to resolve the problems of undercapitalized institutions. The extent of the regulators' powers depends on whether the institution in question is "well capitalized," "adequately capitalized," "undercapitalized," "significantly undercapitalized," or "critically undercapitalized." Federal regulations define these capital categories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480" w:type="dxa"/>
            <w:vAlign w:val="bottom"/>
          </w:tcPr>
          <w:p>
            <w:pPr>
              <w:spacing w:after="0"/>
              <w:rPr>
                <w:sz w:val="18"/>
                <w:szCs w:val="18"/>
                <w:color w:val="auto"/>
              </w:rPr>
            </w:pPr>
          </w:p>
        </w:tc>
      </w:tr>
      <w:tr>
        <w:trPr>
          <w:trHeight w:val="213"/>
        </w:trPr>
        <w:tc>
          <w:tcPr>
            <w:tcW w:w="50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Tier 1</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Equity Tier 1</w:t>
            </w:r>
          </w:p>
        </w:tc>
        <w:tc>
          <w:tcPr>
            <w:tcW w:w="1480" w:type="dxa"/>
            <w:vAlign w:val="bottom"/>
          </w:tcPr>
          <w:p>
            <w:pPr>
              <w:spacing w:after="0"/>
              <w:rPr>
                <w:sz w:val="18"/>
                <w:szCs w:val="18"/>
                <w:color w:val="auto"/>
              </w:rPr>
            </w:pPr>
          </w:p>
        </w:tc>
      </w:tr>
      <w:tr>
        <w:trPr>
          <w:trHeight w:val="213"/>
        </w:trPr>
        <w:tc>
          <w:tcPr>
            <w:tcW w:w="50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Risk-Based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Risk-Based</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Risk-Based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Leverage</w:t>
            </w:r>
          </w:p>
        </w:tc>
      </w:tr>
      <w:tr>
        <w:trPr>
          <w:trHeight w:val="236"/>
        </w:trPr>
        <w:tc>
          <w:tcPr>
            <w:tcW w:w="502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Capital Ratio</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Capital Ratio</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Capital Ratio</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Ratio</w:t>
            </w:r>
          </w:p>
        </w:tc>
      </w:tr>
      <w:tr>
        <w:trPr>
          <w:trHeight w:val="26"/>
        </w:trPr>
        <w:tc>
          <w:tcPr>
            <w:tcW w:w="50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 capitalized</w:t>
            </w: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 or above</w:t>
            </w: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8% or above</w:t>
            </w:r>
          </w:p>
        </w:tc>
        <w:tc>
          <w:tcPr>
            <w:tcW w:w="16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6.5% or above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 or above</w:t>
            </w:r>
          </w:p>
        </w:tc>
      </w:tr>
      <w:tr>
        <w:trPr>
          <w:trHeight w:val="24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Adequately capitalized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8% or above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6% or above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4.5% or above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 or above</w:t>
            </w:r>
          </w:p>
        </w:tc>
      </w:tr>
      <w:tr>
        <w:trPr>
          <w:trHeight w:val="26"/>
        </w:trPr>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7"/>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Undercapitalized</w:t>
            </w:r>
          </w:p>
        </w:tc>
        <w:tc>
          <w:tcPr>
            <w:tcW w:w="15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Less than 8%</w:t>
            </w:r>
          </w:p>
        </w:tc>
        <w:tc>
          <w:tcPr>
            <w:tcW w:w="15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Less than 6%</w:t>
            </w:r>
          </w:p>
        </w:tc>
        <w:tc>
          <w:tcPr>
            <w:tcW w:w="16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Less than 4.5%</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Less than 4%</w:t>
            </w:r>
          </w:p>
        </w:tc>
      </w:tr>
      <w:tr>
        <w:trPr>
          <w:trHeight w:val="24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Significantly undercapitalized</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Less than 6%</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Less than 4%</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Less than 3%</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Less than 3%</w:t>
            </w:r>
          </w:p>
        </w:tc>
      </w:tr>
      <w:tr>
        <w:trPr>
          <w:trHeight w:val="26"/>
        </w:trPr>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Critically undercapitalized</w:t>
            </w: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equity to total assets of 2% or less</w:t>
            </w:r>
          </w:p>
        </w:tc>
        <w:tc>
          <w:tcPr>
            <w:tcW w:w="1480" w:type="dxa"/>
            <w:vAlign w:val="bottom"/>
            <w:shd w:val="clear" w:color="auto" w:fill="CCEEFF"/>
          </w:tcPr>
          <w:p>
            <w:pPr>
              <w:spacing w:after="0"/>
              <w:rPr>
                <w:sz w:val="20"/>
                <w:szCs w:val="20"/>
                <w:color w:val="auto"/>
              </w:rPr>
            </w:pPr>
          </w:p>
        </w:tc>
      </w:tr>
      <w:tr>
        <w:trPr>
          <w:trHeight w:val="26"/>
        </w:trPr>
        <w:tc>
          <w:tcPr>
            <w:tcW w:w="50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our bank's ratios exceeded minimum requirements for the well-capitalized category.</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Depending upon the capital category to which an institution is assigned, the regulators' corrective powers include: requiring the submission of a capital restoration plan; placing limits on asset growth and restrictions on activities; requiring the institution to issue additional capital stock (including additional voting stock) or to be acquired; restricting transactions with affiliates; restricting the interest rates the institution may pay on deposits; ordering a new election of directors of the institution; requiring that senior executive officers or directors be dismissed; prohibiting the institution from accepting deposits from correspondent banks; requiring the institution to divest certain subsidiaries; prohibiting the payment of principal or interest on subordinated debt and debentures; and ultimately, appointing a receiver for the institution.</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general, a depository institution may be reclassified to a lower category than is indicated by its capital levels if the appropriate federal depository institution regulatory agency determines the institution to be otherwise in an unsafe or unsound condition or to be engaged in an unsafe or unsound practice. This could include a failure by the institution to correct the deficiency following receipt of a less-than-satisfactory rating on its most recent examination report.</w:t>
      </w:r>
    </w:p>
    <w:p>
      <w:pPr>
        <w:spacing w:after="0" w:line="1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u w:val="single" w:color="auto"/>
          <w:color w:val="auto"/>
        </w:rPr>
        <w:t>Dividends</w:t>
      </w:r>
      <w:r>
        <w:rPr>
          <w:rFonts w:ascii="Times New Roman" w:cs="Times New Roman" w:eastAsia="Times New Roman" w:hAnsi="Times New Roman"/>
          <w:sz w:val="18"/>
          <w:szCs w:val="18"/>
          <w:color w:val="auto"/>
        </w:rPr>
        <w:t>. Under Michigan law, banks are restricted as to the maximum amount of dividends they may pay on their common stock. Our bank may not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except out of its net income after deducting its losses and provision for credit losses. In addition, a Michigan bank may not declare or pay a dividend unless the bank will have a surplus amounting to at least 20 percent of its capital after the payment of the dividend.</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as a member of the Federal Reserve System, our bank is required to obtain the prior approval of the Federal Reserve for the declaration or payment of a dividend if the total of all dividends declared in any year will exceed the total of (a) the bank's retained net income (as defined by federal regulation) for that year, plus (b) the bank's retained net income for the preceding two years.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Federal law also generally prohibits a depository institution from making any capital distribution (including payment of a dividend) or paying any management fee to its holding company if the depository institution would thereafter be undercapitalized. In addition, the Federal Reserve may prohibit the payment of dividends by a bank if such payment is determined, by reason of the financial condition of the bank, to be an unsafe and unsound banking practice or if the bank is in default of payment of any assessment due to the FDIC.</w:t>
      </w:r>
    </w:p>
    <w:p>
      <w:pPr>
        <w:spacing w:after="0" w:line="17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i w:val="1"/>
          <w:iCs w:val="1"/>
          <w:u w:val="single" w:color="auto"/>
          <w:color w:val="auto"/>
        </w:rPr>
        <w:t>Insider Transactions</w:t>
      </w:r>
      <w:r>
        <w:rPr>
          <w:rFonts w:ascii="Times New Roman" w:cs="Times New Roman" w:eastAsia="Times New Roman" w:hAnsi="Times New Roman"/>
          <w:sz w:val="18"/>
          <w:szCs w:val="18"/>
          <w:color w:val="auto"/>
        </w:rPr>
        <w:t>. Our bank is subject to certain restrictions imposed by the Federal Reserve Act on "covered transactions" with us or our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include investments in our stock or other securities issued by us or our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 w:name="page9"/>
    <w:bookmarkEnd w:id="8"/>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7"/>
          <w:szCs w:val="17"/>
          <w:u w:val="single" w:color="auto"/>
          <w:color w:val="auto"/>
        </w:rPr>
        <w:t xml:space="preserve">BUSINESS </w:t>
      </w:r>
      <w:r>
        <w:rPr>
          <w:rFonts w:ascii="Times New Roman" w:cs="Times New Roman" w:eastAsia="Times New Roman" w:hAnsi="Times New Roman"/>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subsidiaries, the acceptance of our stock or other securities issued by us or our subsidiaries as collateral for loans, and extensions of credit to us or our subsidiaries. Certain limitations and reporting requirements are also placed on the deposit rates paid, and the amounts and terms of extensions of credit, by our bank to the directors and officers of the holding company, the bank, and the subsidiaries of the bank; to the principal shareholders of the holding company; and to "related interests" of such directors, officers, and principal shareholders. In addition, federal law and regulations may affect the terms upon which any person becoming one of our directors or officers or a principal shareholder may obtain credit from banks with which our bank maintains a correspondent relationship.</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Safety and Soundness Standards</w:t>
      </w:r>
      <w:r>
        <w:rPr>
          <w:rFonts w:ascii="Times New Roman" w:cs="Times New Roman" w:eastAsia="Times New Roman" w:hAnsi="Times New Roman"/>
          <w:sz w:val="18"/>
          <w:szCs w:val="18"/>
          <w:color w:val="auto"/>
        </w:rPr>
        <w:t>. Pursuant to the Federal Deposit Insurance Corporation Improvement Act of 1991 ("FDICIA"), the FDIC adopted guidelines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establish operational and managerial standards to promote the safety and soundness of federally-insured depository institutions. The guidelines establish standards for internal controls, information systems, internal audit systems, loan documentation, credit underwriting, interest rate exposure, asset growth, compensation, fees and benefits, asset quality, and earnings.</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u w:val="single" w:color="auto"/>
          <w:color w:val="auto"/>
        </w:rPr>
        <w:t>Investment and Other Activities</w:t>
      </w:r>
      <w:r>
        <w:rPr>
          <w:rFonts w:ascii="Times New Roman" w:cs="Times New Roman" w:eastAsia="Times New Roman" w:hAnsi="Times New Roman"/>
          <w:sz w:val="18"/>
          <w:szCs w:val="18"/>
          <w:color w:val="auto"/>
        </w:rPr>
        <w:t>. Under federal law and regulations, FDIC-insured state banks are prohibited, subject to certain exceptions, from making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retaining equity investments of a type, or in an amount, that are not permissible for a national bank. FDICIA, as implemented by FDIC regulations, also prohibits FDIC-insured state banks and their subsidiaries, subject to certain exceptions, from engaging as a principal in any activity that is not permitted for a national bank or its subsidiary, respectively, unless the bank meets, and continues to meet, its minimum regulatory capital requirements and the bank's primary federal regulator determines the activity would not pose a significant risk to the DIF. Impermissible investments and activities must be otherwise divested or discontinued within certain time frames set by the bank's primary federal regulator in accordance with federal law. These restrictions are not currently expected to have a material impact on the operations of our bank.</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Consumer Banking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bank's business includes making a variety of types of loans to individuals. In making these loans, our bank is subject to state usury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consumer protection laws and to various federal statutes, including provisions of the Gramm Leach-Bliley Act aimed at protecting the privacy of consumer financial information, the Equal Credit Opportunity Act, the Fair Credit Reporting Act, the Truth in Lending Act (TILA), the Real Estate Settlement Procedures Act (RESPA), the Home Mortgage Disclosure Act, and the regulations promulgated under these statutes, which (among other things) prohibit discrimination, specify disclosures to be made to borrowers regarding credit and settlement costs, and regulate the mortgage loan servicing activities of our bank, including the maintenance and operation of escrow accounts and the transfer of mortgage loan servicing. In receiving deposits, our bank is subject to extensive regulation under state and federal law and regulations, including the Truth in Savings Act, the Expedited Funds Availability Act, the Electronic Funds Transfer Act, and the Federal Deposit Insurance Act. Violation of these laws could result in the imposition of significant damages and fines upon our bank and its directors and officers.</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 number of consumer protection laws were implemented following the 2008 recession, including the Dodd-Frank Act, adopted in 2010. The Dodd-Frank Act created the Consumer Financial Protection Bureau ("CFPB"), which was given the power to issue and enforce certain consumer protection laws. The CFPB has issued a number of consumer protection regulations, including regulations that impact residential mortgage lending and servicing.</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have experienced, and expect to continue to experience, increased costs and expenses related to compliance with these consumer protection regulations as well as new regulations that may be implemented in the future.</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u w:val="single" w:color="auto"/>
          <w:color w:val="auto"/>
        </w:rPr>
        <w:t>Anti-Money Laundering and the USA PATRIOT Act</w:t>
      </w:r>
      <w:r>
        <w:rPr>
          <w:rFonts w:ascii="Times New Roman" w:cs="Times New Roman" w:eastAsia="Times New Roman" w:hAnsi="Times New Roman"/>
          <w:sz w:val="18"/>
          <w:szCs w:val="18"/>
          <w:color w:val="auto"/>
        </w:rPr>
        <w:t>. The bank is subject to a number of financial recordkeeping and anti-money laundering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including the Bank Secrecy Act and the USA PATRIOT Act, as well as similar rules and guidelines implemented and enforced by the Department of the Treasury's Financial Crimes Enforcement Network ("FinCEN") and the Federal Financial Institutions Examination Council ("FFIEC"). These laws and regulations require the bank to take certain steps to prevent the use of the bank or its systems from facilitating the flow of illegal or illicit money or terrorist funds. These regulations include FinCEN's Customer Due Diligence Requirements for Financial Institutions, which is designed to identify and verify the identity of natural persons (known as beneficial owners) of legal entity customers who own, control and profit from companies when those companies open accounts.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2018 Regulatory Reform</w:t>
      </w:r>
      <w:r>
        <w:rPr>
          <w:rFonts w:ascii="Times New Roman" w:cs="Times New Roman" w:eastAsia="Times New Roman" w:hAnsi="Times New Roman"/>
          <w:sz w:val="18"/>
          <w:szCs w:val="18"/>
          <w:color w:val="auto"/>
        </w:rPr>
        <w:t>. In May 2018, the Economic Growth, Regulatory Relief and Consumer Protection Act (the "2018 Act") was enacted to modify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 certain financial reform rules and regulations, including some of those implemented under the Dodd-Frank Act. While the 2018 Act maintained most of the regulatory structure established by the Dodd-Frank Act, it amended certain aspects of the regulatory framework for small depository institutions with assets of less than $10 billion and for large banks with assets of more than $50 billion.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 w:name="page10"/>
    <w:bookmarkEnd w:id="9"/>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7"/>
          <w:szCs w:val="17"/>
          <w:u w:val="single" w:color="auto"/>
          <w:color w:val="auto"/>
        </w:rPr>
        <w:t xml:space="preserve">BUSINESS </w:t>
      </w:r>
      <w:r>
        <w:rPr>
          <w:rFonts w:ascii="Times New Roman" w:cs="Times New Roman" w:eastAsia="Times New Roman" w:hAnsi="Times New Roman"/>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2018 Act also included regulatory relief for community banks regarding regulatory examination cycles, call reports, the Volcker Rule (proprietary trading prohibitions), mortgage disclosures, and risk weights for certain high-risk commercial real estate loans.</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u w:val="single" w:color="auto"/>
          <w:color w:val="auto"/>
        </w:rPr>
        <w:t>Anti-Money Laundering Act of 2020</w:t>
      </w:r>
      <w:r>
        <w:rPr>
          <w:rFonts w:ascii="Times New Roman" w:cs="Times New Roman" w:eastAsia="Times New Roman" w:hAnsi="Times New Roman"/>
          <w:sz w:val="18"/>
          <w:szCs w:val="18"/>
          <w:color w:val="auto"/>
        </w:rPr>
        <w:t>. The National Defense Authorization Act for Fiscal Year 2021 (the "NDAA") enacted January 1, 2021 over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presidential veto, includes a number of significant new requirements intended to enhance U.S. anti-money laundering efforts. These provisions, many of which are contained within a section of the NDAA known as the Anti-Money Laundering Act of 2020 (the "AMLA"), include establishment of a beneficial ownership registration database, the creation of two new criminal offenses regarding money laundering, new penalties for Bank Secrecy Act violations, and increased whistleblower rewards and protections. Under these new laws, various government agencies will also be tasked with identification of policy priorities, establishment of streamlined processes, creation of information sharing programs, and regular reporting to Congress in an effort to modernize anti-money laundering enforcement.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Branching Authority</w:t>
      </w:r>
      <w:r>
        <w:rPr>
          <w:rFonts w:ascii="Times New Roman" w:cs="Times New Roman" w:eastAsia="Times New Roman" w:hAnsi="Times New Roman"/>
          <w:sz w:val="18"/>
          <w:szCs w:val="18"/>
          <w:color w:val="auto"/>
        </w:rPr>
        <w:t>. Michigan banks, such as our bank, have the authority under Michigan law to establish branches anywhere in the State of Michigan,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subject to receipt of all required regulatory approvals. Banks may establish interstate branch networks through acquisitions of other banks. The establishment of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interstate branches or the acquisition of individual branches of a bank in another state (rather than the acquisition of an out-of-state bank in its entirety) is allowed only if specifically authorized by state law.</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Michigan permits both U.S. and non-U.S. banks to establish branch offices in Michigan. The Michigan Banking Code permits, in appropriate circumstances and with the approval of the Michigan DIFS, (1) the acquisition of Michigan banks by FDIC-insured banks or savings banks located in other states, (2) the sale by a Michigan bank of branches to an FDIC-insured bank or savings bank located in a state in which a Michigan bank could purchase branches of the purchasing entity, (3) the consolidation of Michigan banks and FDIC-insured banks or savings banks located in other states having laws permitting such consolidation, (4) the establishment of branches in Michigan by FDIC-insured banks located in other states, the District of Columbia or U.S. territories or protectorates having laws permitting a Michigan bank to establish a branch in such jurisdiction, and (5) the establishment by foreign banks of branches located in Michigan.</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Replacement of LIBOR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2017, the Chief Executive of the United Kingdom Financial Conduct Authority, which regulates the London Interbank Offered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("LIBOR"), announced that it intended to stop persuading or compelling banks to submit rates for the calibration of LIBOR after 2021. On March 5, 2021, LIBOR’s administrator announced end dates for publication of LIBOR: December 31, 2021 for one-week and two-month USD LIBOR maturities and non-USD LIBOR maturities, and June 30, 2023 for all other tenors. Federal bank regulators issued guidance indicating that banks should "cease entering into new contracts that use USD LIBOR as a reference rate as soon as practicable and in any event by December 31, 2021."</w:t>
      </w:r>
    </w:p>
    <w:p>
      <w:pPr>
        <w:spacing w:after="0" w:line="1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Federal Reserve and the Alternative Reference Rates Committee ("ARRC"), a steering committee comprised primarily of large U.S. financial institutions, have identified the Secured Overnight Financing Rate ("SOFR"), a broad measure of the cost of borrowing cash overnight collateralized by Treasury securities, as a potential alternative to LIBOR, and the Federal Reserve announced final plans for the production of SOFR. In July 2021, the ARRC formally recommended the CME SOFR Term Rates. Whether SOFR will become a LIBOR replacement and the ultimate future of LIBOR remain uncertain. Some financial institutions have indicated an intent to use other rates in addition to SOFR. However, both Fannie Mae and Freddie Mac announced in 2020 that they would cease purchasing and issuing LIBOR-based products by the end of 2020 and began accepting mortgages based on SOFR.</w:t>
      </w:r>
    </w:p>
    <w:p>
      <w:pPr>
        <w:spacing w:after="0" w:line="1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formed a cross-functional project team to lead this transition from LIBOR to an adoption of reference rates that include SOFR. Implementation of successor indices may lead to additional documentation requirements, compliance measures, financial impacts, and technology-related challenges, as well as potential disputes or litigation with customers and creditors. We utilized the timeline guidance published by the ARRC to develop and achieve internal milestones during this transitional period. We discontinued the use of new LIBOR-based loans and interest rate derivatives as of December 31, 2021, according to regulatory guidelines.</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u w:val="single" w:color="auto"/>
          <w:color w:val="auto"/>
        </w:rPr>
        <w:t>Inflation Reduction Act of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August 16, 2022, the Inflation Reduction Act of 2022 was signed into law. The Inflation Reduction Act of 2022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1% excise tax on net stock repurchases, effective January 1, 2023. We do not expect that this new excise tax will have a material impact on our operations or results.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 w:name="page11"/>
    <w:bookmarkEnd w:id="10"/>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7"/>
          <w:szCs w:val="17"/>
          <w:u w:val="single" w:color="auto"/>
          <w:color w:val="auto"/>
        </w:rPr>
        <w:t xml:space="preserve">BUSINESS </w:t>
      </w:r>
      <w:r>
        <w:rPr>
          <w:rFonts w:ascii="Times New Roman" w:cs="Times New Roman" w:eastAsia="Times New Roman" w:hAnsi="Times New Roman"/>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Future Legislation</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Various other legislative and regulatory initiatives, including proposals to overhaul the bank regulatory system, are from time to time introduced in Congress and state legislatures, as well as regulatory agencies. Such future legislation regarding financial institutions may change banking statutes and our operating environment in substantial and unpredictable ways and could increase or decrease the cost of doing business, limit or expand permissible activities, or affect the competitive balance among organizations within the industry. The nature and extent of future legislative and regulatory changes affecting financial institutions is very unpredictable. We cannot determine the ultimate effect that any such potential legislation, if enacted, would have upon our financial condition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Available Information</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Our annual reports on Forms 10-K, quarterly reports on Forms 10-Q, current reports on Forms 8-K, and all amendments to those reports are available free of charge through our website at </w:t>
      </w:r>
      <w:r>
        <w:rPr>
          <w:rFonts w:ascii="Times New Roman" w:cs="Times New Roman" w:eastAsia="Times New Roman" w:hAnsi="Times New Roman"/>
          <w:sz w:val="18"/>
          <w:szCs w:val="18"/>
          <w:u w:val="single" w:color="auto"/>
          <w:color w:val="auto"/>
        </w:rPr>
        <w:t>www.IndependentBank.com</w:t>
      </w:r>
      <w:r>
        <w:rPr>
          <w:rFonts w:ascii="Times New Roman" w:cs="Times New Roman" w:eastAsia="Times New Roman" w:hAnsi="Times New Roman"/>
          <w:sz w:val="18"/>
          <w:szCs w:val="18"/>
          <w:color w:val="auto"/>
        </w:rPr>
        <w:t xml:space="preserve"> as soon as reasonably practicable after filing with the SEC.</w:t>
      </w:r>
    </w:p>
    <w:p>
      <w:pPr>
        <w:spacing w:after="0" w:line="16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ITEM 1A.</w:t>
      </w:r>
      <w:r>
        <w:rPr>
          <w:sz w:val="20"/>
          <w:szCs w:val="20"/>
          <w:color w:val="auto"/>
        </w:rPr>
        <w:tab/>
      </w:r>
      <w:r>
        <w:rPr>
          <w:rFonts w:ascii="Times New Roman" w:cs="Times New Roman" w:eastAsia="Times New Roman" w:hAnsi="Times New Roman"/>
          <w:sz w:val="17"/>
          <w:szCs w:val="17"/>
          <w:u w:val="single" w:color="auto"/>
          <w:color w:val="auto"/>
        </w:rPr>
        <w:t>RISK FACTORS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in our common stock involves risks, including (among others) the following factors: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Relating to the Financial Services Industry</w:t>
      </w:r>
    </w:p>
    <w:p>
      <w:pPr>
        <w:spacing w:after="0" w:line="200" w:lineRule="exact"/>
        <w:rPr>
          <w:sz w:val="20"/>
          <w:szCs w:val="20"/>
          <w:color w:val="auto"/>
        </w:rPr>
      </w:pPr>
    </w:p>
    <w:p>
      <w:pPr>
        <w:spacing w:after="0" w:line="2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color w:val="auto"/>
        </w:rPr>
        <w:t>Pressures from various global and national macroeconomic events, including recessionary concerns, heightened inflation, uncertainty regarding future interest rates, foreign currency exchange rate fluctuations, recent adverse weather conditions, escalating tensions in the Middle East, the continuation of the Russia-Ukraine war, and potential governmental responses to these events have created, and continue to create, significant economic uncertainty and could materially and adversely impact our financial condition and performance.</w:t>
      </w:r>
    </w:p>
    <w:p>
      <w:pPr>
        <w:spacing w:after="0" w:line="14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extent to which these macroeconomic pressures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intangible assets, securities available for sale, securities held to maturity, loans, capitalized mortgage loan servicing rights or deferred tax assets.</w:t>
      </w:r>
    </w:p>
    <w:p>
      <w:pPr>
        <w:spacing w:after="0" w:line="1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particular, economic downturns and other adverse impacts from these macroeconomic factors could result in the delinquency of outstanding loans, which could have a material adverse impact on our earnings. We continue to closely monitor and analyze the higher risk segments within our portfolio in light of the high degree of uncertainty that exists with respect to the impact of the fluid global economic conditions on the future performance of our loan portfolio.</w:t>
      </w:r>
    </w:p>
    <w:p>
      <w:pPr>
        <w:spacing w:after="0" w:line="14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Governmental monetary and fiscal policies may adversely affect the financial services industry and therefore impact our financial condition and results of operations.</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Monetary and fiscal policies of various governmental and regulatory agencies, particularly the Federal Reserve, affect the financial services industry, directly and indirectly. The Federal Reserve regulates the supply of money and credit in the U.S., and its monetary and fiscal policies determine in a large part our cost of funds for lending and investing and the return that can be earned on such loans and investments. Changes in such policies, including changes in interest rates, will influence the origination of loans, the value of investments, the value of capitalized mortgage loan servicing rights, the generation of deposits, and the rates received on loans and investment securities and paid on deposits. Changes in monetary and fiscal policies are beyond our control and difficult to predict. Our financial condition and results of operations could be materially adversely impacted by changes in governmental monetary and fiscal policies.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Volatility and disruptions in global capital and credit markets may adversely impact our business, financial condition and results of operations.</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Even though we operate in a distinct geographic region in the U.S., we are impacted by global capital and credit markets, which are sometimes subject to periods of extreme volatility and disruption. Disruptions, uncertainty or volatility in the capital and credit markets may limit our ability to access capital and manage liquidity, which may adversely affect our business, financial condition and results of operations. Further, our customers may be adversely impacted by such conditions, which could have a negative impact on our business, financial condition and results of operations.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 w:name="page12"/>
    <w:bookmarkEnd w:id="11"/>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Adverse developments affecting the financial services industry, including bank failures and the resulting liquidity concerns, may have a material effect on our business, financial condition, results of operations, or cash flows.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Recent developments and events within the financial services industry, including the closures of several banks in 2023 due to large-scale deposit withdrawals over a short period of time, created liquidity risks and concerns within the industry, as well as decreased confidence in banks among depositors, investors, and other counterparties. In general, these events have caused volatility and disruption in the capital markets, as well as reduced valuations of equity and other securities of banks, which may increase the risk of a potential recession. These failures also highlighted the importance of maintaining diversified funding sources. These market conditions and related factors may impact the competitive landscape for deposits in the financial services industry in an unpredictable manner.</w:t>
      </w:r>
    </w:p>
    <w:p>
      <w:pPr>
        <w:spacing w:after="0" w:line="1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Specifically, these developments and events may materially adversely impact our business, financial condition, results of operations, and/or cash flows, including through potential liquidity pressures, reduced net interest margins, and potential increased credit losses. They may also adversely impact the market price and volatility of our common stock. Government responses to these events may also adversely impact us. Our deposits are insured up to applicable limits by FDIC and are subject to deposit insurance premiums and assessments. The FDIC may increase premiums or impose special assessments on all banks to replenish the Deposit Insurance Fund to ensure that all depositors in failed banks are made whole at no cost to taxpayers. The 2023 bank failures may also prompt changes to laws or regulations governing banks, which could impact our profitability and business.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soundness of other financial institutions could adversely affect us.</w:t>
      </w:r>
    </w:p>
    <w:p>
      <w:pPr>
        <w:spacing w:after="0" w:line="19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Our ability to engage in routine funding transactions could be adversely affected by the actions and commercial soundness of other financial institutions. Financial services institutions are interrelated as a result of trading, clearing, counterparty and other relationships. We have exposure to many different industries and counterparties, and we routinely execute transactions with counterparties in the financial industry. As a result, defaults by, or even rumors or questions about, one or more financial services institutions, or the financial services industry generally, can lead to market-wide liquidity problems and losses or defaults by us or by other institutions. Many of these transactions could expose us to credit risk in the event of default by a counterparty. In addition, our credit risk may be impacted when the collateral held by us cannot be realized upon or is liquidated at prices not sufficient to recover the full amount of the financial instrument exposure due to us. There is no assurance that any such losses would not adversely affect us and possibly be material in nature.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regulation or oversight may have a material adverse impact on our operations.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extensive regulation, supervision and examination by the Federal Reserve, the FDIC, the Michigan DIFS, the SEC and other regulatory bodies. Such regulation and supervision govern the activities in which we may engage. Regulatory authorities have extensive discretion in their supervisory and enforcement activities, including the imposition of restrictions on our operations, limitations related to our securities, the classification of our assets, and the determination of the level of our allowance for credit losses. Any change in such regulation and oversight, whether in the form of regulatory policy, regulations, legislation or supervisory action, may have a material adverse impact on our business, financial condition or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 regulatory focus on the financial services industry is common in connection with an economic downturn, as the industry experienced following the most recent financial crisis. As a result, the adverse effects on our business relating to a future economic downturn could be exacerbated by additional regulations and regulatory scrutiny that accompanied or followed any such downturn. We can neither predict when or whether future regulatory or legislative reforms will be enacted nor what their contents will be. The impact of any future legislation or regulatory actions on our businesses or operations cannot be determined at this time, and such impact may adversely affect us.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liquidity risk in our operations, which could adversely impact our ability to fund various obligations.</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Liquidity risk is the possibility of being unable to meet obligations as they come due or capitalize on growth opportunities as they arise because of an inability to liquidate assets or obtain adequate funding on a timely basis, at a reasonable cost and within acceptable risk tolerances. Liquidity is required to fund various obligations, including credit obligations to borrowers, loan originations, withdrawals by depositors, repayment of debt, dividends to shareholders, operating expenses and capital expenditures. Liquidity is derived primarily from retail deposit growth and earnings retention, principal and interest payments on loans and investment securities, net cash provided from operations and access to other funding. If we are unable to maintain adequate liquidity, then our business, financial condition and results of operations could be negatively impacted.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We face cybersecurity risks, including attacks targeting our systems and customers' systems.</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business involves the collection, transmission, and storage of large amounts of sensitive data, including personally identifiable information of our customers and employees. The cybersecurity risks our business face include cyberattacks, other unauthorized access to data, loss or destruction of data, unavailability of service, and similar events. We are also susceptible to cybersecurity risks faced by third party vendors on which we rely for components of our business infrastructure and data processing and which often have access to the sensitive data of our customers.</w:t>
      </w:r>
    </w:p>
    <w:p>
      <w:pPr>
        <w:spacing w:after="0" w:line="14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While we have not to date experienced a security breach that has had a material impact on us, our business is very susceptible to cybersecurity risks, and it is possible we could experience a significant breach in the future that could materially impact our financial condition or results of operations. A material data breach or other cybersecurity incident affecting our business could result in significant reputational risk, loss of customers, legal claims, additional costs, financial loss, regulatory penalties, and similar damages. Risks and exposures related to cybersecurity attacks are expected to remain high for the foreseeable future due to the rapidly evolving nature and sophistication of these threats, the continuing expansion of internet and mobile banking, and similar factors.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difficulties, including failure of technology infrastructure, could adversely affect our business and operations.</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many types of operational risk, including reputational risk, legal and compliance risk, the risk of fraud or theft by employees or outsiders, failure of our controls and procedures and unauthorized transactions by employees or operational errors, including clerical or recordkeeping errors or those resulting from computer or telecommunications systems malfunctions. Given the high volume of transactions we process, certain errors may be repeated or compounded before they are identified and resolved. In particular, our operations rely on the secure processing, storage and transmission of confidential and other information on our technology systems and networks. Any failure, interruption or breach in security of these systems could result in failures or disruptions in our customer relationship management, general ledger, deposit, loan and other systems.</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also face the risk of operational disruption, failure or capacity constraints due to our dependency on third party vendors for components of our business infrastructure, including our core data processing systems which are largely outsourced. While we have selected these third party vendors carefully, we do not control their operations. As such, any failure on the part of these business partners to perform their various responsibilities could also adversely affect our business and operations.</w:t>
      </w:r>
    </w:p>
    <w:p>
      <w:pPr>
        <w:spacing w:after="0" w:line="1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also be subject to disruptions of our operating systems arising from events that are wholly or partially beyond our control, which may include, for example, computer viruses, cyberattacks, spikes in transaction volume and/or customer activity, electrical or telecommunications outages, or natural disasters. Although we have programs in place related to business continuity, disaster recovery and information security to maintain the confidentiality, integrity, and availability of our systems, business applications and customer information, such disruptions may give rise to interruptions in service to customers and loss or liability to us.</w:t>
      </w:r>
    </w:p>
    <w:p>
      <w:pPr>
        <w:spacing w:after="0" w:line="15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The occurrence of any failure or interruption in our operations or information systems could cause reputational damage, jeopardize the confidentiality of customer information, result in a loss of customer business, subject us to regulatory intervention or expose us to civil litigation and financial loss or liability, any of which could have a material adverse effect on us.</w:t>
      </w:r>
    </w:p>
    <w:p>
      <w:pPr>
        <w:spacing w:after="0" w:line="13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Changes in the financial markets, including fluctuations in interest rates and their impact on deposit pricing, could adversely affect our net interest income and financial condition.</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operations of financial institutions such as us are dependent to a large degree on net interest income, which is the difference between interest income from loans and investments and interest expense on deposits and borrowings. Prevailing economic conditions; the trade, fiscal and monetary policies of the federal government; and the policies of various regulatory agencies all affect market rates of interest and the availability and cost of credit, which in turn significantly affect financial institutions' net interest income. Volatility in interest rates can also result in disintermediation, which is the flow of funds away from financial institutions into direct investments, such as federal government and corporate securities and other investment vehicles, which, because of the absence of federal insurance premiums and reserve requirements, generally pay higher rates of return than financial institutions. Our financial results could be materially adversely impacted by changes in financial market conditions.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3" w:name="page14"/>
    <w:bookmarkEnd w:id="13"/>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Legal and regulatory proceedings and related matters with respect to the financial services industry, including those directly involving us, could adversely affect us or the financial services industry in general.</w:t>
      </w:r>
    </w:p>
    <w:p>
      <w:pPr>
        <w:spacing w:after="0" w:line="1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been, and may in the future be, subject to various legal and regulatory proceedings. It is inherently difficult to assess the outcome of these matters, and there can be no assurance that we will prevail in any proceeding or litigation. Any such matter could result in substantial cost and diversion of our efforts, which by itself could have a material adverse effect on our financial condition and operating results. Further, adverse determinations in such matters could result in actions by our regulators that could materially adversely affect our business, financial condition or results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Methods of reducing risk exposures might not be effective.</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Instruments, systems and strategies used to hedge or otherwise manage exposure to various types of credit, market and liquidity, operational, compliance, business risks and enterprise-wide risk could be less effective than anticipated. As a result, we may not be able to effectively mitigate our risk exposures in particular market environments or against particular types of risk, which could have a material adverse impact on our business, financial condition or results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More Specific to Our Business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credit risk inherent in our loan portfolios, and our allowance for credit losses may not be sufficient to cover actual credit losses.</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loan customers may not repay their loans according to their respective terms, and the collateral securing the payment of these loans may be insufficient to cover any losses we may incur. We make various assumptions and judgments about the collectability of our loan portfolio, including the creditworthiness of our borrowers and the value of the real estate and other assets serving as collateral for the repayment of many of our loans. Non-performing loans amounted to $5.2 million and $3.7 million at December 31, 2023, and December 31, 2022, respectively. Our allowance for credit losses coverage ratio of non-performing loans was 1,044.69% and 1,409.16% at December 31, 2023, and December 31, 2022, respectively. The decrease in this coverage ratio in 2023 was primarily due to an increase in non-performing loans that was partially offset by an increase in the allowance for credit losses. In determining the size of the allowance for credit losses, we rely on our experience and our evaluation of current economic conditions. If our assumptions or judgments prove to be incorrect, our current allowance for credit losses may not be sufficient to cover certain credit losses inherent in our loan portfolio, and adjustments may be necessary to account for different economic conditions or adverse developments in our loan portfolio. Material additions to our allowance for credit losses would adversely impact our operating results.</w:t>
      </w:r>
    </w:p>
    <w:p>
      <w:pPr>
        <w:spacing w:after="0" w:line="1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federal and state regulators periodically review our allowance for credit losses and may require us to increase our provision for credit losses or recognize additional loan charge-offs, notwithstanding any internal analysis that has been performed. Any increase in our allowance for credit losses or loan charge-offs required by these regulatory agencies could have a material adverse effect on our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credit risk in our securities portfolio.</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maintain diversified securities portfolios, which include obligations of the Treasury and government-sponsored agencies as well as securities issued by states and political subdivisions, mortgage-backed securities, corporate securities and asset-backed securities. We seek to limit credit losses in our securities portfolios by principally purchasing highly rated securities (generally rated "AA" or higher by a major debt rating agency) and by conducting due diligence on the issuer. However, gross unrealized losses on securities available for sale and securities held to maturity in our portfolio totaled approximately $65.2 million and $55.9 million, respectively as of December 31, 2023 (compared to approximately $87.3 million and $62.6, respectively as of December 31, 2022). We believe these unrealized losses are temporary in nature and are expected to be recovered within a reasonable time period as we believe we have the ability to hold the securities to maturity or until such time as the unrealized losses reverse. We evaluate securities available for sale for other impairment related to credit at least quarterly and more frequently when economic or market concerns warrant such evaluation. Those evaluations may result in a provision for credit losses recorded in our earnings. We measure expected credit losses on securities held to maturity ("HTM") on a collective basis by major security type with each type sharing similar risk characteristics, and we consider historical credit loss information. We may, in the future, experience losses in our securities portfolios which may result in credit losses that could materially adversely affect our results of operations.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Our mortgage-banking revenues are susceptible to substantial variations, due in part to factors we do not control, such as market interest rates.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portion of our revenues are derived from net gains on mortgage loans. These net gains primarily depend on the volume of loans we sell, which in turn depends on our ability to originate real estate mortgage loans and the demand for fixed-rate obligations and other loans that are outside of our established interest-rate risk parameters. Net gains on mortgage loans are also dependent upon economic and competitive factors as well as our ability to effectively manage exposure to changes in interest rates. Consequently, they can often be a volatile part of our overall revenues. We realized net gains of $7.4 million on mortgage loans during 2023 compared to $6.4 million during 2022 and $35.9 million during 2021.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parent company must rely on dividends or returns of capital from our bank for most of its cash flow.</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parent company is a separate and distinct legal entity from our bank. Generally, our parent company receives substantially all of its cash flow from dividends or returns of capital from our subsidiary bank. These dividends or returns of capital are the principal source of funds to pay our parent company’s operating expenses and for cash dividends on our common stock. Various federal and/or state laws and regulations limit the amount of dividends that the bank may pay to the parent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future strategic acquisitions or divestitures may present additional risks to our business and operations.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Difficulties in capitalizing on the opportunities presented by a future acquisition may prevent us from fully achieving the expected benefits from the acquisition or may cause the achievement of such expectations to take longer to realize than expected. Further, the assimilation of the acquired entity's customers and markets could result in higher than expected deposit attrition, loss of key employees, disruption of our businesses or the businesses of the acquired entity or otherwise adversely affect our ability to maintain relationships with customers and employees or achieve the anticipated benefits of the acquisition. These matters could have an adverse effect on us for an undetermined period. We will be subject to similar risks and difficulties in connection with any future decisions to downsize, sell or close units or otherwise change our business mix.</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capital requirements may adversely affect us.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capital requirements applicable to banks and bank holding companies have been substantially revised in recent years. These more stringent capital requirements, and any other new regulations, could adversely affect our ability to pay dividends in the future, or could require us to reduce business levels or to raise capital, including in ways that may adversely affect our results of operations or financial condition and/or existing shareholders. Maintaining higher levels of capital may reduce our profitability and otherwise adversely affect our business, financial condition, or results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Declines in the businesses or industries of our customers could cause increased credit losses, which could adversely affect us.</w:t>
      </w:r>
    </w:p>
    <w:p>
      <w:pPr>
        <w:spacing w:after="0" w:line="171"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Our business customer base consists, in part, of customers in businesses and industries that are sensitive to global economic conditions and supply chain factors, including businesses that operate within the automotive, real estate, retail, commercial and industrial (C&amp;I), hotel, entertainment, and food service industries. Any decline in any of these industries or business sectors could cause increased credit losses, which in turn could adversely affect us.</w:t>
      </w:r>
    </w:p>
    <w:p>
      <w:pPr>
        <w:spacing w:after="0" w:line="14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The introduction, implementation, withdrawal, success and timing of business initiatives and strategies may be less successful or may be different than anticipated, which could adversely affect our business.</w:t>
      </w:r>
    </w:p>
    <w:p>
      <w:pPr>
        <w:spacing w:after="0" w:line="1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make certain projections and develop plans and strategies for our banking and financial products. If we do not accurately determine demand for or changes in our banking and financial product needs, it could result in us incurring significant expenses without the anticipated increases in revenue, which could result in a material adverse effect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utilize technology to efficiently and effectively develop, market, and deliver new products and services to our customers.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financial services industry experiences rapid technological change with regular introductions of new technology-driven products and services. The efficient and effective utilization of technology enables financial institutions to better serve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15" w:name="page16"/>
    <w:bookmarkEnd w:id="15"/>
    <w:p>
      <w:pPr>
        <w:jc w:val="both"/>
        <w:spacing w:after="0" w:line="257" w:lineRule="auto"/>
        <w:rPr>
          <w:sz w:val="20"/>
          <w:szCs w:val="20"/>
          <w:color w:val="auto"/>
        </w:rPr>
      </w:pPr>
      <w:r>
        <w:rPr>
          <w:rFonts w:ascii="Times New Roman" w:cs="Times New Roman" w:eastAsia="Times New Roman" w:hAnsi="Times New Roman"/>
          <w:sz w:val="18"/>
          <w:szCs w:val="18"/>
          <w:color w:val="auto"/>
        </w:rPr>
        <w:t>customers and to reduce costs. Our future success depends, in part, upon our ability to address the needs of our customers by using technology to market and deliver products and services that will satisfy customer demands, meet regulatory requirements, and create additional efficiencies in our operations. We may not be able to effectively develop or offer new technology-driven products and services or be successful in marketing or supporting these products and services to our customers, which could have a material adverse impact on our financial condition and results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product and pricing pressures among financial institutions within our markets may change.</w:t>
      </w:r>
    </w:p>
    <w:p>
      <w:pPr>
        <w:spacing w:after="0" w:line="1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operate in a very competitive environment, which is characterized by competition from a number of other financial institutions in each market in which we operate. We compete with large national and regional financial institutions and with smaller financial institutions, including credit unions, in terms of products and pricing. We also compete with fintech companies, securities brokerage firms, insurance companies, and other non-depository institutions with respect to some of the products and services we offer. If we are unable to compete effectively in products and pricing in our markets, business could decline, which could have a material adverse effect on our business, financial condition or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customer behavior may adversely impact our business, financial condition and results of operations.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use a variety of methods to anticipate customer behavior as a part of our strategic planning and to meet certain regulatory requirements. Individual, economic, political, industry-specific conditions and other factors outside of our control, such as fuel prices, energy costs, real estate values or other factors that affect customer income levels, could alter predicted customer borrowing, repayment, investment and deposit practices. Such a change in these practices could materially adversely affect our ability to anticipate business needs and meet regulatory requirements.</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Further, difficult economic conditions may negatively affect consumer confidence levels. A decrease in consumer confidence levels would likely aggravate the adverse effects of these difficult market conditions on us, our customers and others in the financial institutions industry.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maintain and expand customer relationships may differ from expectations.</w:t>
      </w:r>
    </w:p>
    <w:p>
      <w:pPr>
        <w:spacing w:after="0" w:line="1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financial services industry is very competitive. We not only vie for business opportunities with new customers, but also compete to maintain and expand the relationships we have with our existing customers. While we believe that we can continue to grow many of these relationships, we will continue to experience pressures to maintain these relationships as our competitors attempt to capture our customers, particularly as financial products and services similar to those we offer become more widely available and accessible via the internet and other technology. Failure to create new customer relationships and to maintain and expand existing customer relationships to the extent anticipated may adversely impact our earnings.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retain key officers and employees may change.</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future operating results depend substantially upon the continued service of our executive officers and key personnel. Our future operating results also depend in significant part upon our ability to attract and retain qualified management, financial, technical, marketing, sales and support personnel. Competition for qualified personnel is intense, and we cannot ensure success in attracting or retaining qualified personnel. There may be only a limited number of persons with the requisite skills to serve in these positions, and it may be increasingly difficult for us to hire personnel over time.</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Further, our ability to retain key officers and employees may be impacted by legislation and regulation affecting the financial services industry. Our business, financial condition or results of operations could be materially adversely affected by the loss of any key employees, or our inability to attract and retain skilled employees.</w:t>
      </w:r>
    </w:p>
    <w:p>
      <w:pPr>
        <w:spacing w:after="0" w:line="1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Catastrophic events, including, but not limited to, hurricanes, tornadoes, earthquakes, fires, floods, and pandemic outbreaks may adversely affect the general economy, financial and capital markets, specific industries, and us.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significant operations and a significant customer base in Michigan where natural and other disasters may occur, such as tornadoes and floods. These types of natural catastrophic events at times have disrupted the local economy, our business, and our customers and have posed physical risks to our property. In addition, catastrophic events occurring in other regions of the world may have an impact on our customers and in turn, on us. A significant catastrophic event could materially adversely affect our operating results.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Our failure to appropriately apply certain critical accounting policies could result in our misstatement of our financial results and condition.</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Accounting policies and processes are fundamental to how we record and report our financial condition and results of operations. We must exercise judgment in selecting and applying many of these accounting policies and processes so they comply with U.S. generally accepted accounting principles ("GAAP"). In some cases, we must select the accounting policy or method to apply from two or more alternatives, any of which may be reasonable under the circumstances, yet may result in our reporting materially different results than would have been reported under a different alternative.</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identified certain accounting policies as being critical because they require us to make difficult, subjective or complex judgments about matters that are uncertain. Materially different amounts could be reported under different conditions or using different assumptions or estimates. We have established detailed policies and control procedures that are intended to ensure these critical accounting estimates and judgments are subject to internal controls and applied consistently. In addition, the policies and procedures are intended to ensure that the process for changing methodologies occurs in an appropriate manner. Because of the uncertainty surrounding management's judgments and the estimates pertaining to these matters, we cannot guarantee that we will not be required to adjust accounting policies or restate prior period financial statements. See note #1, "Accounting Policies" in the Notes to Consolidated Financial Statements in our annual report, to be delivered to shareholders in connection with the April 23, 2024 Annual Meeting of Shareholders (filed as exhibit 13 to this report on Form 10-K).</w:t>
      </w:r>
    </w:p>
    <w:p>
      <w:pPr>
        <w:spacing w:after="0" w:line="19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ITEM 1B.</w:t>
      </w:r>
      <w:r>
        <w:rPr>
          <w:sz w:val="20"/>
          <w:szCs w:val="20"/>
          <w:color w:val="auto"/>
        </w:rPr>
        <w:tab/>
      </w:r>
      <w:r>
        <w:rPr>
          <w:rFonts w:ascii="Times New Roman" w:cs="Times New Roman" w:eastAsia="Times New Roman" w:hAnsi="Times New Roman"/>
          <w:sz w:val="17"/>
          <w:szCs w:val="17"/>
          <w:u w:val="single" w:color="auto"/>
          <w:color w:val="auto"/>
        </w:rPr>
        <w:t>UNRESOLVED STAFF COMMENTS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ITEM 1C.</w:t>
      </w:r>
      <w:r>
        <w:rPr>
          <w:sz w:val="20"/>
          <w:szCs w:val="20"/>
          <w:color w:val="auto"/>
        </w:rPr>
        <w:tab/>
      </w:r>
      <w:r>
        <w:rPr>
          <w:rFonts w:ascii="Times New Roman" w:cs="Times New Roman" w:eastAsia="Times New Roman" w:hAnsi="Times New Roman"/>
          <w:sz w:val="17"/>
          <w:szCs w:val="17"/>
          <w:u w:val="single" w:color="auto"/>
          <w:color w:val="auto"/>
        </w:rPr>
        <w:t>CYBERSECURITY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Cybersecurity Risk Assessment, Identification, and Management Processes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cybersecurity processes have been integrated into our risk management system.</w:t>
      </w:r>
    </w:p>
    <w:p>
      <w:pPr>
        <w:spacing w:after="0" w:line="17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employ a comprehensive cybersecurity risk assessment program designed to evaluate threats, vulnerabilities, and the potential impact on our operations, data, and financial condition. This program is regularly reviewed and updated to address emerging risks. Our process for addressing risk is based on banking industry best practices outlined in FFIEC and National Institute of Standards and Technology (“NIST”) frameworks.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engage various third-party service providers in connection with our cybersecurity processes.</w:t>
      </w:r>
    </w:p>
    <w:p>
      <w:pPr>
        <w:spacing w:after="0" w:line="1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routinely engage consultants and other third parties to assist in the continued improvement and maintenance of our cybersecurity risk assessment program. These engagements are designed to enhance our cybersecurity posture, and we work closely with these experts to help us identify and address risks and vulnerabilities. Examples of these engagements include third party security assessments, security monitoring, and program review.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closely oversee and monitor third-party cybersecurity service providers.</w:t>
      </w:r>
    </w:p>
    <w:p>
      <w:pPr>
        <w:spacing w:after="0" w:line="17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maintain policies and procedures to oversee and identify cybersecurity risks associated with our third-party service providers, especially those with access to customer and employee data. Our selection and oversight of these providers incorporate cybersecurity considerations, including contractual and other mechanisms to mitigate risks. Our third-party oversight process follows published frameworks from NIST and FFIEC to account for risks throughout the entire engagement with our third-party vendors.</w:t>
      </w:r>
    </w:p>
    <w:p>
      <w:pPr>
        <w:spacing w:after="0" w:line="13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consistently engage in proactive measures aimed at preventing, detecting, and effectively minimizing the impact of cybersecurity incidents. We maintain an incident response plan to swiftly respond to breaches, protect customer data, and minimize disruption to our operations. The incident response process is consistently tested and reviewed through simulated incidents and tabletop exercises with key stakeholders. To bolster our incident response process, we have robust business continuity, contingency, and recovery plans to ensure operational resilience during a cybersecurity incident.</w:t>
      </w:r>
    </w:p>
    <w:p>
      <w:pPr>
        <w:spacing w:after="0" w:line="1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We have not experienced a material cybersecurity breach, but risks from cybersecurity threats may impact our business strategy, results of operations, and financial condition.</w:t>
      </w:r>
    </w:p>
    <w:p>
      <w:pPr>
        <w:spacing w:after="0" w:line="1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No risks from any current or previous cybersecurity threats have materially affected or are reasonably likely to materially affect our business strategy, results of operations, or financial condition, except to the extent that such strategy, operations, and conditions are affected by our employment of the cybersecurity risk assessment programs and procedures discussed in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17" w:name="page18"/>
    <w:bookmarkEnd w:id="17"/>
    <w:p>
      <w:pPr>
        <w:jc w:val="both"/>
        <w:spacing w:after="0" w:line="233" w:lineRule="auto"/>
        <w:rPr>
          <w:sz w:val="20"/>
          <w:szCs w:val="20"/>
          <w:color w:val="auto"/>
        </w:rPr>
      </w:pPr>
      <w:r>
        <w:rPr>
          <w:rFonts w:ascii="Times New Roman" w:cs="Times New Roman" w:eastAsia="Times New Roman" w:hAnsi="Times New Roman"/>
          <w:sz w:val="18"/>
          <w:szCs w:val="18"/>
          <w:color w:val="auto"/>
        </w:rPr>
        <w:t>this Item. We have not, as of the date of this filing, experienced a cybersecurity breach that has materially affected our business or financial condition. However, because our business involves the collection, transmission, and storage of sensitive customer and employee data, we are susceptible to various cybersecurity threats, including cyberattacks, unauthorized access, and similar events. We employ ongoing processes and strategies to guard against those threats, as discussed in this Item.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Cybersecurity Governance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recognize the value and importance of cybersecurity and data protection and understand the potential harm to our business from cybersecurity incidents.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place a high priority on mitigating risks associated with cybersecurity threats and any cybersecurity incidents.</w:t>
      </w:r>
    </w:p>
    <w:p>
      <w:pPr>
        <w:spacing w:after="0" w:line="1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Our Board of Directors and Chief Executive Officer, in collaboration with our Chief Information Officer and Chief Risk Officer, oversee cybersecurity processes, risks, and threats.</w:t>
      </w:r>
    </w:p>
    <w:p>
      <w:pPr>
        <w:spacing w:after="0" w:line="1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Rather than designate one specific board committee to cybersecurity risk management, our entire Board of Directors is responsible for overseeing our risk management. Our Chief Risk Officer is responsible for overseeing our risk management generally, working closely with our internal audit department. Our Chief Risk Officer regularly reports directly to the Board of Directors with respect to all areas of risk management.</w:t>
      </w:r>
    </w:p>
    <w:p>
      <w:pPr>
        <w:spacing w:after="0" w:line="12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With regard to cybersecurity specifically, we have a Cyber Information Security Officer who reports to our Chief Information Officer, with a dotted-line reporting relationship to our Chief Executive Officer, and collaborates regularly with our Chief Risk Officer and Risk Team. Our Cyber Information Security Officer meets with the Chief Executive Officer on a standard cadence and chairs a committee focused on cybersecurity with monthly reports made to our Risk Committee. Minutes from these meetings as well as select materials are shared with the full Board of Directors, and our Cyber Information Security Officer delivers an annual report to our Board of Directors.</w:t>
      </w:r>
    </w:p>
    <w:p>
      <w:pPr>
        <w:spacing w:after="0" w:line="1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our entire management team is actively engaged in assessing and managing material risks from cybersecurity threats. We have established a robust framework for identifying, preventing, mitigating, and remediating such risks.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an extensive and experienced team responsible for cybersecurity risk management.</w:t>
      </w:r>
    </w:p>
    <w:p>
      <w:pPr>
        <w:spacing w:after="0" w:line="15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current Cyber Information Security Officer has a comprehensive information technology background with over 20 years of experience in managing or assisting in managing cybersecurity risks.</w:t>
      </w:r>
    </w:p>
    <w:p>
      <w:pPr>
        <w:spacing w:after="0" w:line="11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To support the Cyber Information Security Officer in managing cybersecurity and our Chief Risk Officer in managing cybersecurity risks, we have established a cross-functional cybersecurity team that includes experts in various aspects of information security. This team of employees includes individuals with many years of prior combined work experience in cybersecurity and data protection. These individuals are responsible for the day-to-day implementation of our cybersecurity program, including providing immediate notice to our Cyber Information Security Officer and our Chief Risk Officer of any potential cybersecurity incidents.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employ robust and comprehensive processes to respond to cybersecurity risks.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employ a comprehensive set of processes to monitor and mitigate cybersecurity risks. These processes include:</w:t>
      </w:r>
    </w:p>
    <w:p>
      <w:pPr>
        <w:spacing w:after="0" w:line="166" w:lineRule="exact"/>
        <w:rPr>
          <w:sz w:val="20"/>
          <w:szCs w:val="20"/>
          <w:color w:val="auto"/>
        </w:rPr>
      </w:pPr>
    </w:p>
    <w:p>
      <w:pPr>
        <w:ind w:left="640" w:hanging="313"/>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24x7x365 Security Alert Monitoring</w:t>
      </w:r>
    </w:p>
    <w:p>
      <w:pPr>
        <w:ind w:left="640" w:hanging="313"/>
        <w:spacing w:after="0" w:line="23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Monitoring</w:t>
      </w:r>
    </w:p>
    <w:p>
      <w:pPr>
        <w:ind w:left="640" w:hanging="313"/>
        <w:spacing w:after="0" w:line="21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Firewalls</w:t>
      </w:r>
    </w:p>
    <w:p>
      <w:pPr>
        <w:ind w:left="640" w:hanging="313"/>
        <w:spacing w:after="0" w:line="21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Vulnerability Assessment</w:t>
      </w:r>
    </w:p>
    <w:p>
      <w:pPr>
        <w:ind w:left="640" w:hanging="313"/>
        <w:spacing w:after="0" w:line="21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and External Security Assessments</w:t>
      </w:r>
    </w:p>
    <w:p>
      <w:pPr>
        <w:ind w:left="640" w:hanging="313"/>
        <w:spacing w:after="0" w:line="23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Awareness Training Programs</w:t>
      </w:r>
    </w:p>
    <w:p>
      <w:pPr>
        <w:ind w:left="640" w:hanging="313"/>
        <w:spacing w:after="0" w:line="21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Identity Management</w:t>
      </w:r>
    </w:p>
    <w:p>
      <w:pPr>
        <w:ind w:left="640" w:hanging="313"/>
        <w:spacing w:after="0" w:line="21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Response Plans</w:t>
      </w:r>
    </w:p>
    <w:p>
      <w:pPr>
        <w:ind w:left="640" w:hanging="313"/>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Encryption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processes are regularly reviewed and updated to adapt to evolving cybersecurity threats.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cybersecurity personnel provide regular reports to the Board of Directors.</w:t>
      </w:r>
    </w:p>
    <w:p>
      <w:pPr>
        <w:spacing w:after="0" w:line="17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As noted above, our Chief Risk Officer, Cyber Information Security Officer, and cybersecurity team provide regular reports to the Board regarding cybersecurity risks, as well as a review of the processes described above. In particular, our Chief Risk Officer provides reports at every regularly scheduled Board meeting regarding our most material risks and the degree of exposure to these risks. Our management personnel are also required to provide more frequent updates to the Enterprise Risk Committee on major developments regarding cybersecurity matters. The Committee, in turn, provides regular updates to the Board on these matters.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18" w:name="page19"/>
    <w:bookmarkEnd w:id="18"/>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2.</w:t>
      </w:r>
      <w:r>
        <w:rPr>
          <w:sz w:val="20"/>
          <w:szCs w:val="20"/>
          <w:color w:val="auto"/>
        </w:rPr>
        <w:tab/>
      </w:r>
      <w:r>
        <w:rPr>
          <w:rFonts w:ascii="Times New Roman" w:cs="Times New Roman" w:eastAsia="Times New Roman" w:hAnsi="Times New Roman"/>
          <w:sz w:val="17"/>
          <w:szCs w:val="17"/>
          <w:u w:val="single" w:color="auto"/>
          <w:color w:val="auto"/>
        </w:rPr>
        <w:t>PROPERTIES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 our bank operate a total of 83 facilities in Michigan and one leased facility in Ohio. We own 61 and lease 22 of the facilities in Michigan.</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With the exception of the potential remodeling of certain facilities to provide for the efficient use of workspace or to maintain an appropriate appearance, each property is considered reasonably adequate for current and anticipated needs.</w:t>
      </w:r>
    </w:p>
    <w:p>
      <w:pPr>
        <w:spacing w:after="0" w:line="16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3.</w:t>
      </w:r>
      <w:r>
        <w:rPr>
          <w:sz w:val="20"/>
          <w:szCs w:val="20"/>
          <w:color w:val="auto"/>
        </w:rPr>
        <w:tab/>
      </w:r>
      <w:r>
        <w:rPr>
          <w:rFonts w:ascii="Times New Roman" w:cs="Times New Roman" w:eastAsia="Times New Roman" w:hAnsi="Times New Roman"/>
          <w:sz w:val="17"/>
          <w:szCs w:val="17"/>
          <w:u w:val="single" w:color="auto"/>
          <w:color w:val="auto"/>
        </w:rPr>
        <w:t>LEGAL PROCEEDINGS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231F20"/>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8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4.</w:t>
      </w:r>
      <w:r>
        <w:rPr>
          <w:sz w:val="20"/>
          <w:szCs w:val="20"/>
          <w:color w:val="auto"/>
        </w:rPr>
        <w:tab/>
      </w:r>
      <w:r>
        <w:rPr>
          <w:rFonts w:ascii="Times New Roman" w:cs="Times New Roman" w:eastAsia="Times New Roman" w:hAnsi="Times New Roman"/>
          <w:sz w:val="17"/>
          <w:szCs w:val="17"/>
          <w:u w:val="single" w:color="auto"/>
          <w:color w:val="auto"/>
        </w:rPr>
        <w:t>MINE SAFETY DISCLOSURES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ITEM</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EXECUTIVE OFFICERS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executive officers are appointed annually by our Board of Directors at the meeting of directors preceding the Annual Meeting of Shareholders. There are no family relationships among these officers and/or our directors nor any arrangement or understanding between any of these officers and any other person pursuant to which the officer was appointed.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The following sets forth certain information with respect to our executive officers at March 8, 2024.</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First elected</w:t>
            </w:r>
          </w:p>
        </w:tc>
        <w:tc>
          <w:tcPr>
            <w:tcW w:w="300" w:type="dxa"/>
            <w:vAlign w:val="bottom"/>
            <w:gridSpan w:val="2"/>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180" w:type="dxa"/>
            <w:vAlign w:val="bottom"/>
            <w:gridSpan w:val="7"/>
          </w:tcPr>
          <w:p>
            <w:pPr>
              <w:jc w:val="center"/>
              <w:ind w:left="611"/>
              <w:spacing w:after="0" w:line="194" w:lineRule="exact"/>
              <w:rPr>
                <w:sz w:val="20"/>
                <w:szCs w:val="20"/>
                <w:color w:val="auto"/>
              </w:rPr>
            </w:pPr>
            <w:r>
              <w:rPr>
                <w:rFonts w:ascii="Times New Roman" w:cs="Times New Roman" w:eastAsia="Times New Roman" w:hAnsi="Times New Roman"/>
                <w:sz w:val="18"/>
                <w:szCs w:val="18"/>
                <w:color w:val="auto"/>
                <w:w w:val="98"/>
              </w:rPr>
              <w:t>as an executive</w:t>
            </w:r>
          </w:p>
        </w:tc>
      </w:tr>
      <w:tr>
        <w:trPr>
          <w:trHeight w:val="193"/>
        </w:trPr>
        <w:tc>
          <w:tcPr>
            <w:tcW w:w="41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Name (Age)</w:t>
            </w:r>
          </w:p>
        </w:tc>
        <w:tc>
          <w:tcPr>
            <w:tcW w:w="4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Position</w:t>
            </w:r>
          </w:p>
        </w:tc>
        <w:tc>
          <w:tcPr>
            <w:tcW w:w="9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3"/>
          </w:tcPr>
          <w:p>
            <w:pPr>
              <w:jc w:val="center"/>
              <w:ind w:right="300"/>
              <w:spacing w:after="0" w:line="194" w:lineRule="exact"/>
              <w:rPr>
                <w:sz w:val="20"/>
                <w:szCs w:val="20"/>
                <w:color w:val="auto"/>
              </w:rPr>
            </w:pPr>
            <w:r>
              <w:rPr>
                <w:rFonts w:ascii="Times New Roman" w:cs="Times New Roman" w:eastAsia="Times New Roman" w:hAnsi="Times New Roman"/>
                <w:sz w:val="18"/>
                <w:szCs w:val="18"/>
                <w:color w:val="auto"/>
                <w:w w:val="99"/>
              </w:rPr>
              <w:t>officer</w:t>
            </w:r>
          </w:p>
        </w:tc>
        <w:tc>
          <w:tcPr>
            <w:tcW w:w="200" w:type="dxa"/>
            <w:vAlign w:val="bottom"/>
          </w:tcPr>
          <w:p>
            <w:pPr>
              <w:spacing w:after="0"/>
              <w:rPr>
                <w:sz w:val="16"/>
                <w:szCs w:val="16"/>
                <w:color w:val="auto"/>
              </w:rPr>
            </w:pPr>
          </w:p>
        </w:tc>
      </w:tr>
      <w:tr>
        <w:trPr>
          <w:trHeight w:val="314"/>
        </w:trPr>
        <w:tc>
          <w:tcPr>
            <w:tcW w:w="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7"/>
        </w:trPr>
        <w:tc>
          <w:tcPr>
            <w:tcW w:w="4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B. Kessel (59)</w:t>
            </w: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680" w:type="dxa"/>
            <w:vAlign w:val="bottom"/>
            <w:tcBorders>
              <w:bottom w:val="single" w:sz="8" w:color="CCEEFF"/>
            </w:tcBorders>
            <w:gridSpan w:val="4"/>
            <w:shd w:val="clear" w:color="auto" w:fill="CCEEFF"/>
          </w:tcPr>
          <w:p>
            <w:pPr>
              <w:jc w:val="center"/>
              <w:ind w:left="1111"/>
              <w:spacing w:after="0"/>
              <w:rPr>
                <w:sz w:val="20"/>
                <w:szCs w:val="20"/>
                <w:color w:val="auto"/>
              </w:rPr>
            </w:pPr>
            <w:r>
              <w:rPr>
                <w:rFonts w:ascii="Times New Roman" w:cs="Times New Roman" w:eastAsia="Times New Roman" w:hAnsi="Times New Roman"/>
                <w:sz w:val="18"/>
                <w:szCs w:val="18"/>
                <w:color w:val="auto"/>
                <w:w w:val="99"/>
              </w:rPr>
              <w:t>2004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67"/>
        </w:trPr>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47"/>
        </w:trPr>
        <w:tc>
          <w:tcPr>
            <w:tcW w:w="4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Gavin A. Mohr (40)</w:t>
            </w: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Officer(1)</w:t>
            </w:r>
          </w:p>
        </w:tc>
        <w:tc>
          <w:tcPr>
            <w:tcW w:w="1680" w:type="dxa"/>
            <w:vAlign w:val="bottom"/>
            <w:tcBorders>
              <w:bottom w:val="single" w:sz="8" w:color="CCEEFF"/>
            </w:tcBorders>
            <w:gridSpan w:val="4"/>
            <w:shd w:val="clear" w:color="auto" w:fill="CCEEFF"/>
          </w:tcPr>
          <w:p>
            <w:pPr>
              <w:jc w:val="center"/>
              <w:ind w:left="1111"/>
              <w:spacing w:after="0"/>
              <w:rPr>
                <w:sz w:val="20"/>
                <w:szCs w:val="20"/>
                <w:color w:val="auto"/>
              </w:rPr>
            </w:pPr>
            <w:r>
              <w:rPr>
                <w:rFonts w:ascii="Times New Roman" w:cs="Times New Roman" w:eastAsia="Times New Roman" w:hAnsi="Times New Roman"/>
                <w:sz w:val="18"/>
                <w:szCs w:val="18"/>
                <w:color w:val="auto"/>
                <w:w w:val="99"/>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67"/>
        </w:trPr>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47"/>
        </w:trPr>
        <w:tc>
          <w:tcPr>
            <w:tcW w:w="4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Stefanie M. Kimball (64)</w:t>
            </w: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and Chief Risk Officer</w:t>
            </w:r>
          </w:p>
        </w:tc>
        <w:tc>
          <w:tcPr>
            <w:tcW w:w="1680" w:type="dxa"/>
            <w:vAlign w:val="bottom"/>
            <w:tcBorders>
              <w:bottom w:val="single" w:sz="8" w:color="CCEEFF"/>
            </w:tcBorders>
            <w:gridSpan w:val="4"/>
            <w:shd w:val="clear" w:color="auto" w:fill="CCEEFF"/>
          </w:tcPr>
          <w:p>
            <w:pPr>
              <w:jc w:val="center"/>
              <w:ind w:left="1111"/>
              <w:spacing w:after="0"/>
              <w:rPr>
                <w:sz w:val="20"/>
                <w:szCs w:val="20"/>
                <w:color w:val="auto"/>
              </w:rPr>
            </w:pPr>
            <w:r>
              <w:rPr>
                <w:rFonts w:ascii="Times New Roman" w:cs="Times New Roman" w:eastAsia="Times New Roman" w:hAnsi="Times New Roman"/>
                <w:sz w:val="18"/>
                <w:szCs w:val="18"/>
                <w:color w:val="auto"/>
                <w:w w:val="99"/>
              </w:rPr>
              <w:t>2007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67"/>
        </w:trPr>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47"/>
        </w:trPr>
        <w:tc>
          <w:tcPr>
            <w:tcW w:w="4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Joel Rahn (57)</w:t>
            </w: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Commercial Banking(2)</w:t>
            </w:r>
          </w:p>
        </w:tc>
        <w:tc>
          <w:tcPr>
            <w:tcW w:w="1680" w:type="dxa"/>
            <w:vAlign w:val="bottom"/>
            <w:tcBorders>
              <w:bottom w:val="single" w:sz="8" w:color="CCEEFF"/>
            </w:tcBorders>
            <w:gridSpan w:val="4"/>
            <w:shd w:val="clear" w:color="auto" w:fill="CCEEFF"/>
          </w:tcPr>
          <w:p>
            <w:pPr>
              <w:jc w:val="center"/>
              <w:ind w:left="1111"/>
              <w:spacing w:after="0"/>
              <w:rPr>
                <w:sz w:val="20"/>
                <w:szCs w:val="20"/>
                <w:color w:val="auto"/>
              </w:rPr>
            </w:pPr>
            <w:r>
              <w:rPr>
                <w:rFonts w:ascii="Times New Roman" w:cs="Times New Roman" w:eastAsia="Times New Roman" w:hAnsi="Times New Roman"/>
                <w:sz w:val="18"/>
                <w:szCs w:val="18"/>
                <w:color w:val="auto"/>
                <w:w w:val="99"/>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67"/>
        </w:trPr>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47"/>
        </w:trPr>
        <w:tc>
          <w:tcPr>
            <w:tcW w:w="4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Larry R. Daniel (60)</w:t>
            </w: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Operations and Retail Banking</w:t>
            </w:r>
          </w:p>
        </w:tc>
        <w:tc>
          <w:tcPr>
            <w:tcW w:w="1680" w:type="dxa"/>
            <w:vAlign w:val="bottom"/>
            <w:tcBorders>
              <w:bottom w:val="single" w:sz="8" w:color="CCEEFF"/>
            </w:tcBorders>
            <w:gridSpan w:val="4"/>
            <w:shd w:val="clear" w:color="auto" w:fill="CCEEFF"/>
          </w:tcPr>
          <w:p>
            <w:pPr>
              <w:jc w:val="center"/>
              <w:ind w:left="1111"/>
              <w:spacing w:after="0"/>
              <w:rPr>
                <w:sz w:val="20"/>
                <w:szCs w:val="20"/>
                <w:color w:val="auto"/>
              </w:rPr>
            </w:pPr>
            <w:r>
              <w:rPr>
                <w:rFonts w:ascii="Times New Roman" w:cs="Times New Roman" w:eastAsia="Times New Roman" w:hAnsi="Times New Roman"/>
                <w:sz w:val="18"/>
                <w:szCs w:val="18"/>
                <w:color w:val="auto"/>
                <w:w w:val="99"/>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67"/>
        </w:trPr>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47"/>
        </w:trPr>
        <w:tc>
          <w:tcPr>
            <w:tcW w:w="4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J. Ervin (58)</w:t>
            </w: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Mortgage Banking</w:t>
            </w:r>
          </w:p>
        </w:tc>
        <w:tc>
          <w:tcPr>
            <w:tcW w:w="1680" w:type="dxa"/>
            <w:vAlign w:val="bottom"/>
            <w:tcBorders>
              <w:bottom w:val="single" w:sz="8" w:color="CCEEFF"/>
            </w:tcBorders>
            <w:gridSpan w:val="4"/>
            <w:shd w:val="clear" w:color="auto" w:fill="CCEEFF"/>
          </w:tcPr>
          <w:p>
            <w:pPr>
              <w:jc w:val="center"/>
              <w:ind w:left="1111"/>
              <w:spacing w:after="0"/>
              <w:rPr>
                <w:sz w:val="20"/>
                <w:szCs w:val="20"/>
                <w:color w:val="auto"/>
              </w:rPr>
            </w:pPr>
            <w:r>
              <w:rPr>
                <w:rFonts w:ascii="Times New Roman" w:cs="Times New Roman" w:eastAsia="Times New Roman" w:hAnsi="Times New Roman"/>
                <w:sz w:val="18"/>
                <w:szCs w:val="18"/>
                <w:color w:val="auto"/>
                <w:w w:val="99"/>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67"/>
        </w:trPr>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41"/>
        </w:trPr>
        <w:tc>
          <w:tcPr>
            <w:tcW w:w="4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J. Twarozynski (58)</w:t>
            </w: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c>
          <w:tcPr>
            <w:tcW w:w="1680" w:type="dxa"/>
            <w:vAlign w:val="bottom"/>
            <w:gridSpan w:val="4"/>
            <w:shd w:val="clear" w:color="auto" w:fill="CCEEFF"/>
          </w:tcPr>
          <w:p>
            <w:pPr>
              <w:jc w:val="center"/>
              <w:ind w:left="1111"/>
              <w:spacing w:after="0"/>
              <w:rPr>
                <w:sz w:val="20"/>
                <w:szCs w:val="20"/>
                <w:color w:val="auto"/>
              </w:rPr>
            </w:pPr>
            <w:r>
              <w:rPr>
                <w:rFonts w:ascii="Times New Roman" w:cs="Times New Roman" w:eastAsia="Times New Roman" w:hAnsi="Times New Roman"/>
                <w:sz w:val="18"/>
                <w:szCs w:val="18"/>
                <w:color w:val="auto"/>
                <w:w w:val="99"/>
              </w:rPr>
              <w:t>2002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6"/>
        </w:trPr>
        <w:tc>
          <w:tcPr>
            <w:tcW w:w="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289" w:lineRule="exact"/>
        <w:rPr>
          <w:sz w:val="20"/>
          <w:szCs w:val="20"/>
          <w:color w:val="auto"/>
        </w:rPr>
      </w:pPr>
    </w:p>
    <w:p>
      <w:pPr>
        <w:jc w:val="both"/>
        <w:ind w:left="640" w:hanging="633"/>
        <w:spacing w:after="0" w:line="254" w:lineRule="auto"/>
        <w:tabs>
          <w:tab w:leader="none" w:pos="6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Mr. Mohr joined Independent Bank in September 2020, as </w:t>
      </w:r>
      <w:r>
        <w:rPr>
          <w:rFonts w:ascii="Times New Roman" w:cs="Times New Roman" w:eastAsia="Times New Roman" w:hAnsi="Times New Roman"/>
          <w:sz w:val="18"/>
          <w:szCs w:val="18"/>
          <w:color w:val="333333"/>
        </w:rPr>
        <w:t>Executive Vice President and</w:t>
      </w:r>
      <w:r>
        <w:rPr>
          <w:rFonts w:ascii="Times New Roman" w:cs="Times New Roman" w:eastAsia="Times New Roman" w:hAnsi="Times New Roman"/>
          <w:sz w:val="18"/>
          <w:szCs w:val="18"/>
          <w:color w:val="auto"/>
        </w:rPr>
        <w:t xml:space="preserve"> Chief Financial Officer. Prior to joining Independent Bank, </w:t>
      </w:r>
      <w:r>
        <w:rPr>
          <w:rFonts w:ascii="Times New Roman" w:cs="Times New Roman" w:eastAsia="Times New Roman" w:hAnsi="Times New Roman"/>
          <w:sz w:val="18"/>
          <w:szCs w:val="18"/>
          <w:color w:val="333333"/>
        </w:rPr>
        <w:t>Mr. Mohr served as the Chief Financial Officer of STAR Financial Bank, ("STAR"), a $2.1 billion bank, located in Fort Wayne, Indiana. Prior to joining STAR, Mr. Mohr served as Treasurer of Yadkin Bank and Trust (Statesville, North Carolina) from 2013 to 2014.</w:t>
      </w:r>
    </w:p>
    <w:p>
      <w:pPr>
        <w:spacing w:after="0" w:line="2" w:lineRule="exact"/>
        <w:rPr>
          <w:rFonts w:ascii="Times New Roman" w:cs="Times New Roman" w:eastAsia="Times New Roman" w:hAnsi="Times New Roman"/>
          <w:sz w:val="18"/>
          <w:szCs w:val="18"/>
          <w:color w:val="auto"/>
        </w:rPr>
      </w:pPr>
    </w:p>
    <w:p>
      <w:pPr>
        <w:jc w:val="both"/>
        <w:ind w:left="640" w:hanging="633"/>
        <w:spacing w:after="0" w:line="251" w:lineRule="auto"/>
        <w:tabs>
          <w:tab w:leader="none" w:pos="634" w:val="left"/>
        </w:tabs>
        <w:numPr>
          <w:ilvl w:val="0"/>
          <w:numId w:val="3"/>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Mr. Rahn joined Independent Bank in April of 2018 as Senior Vice President Commercial Lending. He was promoted to Executive Vice President Commercial Banking in January, 2021. He has 34 years of commercial banking experience and has served in senior leadership positions for the past 17 years.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u w:val="single" w:color="auto"/>
          <w:color w:val="auto"/>
        </w:rPr>
        <w:t>PART II.</w:t>
      </w:r>
    </w:p>
    <w:p>
      <w:pPr>
        <w:spacing w:after="0" w:line="22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5.</w:t>
      </w:r>
      <w:r>
        <w:rPr>
          <w:sz w:val="20"/>
          <w:szCs w:val="20"/>
          <w:color w:val="auto"/>
        </w:rPr>
        <w:tab/>
      </w:r>
      <w:r>
        <w:rPr>
          <w:rFonts w:ascii="Times New Roman" w:cs="Times New Roman" w:eastAsia="Times New Roman" w:hAnsi="Times New Roman"/>
          <w:sz w:val="17"/>
          <w:szCs w:val="17"/>
          <w:u w:val="single" w:color="auto"/>
          <w:color w:val="auto"/>
        </w:rPr>
        <w:t>MARKET FOR OUR COMMON EQUITY, RELATED STOCKHOLDER MATTERS AND ISSUER PURCHASES OF EQUITY SECURITIES</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information set forth under the caption "Quarterly Summary" in our annual report, to be delivered to shareholders in connection with the April 23, 2024 Annual Meeting of Shareholders (filed as exhibit 13 to this report on Form 10-K), is incorporated herein by reference.</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maintain a Deferred Compensation and Stock Purchase Plan for Non-Employee Directors (the "Plan") pursuant to which non-employee directors can elect to receive shares of our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fourth quarter of 2023, we issued 483 shares of common stock to non-employee directors on a current basis and 4,619 shares of common stock to the trust for distribution to directors on a deferred basis. These shares were issued on October 1, 2023, representing aggregate fees of $0.09 million. The shares issued on a current basis were issued at a price of $18.34 per share and the shares to be issued on a deferred basis were issued at a price of $16.51 per share, representing 90% of the fair value of the shares on the credit date. The per-share value used was the consolidated closing bid price per share of our common stock as of the date of issuance, as determined in accordance with NASDAQ Marketplace Rules. We issued the shares pursuant to an exemption from registration under Section 4(2) of the Securities Act of 1933 due to the fact that the issuance of the shares was made on a private basis pursuant to the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ISSUER PURCHASES OF EQUITY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certain information relating to purchases of common stock for the three- months ended December 31, 2023:</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Remaining</w:t>
            </w:r>
          </w:p>
        </w:tc>
      </w:tr>
      <w:tr>
        <w:trPr>
          <w:trHeight w:val="213"/>
        </w:trPr>
        <w:tc>
          <w:tcPr>
            <w:tcW w:w="5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Number of</w:t>
            </w:r>
          </w:p>
        </w:tc>
      </w:tr>
      <w:tr>
        <w:trPr>
          <w:trHeight w:val="213"/>
        </w:trPr>
        <w:tc>
          <w:tcPr>
            <w:tcW w:w="5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 Part of a</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 Authorized</w:t>
            </w:r>
          </w:p>
        </w:tc>
      </w:tr>
      <w:tr>
        <w:trPr>
          <w:trHeight w:val="210"/>
        </w:trPr>
        <w:tc>
          <w:tcPr>
            <w:tcW w:w="5060" w:type="dxa"/>
            <w:vAlign w:val="bottom"/>
          </w:tcPr>
          <w:p>
            <w:pPr>
              <w:spacing w:after="0"/>
              <w:rPr>
                <w:sz w:val="18"/>
                <w:szCs w:val="18"/>
                <w:color w:val="auto"/>
              </w:rPr>
            </w:pPr>
          </w:p>
        </w:tc>
        <w:tc>
          <w:tcPr>
            <w:tcW w:w="1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Total Number of</w:t>
            </w:r>
          </w:p>
        </w:tc>
        <w:tc>
          <w:tcPr>
            <w:tcW w:w="200" w:type="dxa"/>
            <w:vAlign w:val="bottom"/>
          </w:tcPr>
          <w:p>
            <w:pPr>
              <w:spacing w:after="0"/>
              <w:rPr>
                <w:sz w:val="18"/>
                <w:szCs w:val="18"/>
                <w:color w:val="auto"/>
              </w:rPr>
            </w:pPr>
          </w:p>
        </w:tc>
        <w:tc>
          <w:tcPr>
            <w:tcW w:w="13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Average Price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Publicly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for Purchase</w:t>
            </w:r>
          </w:p>
        </w:tc>
      </w:tr>
      <w:tr>
        <w:trPr>
          <w:trHeight w:val="262"/>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520" w:type="dxa"/>
            <w:vAlign w:val="bottom"/>
            <w:tcBorders>
              <w:bottom w:val="single" w:sz="8" w:color="auto"/>
            </w:tcBorders>
          </w:tcPr>
          <w:p>
            <w:pPr>
              <w:jc w:val="right"/>
              <w:spacing w:after="0" w:line="262" w:lineRule="exact"/>
              <w:rPr>
                <w:sz w:val="20"/>
                <w:szCs w:val="20"/>
                <w:color w:val="auto"/>
              </w:rPr>
            </w:pPr>
            <w:r>
              <w:rPr>
                <w:rFonts w:ascii="Times New Roman" w:cs="Times New Roman" w:eastAsia="Times New Roman" w:hAnsi="Times New Roman"/>
                <w:sz w:val="18"/>
                <w:szCs w:val="18"/>
                <w:color w:val="auto"/>
                <w:w w:val="95"/>
              </w:rPr>
              <w:t xml:space="preserve">Shares Purchased </w:t>
            </w:r>
            <w:r>
              <w:rPr>
                <w:rFonts w:ascii="Times New Roman" w:cs="Times New Roman" w:eastAsia="Times New Roman" w:hAnsi="Times New Roman"/>
                <w:sz w:val="23"/>
                <w:szCs w:val="23"/>
                <w:color w:val="auto"/>
                <w:w w:val="95"/>
                <w:vertAlign w:val="superscript"/>
              </w:rPr>
              <w:t>(1)</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Paid Per Share</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Announced Plan</w:t>
            </w:r>
          </w:p>
        </w:tc>
        <w:tc>
          <w:tcPr>
            <w:tcW w:w="1500" w:type="dxa"/>
            <w:vAlign w:val="bottom"/>
            <w:tcBorders>
              <w:bottom w:val="single" w:sz="8" w:color="auto"/>
            </w:tcBorders>
          </w:tcPr>
          <w:p>
            <w:pPr>
              <w:jc w:val="center"/>
              <w:spacing w:after="0" w:line="262" w:lineRule="exact"/>
              <w:rPr>
                <w:sz w:val="20"/>
                <w:szCs w:val="20"/>
                <w:color w:val="auto"/>
              </w:rPr>
            </w:pPr>
            <w:r>
              <w:rPr>
                <w:rFonts w:ascii="Times New Roman" w:cs="Times New Roman" w:eastAsia="Times New Roman" w:hAnsi="Times New Roman"/>
                <w:sz w:val="18"/>
                <w:szCs w:val="18"/>
                <w:color w:val="auto"/>
                <w:w w:val="95"/>
              </w:rPr>
              <w:t>Under the Plan</w:t>
            </w:r>
            <w:r>
              <w:rPr>
                <w:rFonts w:ascii="Times New Roman" w:cs="Times New Roman" w:eastAsia="Times New Roman" w:hAnsi="Times New Roman"/>
                <w:sz w:val="23"/>
                <w:szCs w:val="23"/>
                <w:color w:val="auto"/>
                <w:w w:val="95"/>
                <w:vertAlign w:val="superscript"/>
              </w:rPr>
              <w:t>(2)</w:t>
            </w:r>
          </w:p>
        </w:tc>
      </w:tr>
      <w:tr>
        <w:trPr>
          <w:trHeight w:val="24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2023</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18.94</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10,200</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801,399</w:t>
            </w:r>
          </w:p>
        </w:tc>
      </w:tr>
      <w:tr>
        <w:trPr>
          <w:trHeight w:val="241"/>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2023</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0" w:type="dxa"/>
            <w:vAlign w:val="bottom"/>
          </w:tcPr>
          <w:p>
            <w:pPr>
              <w:spacing w:after="0"/>
              <w:rPr>
                <w:sz w:val="20"/>
                <w:szCs w:val="20"/>
                <w:color w:val="auto"/>
              </w:rPr>
            </w:pPr>
          </w:p>
        </w:tc>
        <w:tc>
          <w:tcPr>
            <w:tcW w:w="13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21.05</w:t>
            </w: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801,399</w:t>
            </w:r>
          </w:p>
        </w:tc>
      </w:tr>
      <w:tr>
        <w:trPr>
          <w:trHeight w:val="26"/>
        </w:trPr>
        <w:tc>
          <w:tcPr>
            <w:tcW w:w="5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67"/>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2023</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22.61</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14,248</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19.00</w:t>
            </w:r>
          </w:p>
        </w:tc>
        <w:tc>
          <w:tcPr>
            <w:tcW w:w="15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10,200</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both"/>
        <w:ind w:firstLine="7"/>
        <w:spacing w:after="0" w:line="246" w:lineRule="auto"/>
        <w:tabs>
          <w:tab w:leader="none" w:pos="2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October, November and December include 3,670 shares, 294 shares and 84 shares, respectively, withheld from the shares that would otherwise have been issued to certain officers in order to satisfy the tax withholding obligations and/or stock option exercise price resulting from the exercise of stock options.</w:t>
      </w:r>
    </w:p>
    <w:p>
      <w:pPr>
        <w:spacing w:after="0" w:line="137" w:lineRule="exact"/>
        <w:rPr>
          <w:rFonts w:ascii="Times New Roman" w:cs="Times New Roman" w:eastAsia="Times New Roman" w:hAnsi="Times New Roman"/>
          <w:sz w:val="18"/>
          <w:szCs w:val="18"/>
          <w:color w:val="auto"/>
        </w:rPr>
      </w:pPr>
    </w:p>
    <w:p>
      <w:pPr>
        <w:ind w:firstLine="7"/>
        <w:spacing w:after="0" w:line="261" w:lineRule="auto"/>
        <w:tabs>
          <w:tab w:leader="none" w:pos="2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repurchase plan we had in place for 2023 was announced on December 21, 2022, and expired on December 31, 2023. It authorized the repurchase during 2023 of up to 1,100,000 shares of our outstanding common stock.</w:t>
      </w:r>
    </w:p>
    <w:p>
      <w:pPr>
        <w:spacing w:after="0" w:line="17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6.</w:t>
      </w:r>
      <w:r>
        <w:rPr>
          <w:sz w:val="20"/>
          <w:szCs w:val="20"/>
          <w:color w:val="auto"/>
        </w:rPr>
        <w:tab/>
      </w:r>
      <w:r>
        <w:rPr>
          <w:rFonts w:ascii="Times New Roman" w:cs="Times New Roman" w:eastAsia="Times New Roman" w:hAnsi="Times New Roman"/>
          <w:sz w:val="17"/>
          <w:szCs w:val="17"/>
          <w:u w:val="single" w:color="auto"/>
          <w:color w:val="auto"/>
        </w:rPr>
        <w:t>[RESERVED]</w:t>
      </w:r>
    </w:p>
    <w:p>
      <w:pPr>
        <w:spacing w:after="0" w:line="22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7.</w:t>
      </w:r>
      <w:r>
        <w:rPr>
          <w:sz w:val="20"/>
          <w:szCs w:val="20"/>
          <w:color w:val="auto"/>
        </w:rPr>
        <w:tab/>
      </w:r>
      <w:r>
        <w:rPr>
          <w:rFonts w:ascii="Times New Roman" w:cs="Times New Roman" w:eastAsia="Times New Roman" w:hAnsi="Times New Roman"/>
          <w:sz w:val="17"/>
          <w:szCs w:val="17"/>
          <w:u w:val="single" w:color="auto"/>
          <w:color w:val="auto"/>
        </w:rPr>
        <w:t>MANAGEMENT'S DISCUSSION AND ANALYSIS OF FINANCIAL CONDITION AND RESULTS OF OPERATIONS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information set forth under the caption "Management's Discussion and Analysis of Financial Condition and Results of Operations" in our annual report, to be delivered to shareholders in connection with the April 23, 2024 Annual Meeting of Shareholders (filed as exhibit 13 to this report on Form 10-K), is incorporated herein by reference.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21" w:name="page22"/>
    <w:bookmarkEnd w:id="21"/>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ITEM 7A.</w:t>
      </w:r>
      <w:r>
        <w:rPr>
          <w:sz w:val="20"/>
          <w:szCs w:val="20"/>
          <w:color w:val="auto"/>
        </w:rPr>
        <w:tab/>
      </w:r>
      <w:r>
        <w:rPr>
          <w:rFonts w:ascii="Times New Roman" w:cs="Times New Roman" w:eastAsia="Times New Roman" w:hAnsi="Times New Roman"/>
          <w:sz w:val="17"/>
          <w:szCs w:val="17"/>
          <w:u w:val="single" w:color="auto"/>
          <w:color w:val="auto"/>
        </w:rPr>
        <w:t>QUANTITATIVE AND QUALITATIVE DISCLOSURES ABOUT MARKET RISK</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information set forth in "Management's Discussion and Analysis of Financial Condition and Results of Operations" under the caption "Asset/liability management" in our annual report, to be delivered to shareholders in connection with the April 23, 2024 Annual Meeting of Shareholders (filed as exhibit 13 to this report on Form 10-K), is incorporated herein by reference.</w:t>
      </w:r>
    </w:p>
    <w:p>
      <w:pPr>
        <w:spacing w:after="0" w:line="17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8.</w:t>
      </w:r>
      <w:r>
        <w:rPr>
          <w:sz w:val="20"/>
          <w:szCs w:val="20"/>
          <w:color w:val="auto"/>
        </w:rPr>
        <w:tab/>
      </w:r>
      <w:r>
        <w:rPr>
          <w:rFonts w:ascii="Times New Roman" w:cs="Times New Roman" w:eastAsia="Times New Roman" w:hAnsi="Times New Roman"/>
          <w:sz w:val="17"/>
          <w:szCs w:val="17"/>
          <w:u w:val="single" w:color="auto"/>
          <w:color w:val="auto"/>
        </w:rPr>
        <w:t>FINANCIAL STATEMENTS AND SUPPLEMENTARY DATA</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following consolidated financial statements and the independent auditor's report are set forth in our annual report, to be delivered to shareholders in connection with the April 23, 2024 Annual Meeting of Shareholders (filed as exhibit 13 to this report on Form 10-K),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140335</wp:posOffset>
            </wp:positionV>
            <wp:extent cx="7134225" cy="169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Management's Annual Report on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169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169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Financial Condition at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169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169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Comprehensive Income (Loss) for the years ended December 31,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169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Shareholders' Equity for the years ended December 31,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169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169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supplementary data required by this item set forth under the caption "Quarterly Financial Data (Unaudited)" in our annual report, to be delivered to shareholders in connection with the April 23, 2024 Annual Meeting of Shareholders (filed as exhibit 13 to this report on Form 10-K), is incorporated herein by reference.</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portions of our annual report, to be delivered to shareholders in connection with the April 23, 2024 Annual Meeting of Shareholders (filed as exhibit 13 to this report on Form 10-K), which are not specifically incorporated by reference as part of this Form 10-K are not deemed to be a part of this report.</w:t>
      </w:r>
    </w:p>
    <w:p>
      <w:pPr>
        <w:spacing w:after="0" w:line="16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ITEM 9.</w:t>
      </w:r>
      <w:r>
        <w:rPr>
          <w:sz w:val="20"/>
          <w:szCs w:val="20"/>
          <w:color w:val="auto"/>
        </w:rPr>
        <w:tab/>
      </w:r>
      <w:r>
        <w:rPr>
          <w:rFonts w:ascii="Times New Roman" w:cs="Times New Roman" w:eastAsia="Times New Roman" w:hAnsi="Times New Roman"/>
          <w:sz w:val="17"/>
          <w:szCs w:val="17"/>
          <w:u w:val="single" w:color="auto"/>
          <w:color w:val="auto"/>
        </w:rPr>
        <w:t>CHANGES IN AND DISAGREEMENTS WITH ACCOUNTANTS ON ACCOUNTING AND FINANCIAL DISCLOSURE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ITEM 9A.</w:t>
      </w:r>
      <w:r>
        <w:rPr>
          <w:sz w:val="20"/>
          <w:szCs w:val="20"/>
          <w:color w:val="auto"/>
        </w:rPr>
        <w:tab/>
      </w:r>
      <w:r>
        <w:rPr>
          <w:rFonts w:ascii="Times New Roman" w:cs="Times New Roman" w:eastAsia="Times New Roman" w:hAnsi="Times New Roman"/>
          <w:sz w:val="17"/>
          <w:szCs w:val="17"/>
          <w:u w:val="single" w:color="auto"/>
          <w:color w:val="auto"/>
        </w:rPr>
        <w:t>CONTROLS AND PROCEDURES</w:t>
      </w:r>
    </w:p>
    <w:p>
      <w:pPr>
        <w:spacing w:after="0" w:line="220" w:lineRule="exact"/>
        <w:rPr>
          <w:sz w:val="20"/>
          <w:szCs w:val="20"/>
          <w:color w:val="auto"/>
        </w:rPr>
      </w:pPr>
    </w:p>
    <w:p>
      <w:pPr>
        <w:jc w:val="both"/>
        <w:ind w:left="640" w:hanging="633"/>
        <w:spacing w:after="0" w:line="269" w:lineRule="auto"/>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Evaluation of Disclosure Controls and Procedures</w:t>
      </w:r>
      <w:r>
        <w:rPr>
          <w:rFonts w:ascii="Times New Roman" w:cs="Times New Roman" w:eastAsia="Times New Roman" w:hAnsi="Times New Roman"/>
          <w:sz w:val="17"/>
          <w:szCs w:val="17"/>
          <w:color w:val="auto"/>
        </w:rPr>
        <w:t>. With the participation of management, our chief executive officer and chief financial officer, after evaluating the effectiveness of our disclosure controls and procedures (as defined in Exchange Act Rules 13a – 15e and 15d – 15e) as of the year ended December 31, 2023 (the "Evaluation Date"), have concluded that, as of such date, our disclosure controls and procedures were effective.</w:t>
      </w:r>
    </w:p>
    <w:p>
      <w:pPr>
        <w:spacing w:after="0" w:line="2" w:lineRule="exact"/>
        <w:rPr>
          <w:rFonts w:ascii="Times New Roman" w:cs="Times New Roman" w:eastAsia="Times New Roman" w:hAnsi="Times New Roman"/>
          <w:sz w:val="17"/>
          <w:szCs w:val="17"/>
          <w:color w:val="auto"/>
        </w:rPr>
      </w:pPr>
    </w:p>
    <w:p>
      <w:pPr>
        <w:jc w:val="both"/>
        <w:ind w:left="640" w:hanging="633"/>
        <w:spacing w:after="0" w:line="250"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Control Over Financial Reporting</w:t>
      </w:r>
      <w:r>
        <w:rPr>
          <w:rFonts w:ascii="Times New Roman" w:cs="Times New Roman" w:eastAsia="Times New Roman" w:hAnsi="Times New Roman"/>
          <w:sz w:val="18"/>
          <w:szCs w:val="18"/>
          <w:color w:val="auto"/>
        </w:rPr>
        <w:t>. "Management's Annual Report on Internal Control Over Financial Reporting" and our independent registered public accounting firm's audit of internal control over financial reporting as of December 31, 2023 included within the "Report of Independent Registered Public Accounting Firm," each as set forth in our annual report, to be delivered to shareholders in connection with the April 23, 2024 Annual Meeting of Shareholders (filed as exhibit 13 to this report on Form 10-K) are incorporated herein by reference.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22" w:name="page23"/>
    <w:bookmarkEnd w:id="22"/>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ITEM 9B.</w:t>
      </w:r>
      <w:r>
        <w:rPr>
          <w:sz w:val="20"/>
          <w:szCs w:val="20"/>
          <w:color w:val="auto"/>
        </w:rPr>
        <w:tab/>
      </w:r>
      <w:r>
        <w:rPr>
          <w:rFonts w:ascii="Times New Roman" w:cs="Times New Roman" w:eastAsia="Times New Roman" w:hAnsi="Times New Roman"/>
          <w:sz w:val="17"/>
          <w:szCs w:val="17"/>
          <w:u w:val="single" w:color="auto"/>
          <w:color w:val="auto"/>
        </w:rPr>
        <w:t>OTHER INFORMATION</w:t>
      </w:r>
    </w:p>
    <w:p>
      <w:pPr>
        <w:spacing w:after="0" w:line="206" w:lineRule="exact"/>
        <w:rPr>
          <w:sz w:val="20"/>
          <w:szCs w:val="20"/>
          <w:color w:val="auto"/>
        </w:rPr>
      </w:pPr>
    </w:p>
    <w:p>
      <w:pPr>
        <w:jc w:val="both"/>
        <w:spacing w:after="0" w:line="244" w:lineRule="exact"/>
        <w:rPr>
          <w:sz w:val="20"/>
          <w:szCs w:val="20"/>
          <w:color w:val="auto"/>
        </w:rPr>
      </w:pPr>
      <w:r>
        <w:rPr>
          <w:rFonts w:ascii="Times New Roman" w:cs="Times New Roman" w:eastAsia="Times New Roman" w:hAnsi="Times New Roman"/>
          <w:sz w:val="18"/>
          <w:szCs w:val="18"/>
          <w:color w:val="auto"/>
        </w:rPr>
        <w:t>During the fourth quarter of 2023, no director or officer of the Company adopted or terminated a "Rule 10b5-1 Trading Arrangement" or "Non-Rule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Trading Arrangement," as each term is defined in Item 408(a) of Regulation S-K.</w:t>
      </w:r>
    </w:p>
    <w:p>
      <w:pPr>
        <w:spacing w:after="0" w:line="200" w:lineRule="exact"/>
        <w:rPr>
          <w:sz w:val="20"/>
          <w:szCs w:val="20"/>
          <w:color w:val="auto"/>
        </w:rPr>
      </w:pPr>
    </w:p>
    <w:p>
      <w:pPr>
        <w:spacing w:after="0" w:line="23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ITEM 9C.</w:t>
      </w:r>
      <w:r>
        <w:rPr>
          <w:sz w:val="20"/>
          <w:szCs w:val="20"/>
          <w:color w:val="auto"/>
        </w:rPr>
        <w:tab/>
      </w:r>
      <w:r>
        <w:rPr>
          <w:rFonts w:ascii="Times New Roman" w:cs="Times New Roman" w:eastAsia="Times New Roman" w:hAnsi="Times New Roman"/>
          <w:sz w:val="17"/>
          <w:szCs w:val="17"/>
          <w:u w:val="single" w:color="auto"/>
          <w:color w:val="auto"/>
        </w:rPr>
        <w:t>DISCLOSURE REGARDING FOREIGN JURISDICTIONS THAT PREVENT INSPECTIONS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PART III.</w:t>
      </w:r>
    </w:p>
    <w:p>
      <w:pPr>
        <w:spacing w:after="0" w:line="22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auto"/>
        </w:rPr>
        <w:t>ITEM 10.</w:t>
      </w:r>
      <w:r>
        <w:rPr>
          <w:sz w:val="20"/>
          <w:szCs w:val="20"/>
          <w:color w:val="auto"/>
        </w:rPr>
        <w:tab/>
      </w:r>
      <w:r>
        <w:rPr>
          <w:rFonts w:ascii="Times New Roman" w:cs="Times New Roman" w:eastAsia="Times New Roman" w:hAnsi="Times New Roman"/>
          <w:sz w:val="17"/>
          <w:szCs w:val="17"/>
          <w:u w:val="single" w:color="auto"/>
          <w:color w:val="auto"/>
        </w:rPr>
        <w:t>DIRECTORS, EXECUTIVE OFFICERS AND CORPORATE GOVERNANCE</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DIRECTORS - The information with respect to our directors set forth under the caption "Proposal I Submitted for Your Vote -- Election of Directors" in our definitive proxy statement, to be delivered to shareholders in connection with the April 23, 2024 Annual Meeting of Shareholders, is incorporated herein by reference.</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BENEFICIAL OWNERSHIP REPORTING – The information set forth under the caption "Delinquent Section 16(a) Reports" in our definitive proxy statement, to be delivered to shareholders in connection with the April 23, 2024 Annual Meeting of Shareholders, is incorporated herein by reference.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OFFICERS - Reference is made to the additional item under Part I of this report on Form 10-K.</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CODE OF ETHICS - We have adopted a "Code of Ethics for Chief Executive Officer and Senior Financial Officers" that applies to our Chief Executive Officer, Chief Financial Officer, Chief Accounting Officer and Controller. A copy of our Code of Ethics is posted on our website at </w:t>
      </w:r>
      <w:r>
        <w:rPr>
          <w:rFonts w:ascii="Times New Roman" w:cs="Times New Roman" w:eastAsia="Times New Roman" w:hAnsi="Times New Roman"/>
          <w:sz w:val="18"/>
          <w:szCs w:val="18"/>
          <w:u w:val="single" w:color="auto"/>
          <w:color w:val="auto"/>
        </w:rPr>
        <w:t>www.IndependentBank.com</w:t>
      </w:r>
      <w:r>
        <w:rPr>
          <w:rFonts w:ascii="Times New Roman" w:cs="Times New Roman" w:eastAsia="Times New Roman" w:hAnsi="Times New Roman"/>
          <w:sz w:val="18"/>
          <w:szCs w:val="18"/>
          <w:color w:val="auto"/>
        </w:rPr>
        <w:t>, under Investor Relations, and a printed copy is available upon request by writing to our Chief Financial Officer, Independent Bank Corporation, 4200 East Beltline, Grand Rapids, Michigan 49525.</w:t>
      </w:r>
    </w:p>
    <w:p>
      <w:pPr>
        <w:spacing w:after="0" w:line="1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CORPORATE GOVERNANCE – Information relating to our audit committee, set forth under the captions "Board Committees and Functions" and "Determination of Independence of Board Members" in our definitive proxy statement, to be delivered to shareholders in connection with the April 23, 2024 Annual Meeting of Shareholders, is incorporated herein by reference.</w:t>
      </w:r>
    </w:p>
    <w:p>
      <w:pPr>
        <w:spacing w:after="0" w:line="19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auto"/>
        </w:rPr>
        <w:t>ITEM 11.</w:t>
      </w:r>
      <w:r>
        <w:rPr>
          <w:sz w:val="20"/>
          <w:szCs w:val="20"/>
          <w:color w:val="auto"/>
        </w:rPr>
        <w:tab/>
      </w:r>
      <w:r>
        <w:rPr>
          <w:rFonts w:ascii="Times New Roman" w:cs="Times New Roman" w:eastAsia="Times New Roman" w:hAnsi="Times New Roman"/>
          <w:sz w:val="17"/>
          <w:szCs w:val="17"/>
          <w:u w:val="single" w:color="auto"/>
          <w:color w:val="auto"/>
        </w:rPr>
        <w:t>EXECUTIVE COMPENSATION</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information set forth under the captions "Executive Compensation," "Director Compensation," “Compensation Committee Interlocks and Insider Participation,” and “Compensation Committee Report” in our definitive proxy statement, to be delivered to shareholders in connection with the April 23, 2024 Annual Meeting of Shareholders, is incorporated herein by reference.</w:t>
      </w:r>
    </w:p>
    <w:p>
      <w:pPr>
        <w:spacing w:after="0" w:line="17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auto"/>
        </w:rPr>
        <w:t>ITEM 12.</w:t>
      </w:r>
      <w:r>
        <w:rPr>
          <w:sz w:val="20"/>
          <w:szCs w:val="20"/>
          <w:color w:val="auto"/>
        </w:rPr>
        <w:tab/>
      </w:r>
      <w:r>
        <w:rPr>
          <w:rFonts w:ascii="Times New Roman" w:cs="Times New Roman" w:eastAsia="Times New Roman" w:hAnsi="Times New Roman"/>
          <w:sz w:val="17"/>
          <w:szCs w:val="17"/>
          <w:u w:val="single" w:color="auto"/>
          <w:color w:val="auto"/>
        </w:rPr>
        <w:t>SECURITY OWNERSHIP OF CERTAIN BENEFICIAL OWNERS AND MANAGEMENT AND RELATED STOCKHOLDER MATTERS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information set forth under the captions "Voting Securities and Record Date", "Proposal I Submitted for Your Vote -- Election of Directors" and "Securities Ownership of Management" in our definitive proxy statement, to be delivered to shareholders in connection with the April 23, 2024 Annual Meeting of Shareholders, is incorporated herein by reference.</w:t>
      </w:r>
    </w:p>
    <w:p>
      <w:pPr>
        <w:spacing w:after="0" w:line="17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We maintain certain equity compensation plans under which our common stock is authorized for issuance to employees and directors, including our Deferred Compensation and Stock Purchase Plan for Non-employee Directors and our Long-Term Incentive Plan.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The following sets forth certain information regarding our equity compensation plans as of December 31, 2023.</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13"/>
        </w:trPr>
        <w:tc>
          <w:tcPr>
            <w:tcW w:w="6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Number of</w:t>
            </w:r>
          </w:p>
        </w:tc>
      </w:tr>
      <w:tr>
        <w:trPr>
          <w:trHeight w:val="213"/>
        </w:trPr>
        <w:tc>
          <w:tcPr>
            <w:tcW w:w="6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securities</w:t>
            </w:r>
          </w:p>
        </w:tc>
      </w:tr>
      <w:tr>
        <w:trPr>
          <w:trHeight w:val="213"/>
        </w:trPr>
        <w:tc>
          <w:tcPr>
            <w:tcW w:w="6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remaining available</w:t>
            </w:r>
          </w:p>
        </w:tc>
      </w:tr>
      <w:tr>
        <w:trPr>
          <w:trHeight w:val="213"/>
        </w:trPr>
        <w:tc>
          <w:tcPr>
            <w:tcW w:w="6620" w:type="dxa"/>
            <w:vAlign w:val="bottom"/>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r>
      <w:tr>
        <w:trPr>
          <w:trHeight w:val="213"/>
        </w:trPr>
        <w:tc>
          <w:tcPr>
            <w:tcW w:w="66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Number of</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future issuance</w:t>
            </w:r>
          </w:p>
        </w:tc>
      </w:tr>
      <w:tr>
        <w:trPr>
          <w:trHeight w:val="213"/>
        </w:trPr>
        <w:tc>
          <w:tcPr>
            <w:tcW w:w="66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securities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under</w:t>
            </w:r>
          </w:p>
        </w:tc>
      </w:tr>
      <w:tr>
        <w:trPr>
          <w:trHeight w:val="213"/>
        </w:trPr>
        <w:tc>
          <w:tcPr>
            <w:tcW w:w="6620" w:type="dxa"/>
            <w:vAlign w:val="bottom"/>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to be issued upon</w:t>
            </w: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(b)</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equity</w:t>
            </w:r>
          </w:p>
        </w:tc>
      </w:tr>
      <w:tr>
        <w:trPr>
          <w:trHeight w:val="213"/>
        </w:trPr>
        <w:tc>
          <w:tcPr>
            <w:tcW w:w="66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exercise of</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Weighted-average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r>
      <w:tr>
        <w:trPr>
          <w:trHeight w:val="213"/>
        </w:trPr>
        <w:tc>
          <w:tcPr>
            <w:tcW w:w="66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outstanding</w:t>
            </w: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exercise price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plans (excluding</w:t>
            </w:r>
          </w:p>
        </w:tc>
      </w:tr>
      <w:tr>
        <w:trPr>
          <w:trHeight w:val="213"/>
        </w:trPr>
        <w:tc>
          <w:tcPr>
            <w:tcW w:w="66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options, warrants</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outstanding options,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securities reflected</w:t>
            </w: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Category</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and rights</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warrants and rights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 column (a))</w:t>
            </w:r>
          </w:p>
        </w:tc>
      </w:tr>
      <w:tr>
        <w:trPr>
          <w:trHeight w:val="26"/>
        </w:trPr>
        <w:tc>
          <w:tcPr>
            <w:tcW w:w="66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7"/>
        </w:trPr>
        <w:tc>
          <w:tcPr>
            <w:tcW w:w="66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9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496,362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40"/>
        </w:trPr>
        <w:tc>
          <w:tcPr>
            <w:tcW w:w="6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9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 not approved by security holders</w:t>
            </w: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None</w:t>
            </w:r>
          </w:p>
        </w:tc>
        <w:tc>
          <w:tcPr>
            <w:tcW w:w="14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equity compensation plan not approved by security holders referenced above is our Deferred Compensation and Stock Purchase Plan for Non-employee Directors. This plan allows our non-employee directors to defer payment of all or a part of their director fees and to receive shares of common stock in lieu of cash for these fees. Under the plan, each non-employee director may elect to participate in a Current Stock Purchase Account, a Deferred Cash Investment Account, or a Deferred Stock Account. A Current Stock Purchase Account is credited with shares of our common stock having a fair market value equal to the fees otherwise payable. A Deferred Cash Investment Account is credited with an amount equal to the fees deferred and on each quarterly credit date with an appreciation factor that may not exceed the prime rate of interest charged by our bank. A Deferred Stock Account is credited with the amount of fees deferred and converted into stock units based on 90% of the fair market value of our common stock at the time of the deferral. Amounts in the Deferred Stock Account are credited with cash dividends and other distributions on our common stock. Fees credited to a Deferred Cash Investment Account or a Deferred Stock Account are deferred for income tax purposes. This plan does not provide for distributions of amounts deferred prior to a participant's termination as a non-employee director. Participants may generally elect either a lump sum or installment distribution.</w:t>
      </w:r>
    </w:p>
    <w:p>
      <w:pPr>
        <w:spacing w:after="0" w:line="19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auto"/>
        </w:rPr>
        <w:t>ITEM 13.</w:t>
      </w:r>
      <w:r>
        <w:rPr>
          <w:sz w:val="20"/>
          <w:szCs w:val="20"/>
          <w:color w:val="auto"/>
        </w:rPr>
        <w:tab/>
      </w:r>
      <w:r>
        <w:rPr>
          <w:rFonts w:ascii="Times New Roman" w:cs="Times New Roman" w:eastAsia="Times New Roman" w:hAnsi="Times New Roman"/>
          <w:sz w:val="17"/>
          <w:szCs w:val="17"/>
          <w:u w:val="single" w:color="auto"/>
          <w:color w:val="auto"/>
        </w:rPr>
        <w:t>CERTAIN RELATIONSHIPS AND RELATED TRANSACTIONS, AND DIRECTOR INDEPENDENCE</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information set forth under the captions "Transactions Involving Management" and "Determination of Independence of Board Members" in our definitive proxy statement, to be delivered to shareholders in connection with the April 23, 2024 Annual Meeting of Shareholders, is incorporated herein by reference.</w:t>
      </w:r>
    </w:p>
    <w:p>
      <w:pPr>
        <w:spacing w:after="0" w:line="17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auto"/>
        </w:rPr>
        <w:t>ITEM 14.</w:t>
      </w:r>
      <w:r>
        <w:rPr>
          <w:sz w:val="20"/>
          <w:szCs w:val="20"/>
          <w:color w:val="auto"/>
        </w:rPr>
        <w:tab/>
      </w:r>
      <w:r>
        <w:rPr>
          <w:rFonts w:ascii="Times New Roman" w:cs="Times New Roman" w:eastAsia="Times New Roman" w:hAnsi="Times New Roman"/>
          <w:sz w:val="17"/>
          <w:szCs w:val="17"/>
          <w:u w:val="single" w:color="auto"/>
          <w:color w:val="auto"/>
        </w:rPr>
        <w:t>PRINCIPAL ACCOUNTANT FEES AND SERVICES</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information set forth under the caption "Disclosure of Fees Paid to our Independent Auditors" in our definitive proxy statement, to be delivered to shareholders in connection with the April 23, 2024 Annual Meeting of Shareholders, is incorporated herein by reference.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u w:val="single" w:color="auto"/>
          <w:color w:val="auto"/>
        </w:rPr>
        <w:t>PART IV.</w:t>
      </w:r>
    </w:p>
    <w:p>
      <w:pPr>
        <w:spacing w:after="0" w:line="22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auto"/>
        </w:rPr>
        <w:t>ITEM 15.</w:t>
      </w:r>
      <w:r>
        <w:rPr>
          <w:sz w:val="20"/>
          <w:szCs w:val="20"/>
          <w:color w:val="auto"/>
        </w:rPr>
        <w:tab/>
      </w:r>
      <w:r>
        <w:rPr>
          <w:rFonts w:ascii="Times New Roman" w:cs="Times New Roman" w:eastAsia="Times New Roman" w:hAnsi="Times New Roman"/>
          <w:sz w:val="17"/>
          <w:szCs w:val="17"/>
          <w:u w:val="single" w:color="auto"/>
          <w:color w:val="auto"/>
        </w:rPr>
        <w:t>EXHIBITS AND FINANCIAL STATEMENT SCHEDULES</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440" w:type="dxa"/>
            <w:vAlign w:val="bottom"/>
          </w:tcPr>
          <w:p>
            <w:pPr>
              <w:jc w:val="right"/>
              <w:ind w:right="871"/>
              <w:spacing w:after="0"/>
              <w:rPr>
                <w:sz w:val="20"/>
                <w:szCs w:val="20"/>
                <w:color w:val="auto"/>
              </w:rPr>
            </w:pPr>
            <w:r>
              <w:rPr>
                <w:rFonts w:ascii="Times New Roman" w:cs="Times New Roman" w:eastAsia="Times New Roman" w:hAnsi="Times New Roman"/>
                <w:sz w:val="18"/>
                <w:szCs w:val="18"/>
                <w:color w:val="auto"/>
              </w:rPr>
              <w:t>1.</w:t>
            </w:r>
          </w:p>
        </w:tc>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Financial Statements</w:t>
            </w:r>
          </w:p>
        </w:tc>
        <w:tc>
          <w:tcPr>
            <w:tcW w:w="7480" w:type="dxa"/>
            <w:vAlign w:val="bottom"/>
          </w:tcPr>
          <w:p>
            <w:pPr>
              <w:spacing w:after="0"/>
              <w:rPr>
                <w:sz w:val="17"/>
                <w:szCs w:val="17"/>
                <w:color w:val="auto"/>
              </w:rPr>
            </w:pPr>
          </w:p>
        </w:tc>
      </w:tr>
      <w:tr>
        <w:trPr>
          <w:trHeight w:val="215"/>
        </w:trPr>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of our financial statements are incorporated herein by reference as set forth in the annual report to be delivered to</w:t>
            </w:r>
          </w:p>
        </w:tc>
      </w:tr>
      <w:tr>
        <w:trPr>
          <w:trHeight w:val="213"/>
        </w:trPr>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shareholders in connection with the April 23, 2024 Annual Meeting of Shareholders (filed as exhibit 13 to this report on Form</w:t>
            </w:r>
          </w:p>
        </w:tc>
      </w:tr>
      <w:tr>
        <w:trPr>
          <w:trHeight w:val="232"/>
        </w:trPr>
        <w:tc>
          <w:tcPr>
            <w:tcW w:w="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10-K.)</w:t>
            </w:r>
          </w:p>
        </w:tc>
      </w:tr>
      <w:tr>
        <w:trPr>
          <w:trHeight w:val="408"/>
        </w:trPr>
        <w:tc>
          <w:tcPr>
            <w:tcW w:w="560" w:type="dxa"/>
            <w:vAlign w:val="bottom"/>
          </w:tcPr>
          <w:p>
            <w:pPr>
              <w:spacing w:after="0"/>
              <w:rPr>
                <w:sz w:val="24"/>
                <w:szCs w:val="24"/>
                <w:color w:val="auto"/>
              </w:rPr>
            </w:pPr>
          </w:p>
        </w:tc>
        <w:tc>
          <w:tcPr>
            <w:tcW w:w="1440" w:type="dxa"/>
            <w:vAlign w:val="bottom"/>
          </w:tcPr>
          <w:p>
            <w:pPr>
              <w:jc w:val="right"/>
              <w:ind w:right="871"/>
              <w:spacing w:after="0"/>
              <w:rPr>
                <w:sz w:val="20"/>
                <w:szCs w:val="20"/>
                <w:color w:val="auto"/>
              </w:rPr>
            </w:pPr>
            <w:r>
              <w:rPr>
                <w:rFonts w:ascii="Times New Roman" w:cs="Times New Roman" w:eastAsia="Times New Roman" w:hAnsi="Times New Roman"/>
                <w:sz w:val="18"/>
                <w:szCs w:val="18"/>
                <w:color w:val="auto"/>
              </w:rPr>
              <w:t>2.</w:t>
            </w: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 (Numbered in accordance with Item 601 of Regulation S-K)</w:t>
            </w:r>
          </w:p>
        </w:tc>
      </w:tr>
      <w:tr>
        <w:trPr>
          <w:trHeight w:val="232"/>
        </w:trPr>
        <w:tc>
          <w:tcPr>
            <w:tcW w:w="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Exhibit Index is located below.</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INDEX</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number and description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156210</wp:posOffset>
            </wp:positionV>
            <wp:extent cx="7134225" cy="169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34"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10.9*</w:t>
      </w:r>
      <w:r>
        <w:rPr>
          <w:sz w:val="20"/>
          <w:szCs w:val="20"/>
          <w:color w:val="auto"/>
        </w:rPr>
        <w:tab/>
      </w:r>
      <w:r>
        <w:rPr>
          <w:rFonts w:ascii="Times New Roman" w:cs="Times New Roman" w:eastAsia="Times New Roman" w:hAnsi="Times New Roman"/>
          <w:sz w:val="17"/>
          <w:szCs w:val="17"/>
          <w:color w:val="auto"/>
        </w:rPr>
        <w:t>Form of Restricted Share Agreement as executed with certain executive officers.</w:t>
      </w:r>
    </w:p>
    <w:p>
      <w:pPr>
        <w:spacing w:after="0" w:line="60" w:lineRule="exact"/>
        <w:rPr>
          <w:sz w:val="20"/>
          <w:szCs w:val="20"/>
          <w:color w:val="auto"/>
        </w:rPr>
      </w:pPr>
    </w:p>
    <w:p>
      <w:pPr>
        <w:ind w:left="920" w:right="580" w:hanging="896"/>
        <w:spacing w:after="0" w:line="277" w:lineRule="auto"/>
        <w:tabs>
          <w:tab w:leader="none" w:pos="920" w:val="left"/>
        </w:tabs>
        <w:numPr>
          <w:ilvl w:val="0"/>
          <w:numId w:val="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Annual report, relating to the April 23, 2024 Annual Meeting of Shareholders. This annual report will be delivered to our shareholders in compliance with Rule 14(a)-3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4225" cy="169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ind w:left="920" w:hanging="896"/>
        <w:spacing w:after="0"/>
        <w:tabs>
          <w:tab w:leader="none" w:pos="920" w:val="left"/>
        </w:tabs>
        <w:numPr>
          <w:ilvl w:val="0"/>
          <w:numId w:val="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List of Subsidiaries.</w:t>
      </w:r>
    </w:p>
    <w:p>
      <w:pPr>
        <w:spacing w:after="0" w:line="60" w:lineRule="exact"/>
        <w:rPr>
          <w:sz w:val="20"/>
          <w:szCs w:val="20"/>
          <w:color w:val="auto"/>
        </w:rPr>
      </w:pPr>
    </w:p>
    <w:p>
      <w:pPr>
        <w:ind w:left="920" w:hanging="896"/>
        <w:spacing w:after="0"/>
        <w:tabs>
          <w:tab w:leader="none" w:pos="920" w:val="left"/>
        </w:tabs>
        <w:numPr>
          <w:ilvl w:val="0"/>
          <w:numId w:val="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Consent of Independent Registered Public Accounting Firm (Crowe LLP).</w:t>
      </w:r>
    </w:p>
    <w:p>
      <w:pPr>
        <w:spacing w:after="0" w:line="59" w:lineRule="exact"/>
        <w:rPr>
          <w:rFonts w:ascii="Times New Roman" w:cs="Times New Roman" w:eastAsia="Times New Roman" w:hAnsi="Times New Roman"/>
          <w:sz w:val="18"/>
          <w:szCs w:val="18"/>
          <w:u w:val="single" w:color="auto"/>
          <w:color w:val="0000FF"/>
        </w:rPr>
      </w:pPr>
    </w:p>
    <w:p>
      <w:pPr>
        <w:ind w:left="920" w:hanging="896"/>
        <w:spacing w:after="0"/>
        <w:tabs>
          <w:tab w:leader="none" w:pos="920" w:val="left"/>
        </w:tabs>
        <w:numPr>
          <w:ilvl w:val="0"/>
          <w:numId w:val="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Power of Attorney (included on page </w:t>
      </w:r>
      <w:r>
        <w:rPr>
          <w:rFonts w:ascii="Times New Roman" w:cs="Times New Roman" w:eastAsia="Times New Roman" w:hAnsi="Times New Roman"/>
          <w:sz w:val="18"/>
          <w:szCs w:val="18"/>
          <w:u w:val="single" w:color="auto"/>
          <w:color w:val="0000FF"/>
        </w:rPr>
        <w:t>26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134225" cy="169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10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Certificate of the Chief Executive Officer of Independent Bank Corporation pursuant to Section 302 of the Sarbanes-Oxley Act of 2002.</w:t>
            </w:r>
          </w:p>
        </w:tc>
      </w:tr>
      <w:tr>
        <w:trPr>
          <w:trHeight w:val="47"/>
        </w:trPr>
        <w:tc>
          <w:tcPr>
            <w:tcW w:w="2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0620" w:type="dxa"/>
            <w:vAlign w:val="bottom"/>
          </w:tcPr>
          <w:p>
            <w:pPr>
              <w:spacing w:after="0"/>
              <w:rPr>
                <w:sz w:val="4"/>
                <w:szCs w:val="4"/>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0000FF"/>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280" w:type="dxa"/>
            <w:vAlign w:val="bottom"/>
            <w:tcBorders>
              <w:bottom w:val="single" w:sz="8" w:color="CCEEFF"/>
            </w:tcBorders>
            <w:shd w:val="clear" w:color="auto" w:fill="CCEEFF"/>
          </w:tcPr>
          <w:p>
            <w:pPr>
              <w:spacing w:after="0"/>
              <w:rPr>
                <w:sz w:val="21"/>
                <w:szCs w:val="21"/>
                <w:color w:val="auto"/>
              </w:rPr>
            </w:pPr>
          </w:p>
        </w:tc>
        <w:tc>
          <w:tcPr>
            <w:tcW w:w="10620" w:type="dxa"/>
            <w:vAlign w:val="bottom"/>
            <w:tcBorders>
              <w:bottom w:val="single" w:sz="8" w:color="CCEEFF"/>
            </w:tcBorders>
            <w:shd w:val="clear" w:color="auto" w:fill="CCEEFF"/>
          </w:tcPr>
          <w:p>
            <w:pPr>
              <w:ind w:left="300"/>
              <w:spacing w:after="0" w:line="201" w:lineRule="exact"/>
              <w:rPr>
                <w:sz w:val="20"/>
                <w:szCs w:val="20"/>
                <w:color w:val="auto"/>
              </w:rPr>
            </w:pPr>
            <w:r>
              <w:rPr>
                <w:rFonts w:ascii="Times New Roman" w:cs="Times New Roman" w:eastAsia="Times New Roman" w:hAnsi="Times New Roman"/>
                <w:sz w:val="18"/>
                <w:szCs w:val="18"/>
                <w:color w:val="auto"/>
              </w:rPr>
              <w:t>Certificate of the Chief Financial Officer of Independent Bank Corporation pursuant to Section 302 of the Sarbanes-Oxley Act of 2002.</w:t>
            </w:r>
          </w:p>
        </w:tc>
      </w:tr>
      <w:tr>
        <w:trPr>
          <w:trHeight w:val="200"/>
        </w:trPr>
        <w:tc>
          <w:tcPr>
            <w:tcW w:w="620" w:type="dxa"/>
            <w:vAlign w:val="bottom"/>
            <w:gridSpan w:val="3"/>
          </w:tcPr>
          <w:p>
            <w:pPr>
              <w:jc w:val="right"/>
              <w:ind w:right="280"/>
              <w:spacing w:after="0" w:line="201"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620" w:type="dxa"/>
            <w:vAlign w:val="bottom"/>
          </w:tcPr>
          <w:p>
            <w:pPr>
              <w:ind w:left="300"/>
              <w:spacing w:after="0" w:line="201" w:lineRule="exact"/>
              <w:rPr>
                <w:sz w:val="20"/>
                <w:szCs w:val="20"/>
                <w:color w:val="auto"/>
              </w:rPr>
            </w:pPr>
            <w:r>
              <w:rPr>
                <w:rFonts w:ascii="Times New Roman" w:cs="Times New Roman" w:eastAsia="Times New Roman" w:hAnsi="Times New Roman"/>
                <w:sz w:val="18"/>
                <w:szCs w:val="18"/>
                <w:color w:val="auto"/>
              </w:rPr>
              <w:t>Certificate of the Chief Executive Officer of Independent Bank Corporation pursuant to Section 906 of the Sarbanes-Oxley Act of 2002.</w:t>
            </w:r>
          </w:p>
        </w:tc>
      </w:tr>
      <w:tr>
        <w:trPr>
          <w:trHeight w:val="47"/>
        </w:trPr>
        <w:tc>
          <w:tcPr>
            <w:tcW w:w="2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0620" w:type="dxa"/>
            <w:vAlign w:val="bottom"/>
          </w:tcPr>
          <w:p>
            <w:pPr>
              <w:spacing w:after="0"/>
              <w:rPr>
                <w:sz w:val="4"/>
                <w:szCs w:val="4"/>
                <w:color w:val="auto"/>
              </w:rPr>
            </w:pPr>
          </w:p>
        </w:tc>
      </w:tr>
      <w:tr>
        <w:trPr>
          <w:trHeight w:val="200"/>
        </w:trPr>
        <w:tc>
          <w:tcPr>
            <w:tcW w:w="620" w:type="dxa"/>
            <w:vAlign w:val="bottom"/>
            <w:gridSpan w:val="3"/>
            <w:shd w:val="clear" w:color="auto" w:fill="CCEEFF"/>
          </w:tcPr>
          <w:p>
            <w:pPr>
              <w:jc w:val="right"/>
              <w:ind w:right="280"/>
              <w:spacing w:after="0" w:line="201"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620" w:type="dxa"/>
            <w:vAlign w:val="bottom"/>
            <w:shd w:val="clear" w:color="auto" w:fill="CCEEFF"/>
          </w:tcPr>
          <w:p>
            <w:pPr>
              <w:ind w:left="300"/>
              <w:spacing w:after="0" w:line="201" w:lineRule="exact"/>
              <w:rPr>
                <w:sz w:val="20"/>
                <w:szCs w:val="20"/>
                <w:color w:val="auto"/>
              </w:rPr>
            </w:pPr>
            <w:r>
              <w:rPr>
                <w:rFonts w:ascii="Times New Roman" w:cs="Times New Roman" w:eastAsia="Times New Roman" w:hAnsi="Times New Roman"/>
                <w:sz w:val="18"/>
                <w:szCs w:val="18"/>
                <w:color w:val="auto"/>
              </w:rPr>
              <w:t>Certificate of the Chief Financial Officer of Independent Bank Corporation pursuant to Section 906 of the Sarbanes-Oxley Act of 2002.</w:t>
            </w: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620" w:type="dxa"/>
            <w:vAlign w:val="bottom"/>
            <w:tcBorders>
              <w:top w:val="single" w:sz="8" w:color="CCEEFF"/>
            </w:tcBorders>
            <w:shd w:val="clear" w:color="auto" w:fill="CCEEFF"/>
          </w:tcPr>
          <w:p>
            <w:pPr>
              <w:spacing w:after="0"/>
              <w:rPr>
                <w:sz w:val="4"/>
                <w:szCs w:val="4"/>
                <w:color w:val="auto"/>
              </w:rPr>
            </w:pPr>
          </w:p>
        </w:tc>
      </w:tr>
    </w:tbl>
    <w:p>
      <w:pPr>
        <w:spacing w:after="0" w:line="8" w:lineRule="exact"/>
        <w:rPr>
          <w:sz w:val="20"/>
          <w:szCs w:val="20"/>
          <w:color w:val="auto"/>
        </w:rPr>
      </w:pPr>
    </w:p>
    <w:p>
      <w:pPr>
        <w:ind w:left="920" w:hanging="896"/>
        <w:spacing w:after="0"/>
        <w:tabs>
          <w:tab w:leader="none" w:pos="920" w:val="left"/>
        </w:tabs>
        <w:numPr>
          <w:ilvl w:val="0"/>
          <w:numId w:val="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Independent Bank Corporation Clawback Policy</w:t>
      </w:r>
    </w:p>
    <w:p>
      <w:pPr>
        <w:spacing w:after="0" w:line="3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101.INS Inline XBRL Instance Document (the instance document does not appear in the Interactive Data File because its XBRL tags are embedded within the Inline XBRL document)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 Inline XBRL Taxonomy Extension Schema Document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 Inline XBRL Taxonomy Extension Calculation Linkbase Document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 Inline XBRL Taxonomy Extension Definition Linkbase Document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 Inline XBRL Taxonomy Extension Label Linkbase Document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 Document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62230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EXHIBITS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304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spacing w:after="0" w:line="253" w:lineRule="exact"/>
        <w:rPr>
          <w:sz w:val="20"/>
          <w:szCs w:val="20"/>
          <w:color w:val="auto"/>
        </w:rPr>
      </w:pPr>
    </w:p>
    <w:p>
      <w:pPr>
        <w:ind w:left="20"/>
        <w:spacing w:after="0"/>
        <w:tabs>
          <w:tab w:leader="none" w:pos="900" w:val="left"/>
        </w:tabs>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color w:val="0000FF"/>
        </w:rPr>
        <w:tab/>
        <w:t>Restated Articles of Incorporation (incorporated herein by reference to Exhibit 3.1 to our quarterly report on Form 10-Q filed November 3,</w:t>
      </w:r>
    </w:p>
    <w:p>
      <w:pPr>
        <w:spacing w:after="0" w:line="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2017).</w:t>
      </w:r>
    </w:p>
    <w:p>
      <w:pPr>
        <w:spacing w:after="0" w:line="41" w:lineRule="exact"/>
        <w:rPr>
          <w:sz w:val="20"/>
          <w:szCs w:val="20"/>
          <w:color w:val="auto"/>
        </w:rPr>
      </w:pPr>
    </w:p>
    <w:p>
      <w:pPr>
        <w:ind w:left="20"/>
        <w:spacing w:after="0"/>
        <w:tabs>
          <w:tab w:leader="none" w:pos="900" w:val="left"/>
        </w:tabs>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Amended and Restated Bylaws (incorporated here by reference to Exhibit 3.2 to our annual report on Form 10-K filed March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4225" cy="304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spacing w:after="0" w:line="40" w:lineRule="exact"/>
        <w:rPr>
          <w:sz w:val="20"/>
          <w:szCs w:val="20"/>
          <w:color w:val="auto"/>
        </w:rPr>
      </w:pPr>
    </w:p>
    <w:p>
      <w:pPr>
        <w:ind w:left="20"/>
        <w:spacing w:after="0"/>
        <w:tabs>
          <w:tab w:leader="none" w:pos="900" w:val="left"/>
        </w:tabs>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u w:val="single" w:color="auto"/>
            <w:color w:val="0000FF"/>
          </w:rPr>
          <w:t>4.1</w:t>
        </w:r>
      </w:hyperlink>
      <w:r>
        <w:rPr>
          <w:rFonts w:ascii="Times New Roman" w:cs="Times New Roman" w:eastAsia="Times New Roman" w:hAnsi="Times New Roman"/>
          <w:sz w:val="18"/>
          <w:szCs w:val="18"/>
          <w:color w:val="0000FF"/>
        </w:rPr>
        <w:tab/>
        <w:t>Description of Registrant’s Common Stock (incorporated here by reference to Exhibit 4 to our annual report on Form 10-K filed March 6,</w:t>
      </w:r>
    </w:p>
    <w:p>
      <w:pPr>
        <w:spacing w:after="0" w:line="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2020).</w:t>
      </w:r>
    </w:p>
    <w:p>
      <w:pPr>
        <w:spacing w:after="0" w:line="41" w:lineRule="exact"/>
        <w:rPr>
          <w:sz w:val="20"/>
          <w:szCs w:val="20"/>
          <w:color w:val="auto"/>
        </w:rPr>
      </w:pPr>
    </w:p>
    <w:p>
      <w:pPr>
        <w:ind w:left="920" w:hanging="893"/>
        <w:spacing w:after="0" w:line="277" w:lineRule="auto"/>
        <w:tabs>
          <w:tab w:leader="none" w:pos="900" w:val="left"/>
        </w:tabs>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u w:val="single" w:color="auto"/>
            <w:color w:val="0000FF"/>
          </w:rPr>
          <w:t>4.2</w:t>
        </w:r>
      </w:hyperlink>
      <w:r>
        <w:rPr>
          <w:rFonts w:ascii="Times New Roman" w:cs="Times New Roman" w:eastAsia="Times New Roman" w:hAnsi="Times New Roman"/>
          <w:sz w:val="18"/>
          <w:szCs w:val="18"/>
          <w:color w:val="0000FF"/>
        </w:rPr>
        <w:tab/>
        <w:t>Form of 5.95% Fixed-to-Floating Rate Subordinated Note due 2030 (included as Exhibit A to the Form of Subordinated Note Purchase Agreement filed as Exhibit 10.8 to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4225" cy="304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ind w:left="920" w:hanging="893"/>
        <w:spacing w:after="0" w:line="277" w:lineRule="auto"/>
        <w:tabs>
          <w:tab w:leader="none" w:pos="900" w:val="left"/>
        </w:tabs>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u w:val="single" w:color="auto"/>
            <w:color w:val="0000EE"/>
          </w:rPr>
          <w:t>10.1*</w:t>
        </w:r>
      </w:hyperlink>
      <w:r>
        <w:rPr>
          <w:rFonts w:ascii="Times New Roman" w:cs="Times New Roman" w:eastAsia="Times New Roman" w:hAnsi="Times New Roman"/>
          <w:sz w:val="18"/>
          <w:szCs w:val="18"/>
          <w:color w:val="0000EE"/>
        </w:rPr>
        <w:tab/>
        <w:t>The form of Indemnity Agreement, as executed with all of the directors of the registrant (incorporated herein by reference to Exhibit 10.3 to the Form S-4 we filed on December 29, 2017).</w:t>
      </w:r>
    </w:p>
    <w:p>
      <w:pPr>
        <w:spacing w:after="0" w:line="3" w:lineRule="exact"/>
        <w:rPr>
          <w:sz w:val="20"/>
          <w:szCs w:val="20"/>
          <w:color w:val="auto"/>
        </w:rPr>
      </w:pPr>
    </w:p>
    <w:p>
      <w:pPr>
        <w:ind w:left="920" w:hanging="893"/>
        <w:spacing w:after="0" w:line="277" w:lineRule="auto"/>
        <w:tabs>
          <w:tab w:leader="none" w:pos="900" w:val="left"/>
        </w:tabs>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u w:val="single" w:color="auto"/>
            <w:color w:val="0000EE"/>
          </w:rPr>
          <w:t>10.2*</w:t>
        </w:r>
      </w:hyperlink>
      <w:r>
        <w:rPr>
          <w:rFonts w:ascii="Times New Roman" w:cs="Times New Roman" w:eastAsia="Times New Roman" w:hAnsi="Times New Roman"/>
          <w:sz w:val="18"/>
          <w:szCs w:val="18"/>
          <w:color w:val="0000EE"/>
        </w:rPr>
        <w:tab/>
        <w:t>The form of Management Continuity Agreement as executed with executive officers and certain senior managers (incorporated herein by reference to Exhibit 10.4 to the Form S-4 we filed on December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4225" cy="304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ind w:left="920" w:hanging="893"/>
        <w:spacing w:after="0" w:line="277" w:lineRule="auto"/>
        <w:tabs>
          <w:tab w:leader="none" w:pos="900" w:val="left"/>
        </w:tabs>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u w:val="single" w:color="auto"/>
            <w:color w:val="0000EE"/>
          </w:rPr>
          <w:t>10.3*</w:t>
        </w:r>
      </w:hyperlink>
      <w:r>
        <w:rPr>
          <w:rFonts w:ascii="Times New Roman" w:cs="Times New Roman" w:eastAsia="Times New Roman" w:hAnsi="Times New Roman"/>
          <w:sz w:val="18"/>
          <w:szCs w:val="18"/>
          <w:color w:val="0000EE"/>
        </w:rPr>
        <w:tab/>
        <w:t>2021 Independent Bank Corporation Long-Term Incentive Plan, effective April 20, 2021 (incorporated herein by reference to Appendix A to our proxy statement filed on Schedule 14A on March 5, 2021).</w:t>
      </w:r>
    </w:p>
    <w:p>
      <w:pPr>
        <w:spacing w:after="0" w:line="3" w:lineRule="exact"/>
        <w:rPr>
          <w:sz w:val="20"/>
          <w:szCs w:val="20"/>
          <w:color w:val="auto"/>
        </w:rPr>
      </w:pPr>
    </w:p>
    <w:p>
      <w:pPr>
        <w:ind w:left="920" w:hanging="893"/>
        <w:spacing w:after="0" w:line="277" w:lineRule="auto"/>
        <w:tabs>
          <w:tab w:leader="none" w:pos="900" w:val="left"/>
        </w:tabs>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u w:val="single" w:color="auto"/>
            <w:color w:val="0000EE"/>
          </w:rPr>
          <w:t>10.4*</w:t>
        </w:r>
      </w:hyperlink>
      <w:r>
        <w:rPr>
          <w:rFonts w:ascii="Times New Roman" w:cs="Times New Roman" w:eastAsia="Times New Roman" w:hAnsi="Times New Roman"/>
          <w:sz w:val="18"/>
          <w:szCs w:val="18"/>
          <w:color w:val="0000EE"/>
        </w:rPr>
        <w:tab/>
        <w:t>Amended and Restated Deferred Compensation and Stock Purchase Plan for Nonemployee Directors, as amended through March 19, 2019 (incorporated herein by reference to Exhibit 10.1 to our quarterly report on Form 10-Q filed May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4225" cy="304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ind w:left="20"/>
        <w:spacing w:after="0"/>
        <w:tabs>
          <w:tab w:leader="none" w:pos="900" w:val="left"/>
        </w:tabs>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u w:val="single" w:color="auto"/>
            <w:color w:val="0000EE"/>
          </w:rPr>
          <w:t>10.5*</w:t>
        </w:r>
      </w:hyperlink>
      <w:r>
        <w:rPr>
          <w:rFonts w:ascii="Times New Roman" w:cs="Times New Roman" w:eastAsia="Times New Roman" w:hAnsi="Times New Roman"/>
          <w:sz w:val="18"/>
          <w:szCs w:val="18"/>
          <w:color w:val="0000EE"/>
        </w:rPr>
        <w:tab/>
        <w:t>Form of TSR Performance Share Award Agreement as executed with certain executive officers (incorporated herein by reference to Exhibit</w:t>
      </w:r>
    </w:p>
    <w:p>
      <w:pPr>
        <w:spacing w:after="0" w:line="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10.12 to our annual report on Form 10-K filed March 7, 2014).</w:t>
      </w:r>
    </w:p>
    <w:p>
      <w:pPr>
        <w:spacing w:after="0" w:line="41" w:lineRule="exact"/>
        <w:rPr>
          <w:sz w:val="20"/>
          <w:szCs w:val="20"/>
          <w:color w:val="auto"/>
        </w:rPr>
      </w:pPr>
    </w:p>
    <w:p>
      <w:pPr>
        <w:ind w:left="920" w:hanging="893"/>
        <w:spacing w:after="0" w:line="277" w:lineRule="auto"/>
        <w:tabs>
          <w:tab w:leader="none" w:pos="900" w:val="left"/>
        </w:tabs>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u w:val="single" w:color="auto"/>
            <w:color w:val="0000EE"/>
          </w:rPr>
          <w:t>10.6*</w:t>
        </w:r>
      </w:hyperlink>
      <w:r>
        <w:rPr>
          <w:rFonts w:ascii="Times New Roman" w:cs="Times New Roman" w:eastAsia="Times New Roman" w:hAnsi="Times New Roman"/>
          <w:sz w:val="18"/>
          <w:szCs w:val="18"/>
          <w:color w:val="0000EE"/>
        </w:rPr>
        <w:tab/>
        <w:t>Summary of Independent Bank Corporation Management Incentive Compensation Plan (incorporated herein by reference to Exhibit 10.10 to our annual report on Form 10-K filed March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4225" cy="304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ind w:left="920" w:hanging="893"/>
        <w:spacing w:after="0" w:line="277" w:lineRule="auto"/>
        <w:tabs>
          <w:tab w:leader="none" w:pos="900" w:val="left"/>
        </w:tabs>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u w:val="single" w:color="auto"/>
            <w:color w:val="0000FF"/>
          </w:rPr>
          <w:t>10.7</w:t>
        </w:r>
      </w:hyperlink>
      <w:r>
        <w:rPr>
          <w:rFonts w:ascii="Times New Roman" w:cs="Times New Roman" w:eastAsia="Times New Roman" w:hAnsi="Times New Roman"/>
          <w:sz w:val="18"/>
          <w:szCs w:val="18"/>
          <w:color w:val="0000FF"/>
        </w:rPr>
        <w:tab/>
        <w:t>Form of Subordinated Note Purchase Agreement dated May 27, 2020, by and among Independent Bank Corporation and the Purchasers (incorporated herein by reference to Exhibit 10.1 to our Current Report on Form 8-K filed on May 27, 2020).</w:t>
      </w:r>
    </w:p>
    <w:p>
      <w:pPr>
        <w:spacing w:after="0" w:line="3" w:lineRule="exact"/>
        <w:rPr>
          <w:sz w:val="20"/>
          <w:szCs w:val="20"/>
          <w:color w:val="auto"/>
        </w:rPr>
      </w:pPr>
    </w:p>
    <w:p>
      <w:pPr>
        <w:ind w:left="920" w:hanging="893"/>
        <w:spacing w:after="0" w:line="277" w:lineRule="auto"/>
        <w:tabs>
          <w:tab w:leader="none" w:pos="900" w:val="left"/>
        </w:tabs>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color w:val="0000FF"/>
        </w:rPr>
        <w:tab/>
        <w:t>Form of Long-Term Incentive Plan Performance Share Award Agreement as executed with certain executive officers (incorporated herein by reference to Exhibit 10.9 to our annual report on Form 10-K filed March 3, 2023).</w:t>
      </w:r>
    </w:p>
    <w:p>
      <w:pPr>
        <w:spacing w:after="0" w:line="200" w:lineRule="exact"/>
        <w:rPr>
          <w:sz w:val="20"/>
          <w:szCs w:val="20"/>
          <w:color w:val="auto"/>
        </w:rPr>
      </w:pPr>
    </w:p>
    <w:p>
      <w:pPr>
        <w:spacing w:after="0" w:line="350" w:lineRule="exact"/>
        <w:rPr>
          <w:sz w:val="20"/>
          <w:szCs w:val="20"/>
          <w:color w:val="auto"/>
        </w:rPr>
      </w:pPr>
    </w:p>
    <w:p>
      <w:pPr>
        <w:ind w:right="8460" w:firstLine="7"/>
        <w:spacing w:after="0" w:line="524" w:lineRule="auto"/>
        <w:tabs>
          <w:tab w:leader="none" w:pos="71"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Represents a compensation plan. </w:t>
      </w:r>
      <w:r>
        <w:rPr>
          <w:rFonts w:ascii="Times New Roman" w:cs="Times New Roman" w:eastAsia="Times New Roman" w:hAnsi="Times New Roman"/>
          <w:sz w:val="15"/>
          <w:szCs w:val="15"/>
          <w:u w:val="single" w:color="auto"/>
          <w:color w:val="auto"/>
        </w:rPr>
        <w:t>ITEM 16. FORM 10-K SUMMARY</w:t>
      </w:r>
    </w:p>
    <w:p>
      <w:pPr>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35" w:right="35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s/Gavin A. Mohr</w:t>
            </w:r>
          </w:p>
        </w:tc>
        <w:tc>
          <w:tcPr>
            <w:tcW w:w="60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By: Gavin A. Mohr, Executive Vice President and Chief Financial</w:t>
            </w:r>
          </w:p>
        </w:tc>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6"/>
              </w:rPr>
              <w:t>March 8, 2024</w:t>
            </w:r>
          </w:p>
        </w:tc>
        <w:tc>
          <w:tcPr>
            <w:tcW w:w="0" w:type="dxa"/>
            <w:vAlign w:val="bottom"/>
          </w:tcPr>
          <w:p>
            <w:pPr>
              <w:spacing w:after="0"/>
              <w:rPr>
                <w:sz w:val="1"/>
                <w:szCs w:val="1"/>
                <w:color w:val="auto"/>
              </w:rPr>
            </w:pPr>
          </w:p>
        </w:tc>
      </w:tr>
      <w:tr>
        <w:trPr>
          <w:trHeight w:val="80"/>
        </w:trPr>
        <w:tc>
          <w:tcPr>
            <w:tcW w:w="2640" w:type="dxa"/>
            <w:vAlign w:val="bottom"/>
            <w:tcBorders>
              <w:bottom w:val="single" w:sz="8" w:color="auto"/>
            </w:tcBorders>
          </w:tcPr>
          <w:p>
            <w:pPr>
              <w:spacing w:after="0"/>
              <w:rPr>
                <w:sz w:val="6"/>
                <w:szCs w:val="6"/>
                <w:color w:val="auto"/>
              </w:rPr>
            </w:pPr>
          </w:p>
        </w:tc>
        <w:tc>
          <w:tcPr>
            <w:tcW w:w="6000" w:type="dxa"/>
            <w:vAlign w:val="bottom"/>
            <w:vMerge w:val="restart"/>
          </w:tcPr>
          <w:p>
            <w:pPr>
              <w:jc w:val="center"/>
              <w:ind w:right="11"/>
              <w:spacing w:after="0"/>
              <w:rPr>
                <w:sz w:val="20"/>
                <w:szCs w:val="20"/>
                <w:color w:val="auto"/>
              </w:rPr>
            </w:pPr>
            <w:r>
              <w:rPr>
                <w:rFonts w:ascii="Times New Roman" w:cs="Times New Roman" w:eastAsia="Times New Roman" w:hAnsi="Times New Roman"/>
                <w:sz w:val="18"/>
                <w:szCs w:val="18"/>
                <w:color w:val="auto"/>
                <w:w w:val="98"/>
              </w:rPr>
              <w:t>Officer (Principal Financial Officer)</w:t>
            </w: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640" w:type="dxa"/>
            <w:vAlign w:val="bottom"/>
          </w:tcPr>
          <w:p>
            <w:pPr>
              <w:spacing w:after="0"/>
              <w:rPr>
                <w:sz w:val="11"/>
                <w:szCs w:val="11"/>
                <w:color w:val="auto"/>
              </w:rPr>
            </w:pPr>
          </w:p>
        </w:tc>
        <w:tc>
          <w:tcPr>
            <w:tcW w:w="6000" w:type="dxa"/>
            <w:vAlign w:val="bottom"/>
            <w:vMerge w:val="continue"/>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 Each director whose signature appears below hereby appoints William B. Kessel and Gavin A. Mohr and each of them severally, as his or her attorney-in-fact, to sign in his or her name and on his or her behalf, as a director, and to file with the Securities and Exchange Commission any and all amendments to this Annual Report on Form 10-K.</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William B. Kessel, President, Chief Executive</w:t>
            </w:r>
          </w:p>
        </w:tc>
        <w:tc>
          <w:tcPr>
            <w:tcW w:w="17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 and Director (Principal Executive</w:t>
            </w:r>
          </w:p>
        </w:tc>
        <w:tc>
          <w:tcPr>
            <w:tcW w:w="17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s/William B. Kessel</w:t>
            </w:r>
          </w:p>
        </w:tc>
        <w:tc>
          <w:tcPr>
            <w:tcW w:w="2100" w:type="dxa"/>
            <w:vAlign w:val="bottom"/>
          </w:tcPr>
          <w:p>
            <w:pPr>
              <w:spacing w:after="0"/>
              <w:rPr>
                <w:sz w:val="20"/>
                <w:szCs w:val="20"/>
                <w:color w:val="auto"/>
              </w:rPr>
            </w:pP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8, 2024</w:t>
            </w:r>
          </w:p>
        </w:tc>
        <w:tc>
          <w:tcPr>
            <w:tcW w:w="0" w:type="dxa"/>
            <w:vAlign w:val="bottom"/>
          </w:tcPr>
          <w:p>
            <w:pPr>
              <w:spacing w:after="0"/>
              <w:rPr>
                <w:sz w:val="1"/>
                <w:szCs w:val="1"/>
                <w:color w:val="auto"/>
              </w:rPr>
            </w:pPr>
          </w:p>
        </w:tc>
      </w:tr>
      <w:tr>
        <w:trPr>
          <w:trHeight w:val="26"/>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8"/>
              </w:rPr>
              <w:t>Gavin A. Mohr, Executive Vice President and Chief</w:t>
            </w: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3720" w:type="dxa"/>
            <w:vAlign w:val="bottom"/>
            <w:vMerge w:val="continue"/>
          </w:tcPr>
          <w:p>
            <w:pPr>
              <w:spacing w:after="0"/>
              <w:rPr>
                <w:sz w:val="17"/>
                <w:szCs w:val="17"/>
                <w:color w:val="auto"/>
              </w:rPr>
            </w:pPr>
          </w:p>
        </w:tc>
        <w:tc>
          <w:tcPr>
            <w:tcW w:w="17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Officer (Principal Financial Officer)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s/Gavin A. Mohr</w:t>
            </w:r>
          </w:p>
        </w:tc>
        <w:tc>
          <w:tcPr>
            <w:tcW w:w="2100" w:type="dxa"/>
            <w:vAlign w:val="bottom"/>
          </w:tcPr>
          <w:p>
            <w:pPr>
              <w:spacing w:after="0"/>
              <w:rPr>
                <w:sz w:val="20"/>
                <w:szCs w:val="20"/>
                <w:color w:val="auto"/>
              </w:rPr>
            </w:pP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8, 2024</w:t>
            </w:r>
          </w:p>
        </w:tc>
        <w:tc>
          <w:tcPr>
            <w:tcW w:w="0" w:type="dxa"/>
            <w:vAlign w:val="bottom"/>
          </w:tcPr>
          <w:p>
            <w:pPr>
              <w:spacing w:after="0"/>
              <w:rPr>
                <w:sz w:val="1"/>
                <w:szCs w:val="1"/>
                <w:color w:val="auto"/>
              </w:rPr>
            </w:pPr>
          </w:p>
        </w:tc>
      </w:tr>
      <w:tr>
        <w:trPr>
          <w:trHeight w:val="26"/>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James J. Twarozynski, Senior Vice President and</w:t>
            </w: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3720" w:type="dxa"/>
            <w:vAlign w:val="bottom"/>
            <w:vMerge w:val="continue"/>
          </w:tcPr>
          <w:p>
            <w:pPr>
              <w:spacing w:after="0"/>
              <w:rPr>
                <w:sz w:val="17"/>
                <w:szCs w:val="17"/>
                <w:color w:val="auto"/>
              </w:rPr>
            </w:pPr>
          </w:p>
        </w:tc>
        <w:tc>
          <w:tcPr>
            <w:tcW w:w="17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Accounting Officer (Principal Accounting</w:t>
            </w:r>
          </w:p>
        </w:tc>
        <w:tc>
          <w:tcPr>
            <w:tcW w:w="17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w:t>
            </w:r>
          </w:p>
        </w:tc>
        <w:tc>
          <w:tcPr>
            <w:tcW w:w="1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s/James J. Twarozynski</w:t>
            </w:r>
          </w:p>
        </w:tc>
        <w:tc>
          <w:tcPr>
            <w:tcW w:w="2100" w:type="dxa"/>
            <w:vAlign w:val="bottom"/>
          </w:tcPr>
          <w:p>
            <w:pPr>
              <w:spacing w:after="0"/>
              <w:rPr>
                <w:sz w:val="20"/>
                <w:szCs w:val="20"/>
                <w:color w:val="auto"/>
              </w:rPr>
            </w:pP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8, 2024</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Michael M. Magee, Jr. Chairperson and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s/Michael M. Magee, Jr.</w:t>
            </w:r>
          </w:p>
        </w:tc>
        <w:tc>
          <w:tcPr>
            <w:tcW w:w="2100" w:type="dxa"/>
            <w:vAlign w:val="bottom"/>
          </w:tcPr>
          <w:p>
            <w:pPr>
              <w:spacing w:after="0"/>
              <w:rPr>
                <w:sz w:val="24"/>
                <w:szCs w:val="24"/>
                <w:color w:val="auto"/>
              </w:rPr>
            </w:pP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8, 2024</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Dennis W. Archer, Jr.,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s/Dennis W. Archer, Jr.</w:t>
            </w:r>
          </w:p>
        </w:tc>
        <w:tc>
          <w:tcPr>
            <w:tcW w:w="2100" w:type="dxa"/>
            <w:vAlign w:val="bottom"/>
          </w:tcPr>
          <w:p>
            <w:pPr>
              <w:spacing w:after="0"/>
              <w:rPr>
                <w:sz w:val="24"/>
                <w:szCs w:val="24"/>
                <w:color w:val="auto"/>
              </w:rPr>
            </w:pP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8, 2024</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Terance L. Beia,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s/Terance L. Beia</w:t>
            </w:r>
          </w:p>
        </w:tc>
        <w:tc>
          <w:tcPr>
            <w:tcW w:w="2100" w:type="dxa"/>
            <w:vAlign w:val="bottom"/>
          </w:tcPr>
          <w:p>
            <w:pPr>
              <w:spacing w:after="0"/>
              <w:rPr>
                <w:sz w:val="24"/>
                <w:szCs w:val="24"/>
                <w:color w:val="auto"/>
              </w:rPr>
            </w:pP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8, 2024</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William J. Boer,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s/William J. Boer</w:t>
            </w:r>
          </w:p>
        </w:tc>
        <w:tc>
          <w:tcPr>
            <w:tcW w:w="2100" w:type="dxa"/>
            <w:vAlign w:val="bottom"/>
          </w:tcPr>
          <w:p>
            <w:pPr>
              <w:spacing w:after="0"/>
              <w:rPr>
                <w:sz w:val="24"/>
                <w:szCs w:val="24"/>
                <w:color w:val="auto"/>
              </w:rPr>
            </w:pP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8, 2024</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Joan A. Budden,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s/Joan A. Budden</w:t>
            </w:r>
          </w:p>
        </w:tc>
        <w:tc>
          <w:tcPr>
            <w:tcW w:w="2100" w:type="dxa"/>
            <w:vAlign w:val="bottom"/>
          </w:tcPr>
          <w:p>
            <w:pPr>
              <w:spacing w:after="0"/>
              <w:rPr>
                <w:sz w:val="24"/>
                <w:szCs w:val="24"/>
                <w:color w:val="auto"/>
              </w:rPr>
            </w:pP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8, 2024</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Michael J. Cok,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s/Michael J. Cok</w:t>
            </w:r>
          </w:p>
        </w:tc>
        <w:tc>
          <w:tcPr>
            <w:tcW w:w="2100" w:type="dxa"/>
            <w:vAlign w:val="bottom"/>
          </w:tcPr>
          <w:p>
            <w:pPr>
              <w:spacing w:after="0"/>
              <w:rPr>
                <w:sz w:val="24"/>
                <w:szCs w:val="24"/>
                <w:color w:val="auto"/>
              </w:rPr>
            </w:pP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8, 2024</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Stephen L. Gulis, Jr.,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s/Stephen L. Gulis, Jr.</w:t>
            </w:r>
          </w:p>
        </w:tc>
        <w:tc>
          <w:tcPr>
            <w:tcW w:w="2100" w:type="dxa"/>
            <w:vAlign w:val="bottom"/>
          </w:tcPr>
          <w:p>
            <w:pPr>
              <w:spacing w:after="0"/>
              <w:rPr>
                <w:sz w:val="24"/>
                <w:szCs w:val="24"/>
                <w:color w:val="auto"/>
              </w:rPr>
            </w:pP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8, 2024</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Christina L. Keller,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s/Christina L. Keller</w:t>
            </w:r>
          </w:p>
        </w:tc>
        <w:tc>
          <w:tcPr>
            <w:tcW w:w="2100" w:type="dxa"/>
            <w:vAlign w:val="bottom"/>
          </w:tcPr>
          <w:p>
            <w:pPr>
              <w:spacing w:after="0"/>
              <w:rPr>
                <w:sz w:val="24"/>
                <w:szCs w:val="24"/>
                <w:color w:val="auto"/>
              </w:rPr>
            </w:pP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8, 2024</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William B. Kessel,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s/William B. Kessel</w:t>
            </w:r>
          </w:p>
        </w:tc>
        <w:tc>
          <w:tcPr>
            <w:tcW w:w="2100" w:type="dxa"/>
            <w:vAlign w:val="bottom"/>
          </w:tcPr>
          <w:p>
            <w:pPr>
              <w:spacing w:after="0"/>
              <w:rPr>
                <w:sz w:val="24"/>
                <w:szCs w:val="24"/>
                <w:color w:val="auto"/>
              </w:rPr>
            </w:pP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8, 2024</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Ronia F. Kruse,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s/Ronia F. Kruse</w:t>
            </w:r>
          </w:p>
        </w:tc>
        <w:tc>
          <w:tcPr>
            <w:tcW w:w="2100" w:type="dxa"/>
            <w:vAlign w:val="bottom"/>
          </w:tcPr>
          <w:p>
            <w:pPr>
              <w:spacing w:after="0"/>
              <w:rPr>
                <w:sz w:val="24"/>
                <w:szCs w:val="24"/>
                <w:color w:val="auto"/>
              </w:rPr>
            </w:pP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8, 2024</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Matthew J. Missad, Director</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s/Matthew J. Missad</w:t>
            </w:r>
          </w:p>
        </w:tc>
        <w:tc>
          <w:tcPr>
            <w:tcW w:w="2100" w:type="dxa"/>
            <w:vAlign w:val="bottom"/>
          </w:tcPr>
          <w:p>
            <w:pPr>
              <w:spacing w:after="0"/>
              <w:rPr>
                <w:sz w:val="24"/>
                <w:szCs w:val="24"/>
                <w:color w:val="auto"/>
              </w:rPr>
            </w:pPr>
          </w:p>
        </w:tc>
        <w:tc>
          <w:tcPr>
            <w:tcW w:w="23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6"/>
              </w:rPr>
              <w:t>March 8, 2024</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8"/>
        </w:trPr>
        <w:tc>
          <w:tcPr>
            <w:tcW w:w="3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100" w:type="dxa"/>
            <w:vAlign w:val="bottom"/>
          </w:tcPr>
          <w:p>
            <w:pPr>
              <w:jc w:val="right"/>
              <w:ind w:right="1811"/>
              <w:spacing w:after="0"/>
              <w:rPr>
                <w:sz w:val="20"/>
                <w:szCs w:val="20"/>
                <w:color w:val="auto"/>
              </w:rPr>
            </w:pPr>
            <w:r>
              <w:rPr>
                <w:rFonts w:ascii="Times New Roman" w:cs="Times New Roman" w:eastAsia="Times New Roman" w:hAnsi="Times New Roman"/>
                <w:sz w:val="18"/>
                <w:szCs w:val="18"/>
                <w:color w:val="auto"/>
                <w:w w:val="99"/>
              </w:rPr>
              <w:t>26</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5" w:right="339" w:bottom="1440" w:gutter="0" w:footer="0" w:header="0"/>
        </w:sectPr>
      </w:pPr>
    </w:p>
    <w:bookmarkStart w:id="27" w:name="page28"/>
    <w:bookmarkEnd w:id="27"/>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10.9*</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Independent Bank Corporation</w:t>
      </w:r>
    </w:p>
    <w:p>
      <w:pPr>
        <w:jc w:val="center"/>
        <w:spacing w:after="0"/>
        <w:rPr>
          <w:sz w:val="20"/>
          <w:szCs w:val="20"/>
          <w:color w:val="auto"/>
        </w:rPr>
      </w:pPr>
      <w:r>
        <w:rPr>
          <w:rFonts w:ascii="Times New Roman" w:cs="Times New Roman" w:eastAsia="Times New Roman" w:hAnsi="Times New Roman"/>
          <w:sz w:val="28"/>
          <w:szCs w:val="28"/>
          <w:b w:val="1"/>
          <w:bCs w:val="1"/>
          <w:color w:val="auto"/>
        </w:rPr>
        <w:t>Restricted Share Grant Agreement</w:t>
      </w:r>
    </w:p>
    <w:p>
      <w:pPr>
        <w:spacing w:after="0" w:line="200" w:lineRule="exact"/>
        <w:rPr>
          <w:sz w:val="20"/>
          <w:szCs w:val="20"/>
          <w:color w:val="auto"/>
        </w:rPr>
      </w:pPr>
    </w:p>
    <w:p>
      <w:pPr>
        <w:spacing w:after="0" w:line="2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AGREEMENT made effective as of the 6th day of _______, 20__, by </w:t>
      </w:r>
      <w:r>
        <w:rPr>
          <w:rFonts w:ascii="Times New Roman" w:cs="Times New Roman" w:eastAsia="Times New Roman" w:hAnsi="Times New Roman"/>
          <w:sz w:val="21"/>
          <w:szCs w:val="21"/>
          <w:b w:val="1"/>
          <w:bCs w:val="1"/>
          <w:color w:val="auto"/>
        </w:rPr>
        <w:t>INDEPENDENT BANK CORPORATION</w:t>
      </w:r>
      <w:r>
        <w:rPr>
          <w:rFonts w:ascii="Times New Roman" w:cs="Times New Roman" w:eastAsia="Times New Roman" w:hAnsi="Times New Roman"/>
          <w:sz w:val="21"/>
          <w:szCs w:val="21"/>
          <w:color w:val="auto"/>
        </w:rPr>
        <w:t>, a</w:t>
      </w:r>
    </w:p>
    <w:p>
      <w:pPr>
        <w:spacing w:after="0"/>
        <w:rPr>
          <w:sz w:val="20"/>
          <w:szCs w:val="20"/>
          <w:color w:val="auto"/>
        </w:rPr>
      </w:pPr>
      <w:r>
        <w:rPr>
          <w:rFonts w:ascii="Times New Roman" w:cs="Times New Roman" w:eastAsia="Times New Roman" w:hAnsi="Times New Roman"/>
          <w:sz w:val="21"/>
          <w:szCs w:val="21"/>
          <w:color w:val="auto"/>
        </w:rPr>
        <w:t>Michigan corporation (the "Company"), and _________ (the "Employee").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216"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1"/>
          <w:szCs w:val="21"/>
          <w:color w:val="auto"/>
        </w:rPr>
        <w:t>The Independent Bank Corporation Long-Term Incentive Plan authorizes the award of shares of restricted stock to employees of the Company upon such terms and conditions as may be determined by the Committee.</w:t>
      </w:r>
    </w:p>
    <w:p>
      <w:pPr>
        <w:spacing w:after="0" w:line="168"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1"/>
          <w:szCs w:val="21"/>
          <w:color w:val="auto"/>
        </w:rPr>
        <w:t>The Committee has approved a grant of restricted shares to the Employee upon the terms and conditions set forth in this Agreement. The Company and the Employee desire to confirm in this Agreement the terms, conditions and restrictions applicable to the grant of restricted stock.</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NOW, THEREFORE, intending to be bound, the parties agree as follows:</w:t>
      </w:r>
    </w:p>
    <w:p>
      <w:pPr>
        <w:spacing w:after="0" w:line="208" w:lineRule="exact"/>
        <w:rPr>
          <w:sz w:val="20"/>
          <w:szCs w:val="20"/>
          <w:color w:val="auto"/>
        </w:rPr>
      </w:pPr>
    </w:p>
    <w:p>
      <w:pPr>
        <w:ind w:left="380" w:hanging="373"/>
        <w:spacing w:after="0"/>
        <w:tabs>
          <w:tab w:leader="none" w:pos="380" w:val="left"/>
        </w:tabs>
        <w:numPr>
          <w:ilvl w:val="0"/>
          <w:numId w:val="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DEFINITIONS</w:t>
      </w:r>
    </w:p>
    <w:p>
      <w:pPr>
        <w:spacing w:after="0" w:line="216"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1.1</w:t>
        <w:tab/>
        <w:t>"</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means _________.</w:t>
      </w:r>
    </w:p>
    <w:p>
      <w:pPr>
        <w:spacing w:after="0" w:line="212"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1.2</w:t>
        <w:tab/>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means the Independent Bank Corporation Long-Term Incentive Plan.</w:t>
      </w:r>
    </w:p>
    <w:p>
      <w:pPr>
        <w:spacing w:after="0" w:line="212" w:lineRule="exact"/>
        <w:rPr>
          <w:sz w:val="20"/>
          <w:szCs w:val="20"/>
          <w:color w:val="auto"/>
        </w:rPr>
      </w:pPr>
    </w:p>
    <w:p>
      <w:pPr>
        <w:ind w:firstLine="640"/>
        <w:spacing w:after="0" w:line="248" w:lineRule="auto"/>
        <w:rPr>
          <w:sz w:val="20"/>
          <w:szCs w:val="20"/>
          <w:color w:val="auto"/>
        </w:rPr>
      </w:pPr>
      <w:r>
        <w:rPr>
          <w:rFonts w:ascii="Times New Roman" w:cs="Times New Roman" w:eastAsia="Times New Roman" w:hAnsi="Times New Roman"/>
          <w:sz w:val="21"/>
          <w:szCs w:val="21"/>
          <w:color w:val="auto"/>
        </w:rPr>
        <w:t>1.3 "</w:t>
      </w:r>
      <w:r>
        <w:rPr>
          <w:rFonts w:ascii="Times New Roman" w:cs="Times New Roman" w:eastAsia="Times New Roman" w:hAnsi="Times New Roman"/>
          <w:sz w:val="21"/>
          <w:szCs w:val="21"/>
          <w:u w:val="single" w:color="auto"/>
          <w:color w:val="auto"/>
        </w:rPr>
        <w:t>Restricted Share</w:t>
      </w:r>
      <w:r>
        <w:rPr>
          <w:rFonts w:ascii="Times New Roman" w:cs="Times New Roman" w:eastAsia="Times New Roman" w:hAnsi="Times New Roman"/>
          <w:sz w:val="21"/>
          <w:szCs w:val="21"/>
          <w:color w:val="auto"/>
        </w:rPr>
        <w:t>" means a Share which is subject to the restrictions on sale, pledge or other transfer imposed by Section 3.</w:t>
      </w:r>
    </w:p>
    <w:p>
      <w:pPr>
        <w:spacing w:after="0" w:line="168"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1.4</w:t>
        <w:tab/>
        <w:t>"</w:t>
      </w:r>
      <w:r>
        <w:rPr>
          <w:rFonts w:ascii="Times New Roman" w:cs="Times New Roman" w:eastAsia="Times New Roman" w:hAnsi="Times New Roman"/>
          <w:sz w:val="21"/>
          <w:szCs w:val="21"/>
          <w:u w:val="single" w:color="auto"/>
          <w:color w:val="auto"/>
        </w:rPr>
        <w:t>Reverted Shares</w:t>
      </w:r>
      <w:r>
        <w:rPr>
          <w:rFonts w:ascii="Times New Roman" w:cs="Times New Roman" w:eastAsia="Times New Roman" w:hAnsi="Times New Roman"/>
          <w:sz w:val="21"/>
          <w:szCs w:val="21"/>
          <w:color w:val="auto"/>
        </w:rPr>
        <w:t>" means Shares which have reverted to the Company pursuant to Section 5.4.</w:t>
      </w:r>
    </w:p>
    <w:p>
      <w:pPr>
        <w:spacing w:after="0" w:line="212"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1.5</w:t>
        <w:tab/>
        <w:t>"</w:t>
      </w:r>
      <w:r>
        <w:rPr>
          <w:rFonts w:ascii="Times New Roman" w:cs="Times New Roman" w:eastAsia="Times New Roman" w:hAnsi="Times New Roman"/>
          <w:sz w:val="21"/>
          <w:szCs w:val="21"/>
          <w:u w:val="single" w:color="auto"/>
          <w:color w:val="auto"/>
        </w:rPr>
        <w:t>Vested Share</w:t>
      </w:r>
      <w:r>
        <w:rPr>
          <w:rFonts w:ascii="Times New Roman" w:cs="Times New Roman" w:eastAsia="Times New Roman" w:hAnsi="Times New Roman"/>
          <w:sz w:val="21"/>
          <w:szCs w:val="21"/>
          <w:color w:val="auto"/>
        </w:rPr>
        <w:t>" means a Share which is no longer a Restricted Share.</w:t>
      </w: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Other terms not specifically defined in this Agreement shall have the same meanings as defined in the Plan.</w:t>
      </w:r>
    </w:p>
    <w:p>
      <w:pPr>
        <w:spacing w:after="0" w:line="208" w:lineRule="exact"/>
        <w:rPr>
          <w:sz w:val="20"/>
          <w:szCs w:val="20"/>
          <w:color w:val="auto"/>
        </w:rPr>
      </w:pPr>
    </w:p>
    <w:p>
      <w:pPr>
        <w:ind w:left="380" w:hanging="373"/>
        <w:spacing w:after="0"/>
        <w:tabs>
          <w:tab w:leader="none" w:pos="380" w:val="left"/>
        </w:tabs>
        <w:numPr>
          <w:ilvl w:val="0"/>
          <w:numId w:val="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GRANT AND ACCEPTANCE OF AWARD; TAX ELECTION</w:t>
      </w:r>
    </w:p>
    <w:p>
      <w:pPr>
        <w:spacing w:after="0" w:line="212" w:lineRule="exact"/>
        <w:rPr>
          <w:sz w:val="20"/>
          <w:szCs w:val="20"/>
          <w:color w:val="auto"/>
        </w:rPr>
      </w:pPr>
    </w:p>
    <w:p>
      <w:pPr>
        <w:ind w:left="640"/>
        <w:spacing w:after="0"/>
        <w:tabs>
          <w:tab w:leader="none" w:pos="1200" w:val="left"/>
        </w:tabs>
        <w:rPr>
          <w:sz w:val="20"/>
          <w:szCs w:val="20"/>
          <w:color w:val="auto"/>
        </w:rPr>
      </w:pPr>
      <w:r>
        <w:rPr>
          <w:rFonts w:ascii="Times New Roman" w:cs="Times New Roman" w:eastAsia="Times New Roman" w:hAnsi="Times New Roman"/>
          <w:sz w:val="21"/>
          <w:szCs w:val="21"/>
          <w:color w:val="auto"/>
        </w:rPr>
        <w:t>2.1</w:t>
      </w:r>
      <w:r>
        <w:rPr>
          <w:sz w:val="20"/>
          <w:szCs w:val="20"/>
          <w:color w:val="auto"/>
        </w:rPr>
        <w:tab/>
      </w: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The Company confirms the award to the Employee of ______ shares of Common Stock (the "Shares") as</w:t>
      </w:r>
    </w:p>
    <w:p>
      <w:pPr>
        <w:jc w:val="both"/>
        <w:spacing w:after="0" w:line="232" w:lineRule="auto"/>
        <w:rPr>
          <w:sz w:val="20"/>
          <w:szCs w:val="20"/>
          <w:color w:val="auto"/>
        </w:rPr>
      </w:pPr>
      <w:r>
        <w:rPr>
          <w:rFonts w:ascii="Times New Roman" w:cs="Times New Roman" w:eastAsia="Times New Roman" w:hAnsi="Times New Roman"/>
          <w:sz w:val="21"/>
          <w:szCs w:val="21"/>
          <w:color w:val="auto"/>
        </w:rPr>
        <w:t>restricted stock, upon the terms, restrictions and conditions of this Agreement and the Plan. The award of Shares shall be effective as of the Grant Date.</w:t>
      </w:r>
    </w:p>
    <w:p>
      <w:pPr>
        <w:spacing w:after="0" w:line="176"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u w:val="single" w:color="auto"/>
          <w:color w:val="auto"/>
        </w:rPr>
        <w:t>Acceptance</w:t>
      </w:r>
      <w:r>
        <w:rPr>
          <w:rFonts w:ascii="Times New Roman" w:cs="Times New Roman" w:eastAsia="Times New Roman" w:hAnsi="Times New Roman"/>
          <w:sz w:val="21"/>
          <w:szCs w:val="21"/>
          <w:color w:val="auto"/>
        </w:rPr>
        <w:t>. The Employee accepts this award of Shares and agrees to hold them subject to the terms, restrictions and conditions of this Agreement.</w:t>
      </w:r>
    </w:p>
    <w:p>
      <w:pPr>
        <w:spacing w:after="0" w:line="164"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2.3</w:t>
      </w:r>
      <w:r>
        <w:rPr>
          <w:sz w:val="20"/>
          <w:szCs w:val="20"/>
          <w:color w:val="auto"/>
        </w:rPr>
        <w:tab/>
      </w:r>
      <w:r>
        <w:rPr>
          <w:rFonts w:ascii="Times New Roman" w:cs="Times New Roman" w:eastAsia="Times New Roman" w:hAnsi="Times New Roman"/>
          <w:sz w:val="21"/>
          <w:szCs w:val="21"/>
          <w:u w:val="single" w:color="auto"/>
          <w:color w:val="auto"/>
        </w:rPr>
        <w:t>Tax Election</w:t>
      </w:r>
      <w:r>
        <w:rPr>
          <w:rFonts w:ascii="Times New Roman" w:cs="Times New Roman" w:eastAsia="Times New Roman" w:hAnsi="Times New Roman"/>
          <w:sz w:val="21"/>
          <w:szCs w:val="21"/>
          <w:color w:val="auto"/>
        </w:rPr>
        <w:t>. The Employee may elect to be taxed in _____ on the fair market value of the Shares awarded by signing</w:t>
      </w:r>
    </w:p>
    <w:p>
      <w:pPr>
        <w:jc w:val="both"/>
        <w:spacing w:after="0" w:line="222" w:lineRule="auto"/>
        <w:rPr>
          <w:sz w:val="20"/>
          <w:szCs w:val="20"/>
          <w:color w:val="auto"/>
        </w:rPr>
      </w:pPr>
      <w:r>
        <w:rPr>
          <w:rFonts w:ascii="Times New Roman" w:cs="Times New Roman" w:eastAsia="Times New Roman" w:hAnsi="Times New Roman"/>
          <w:sz w:val="21"/>
          <w:szCs w:val="21"/>
          <w:color w:val="auto"/>
        </w:rPr>
        <w:t xml:space="preserve">an election (a copy of which is attached as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to be so taxed under Section 83(b) of the Internal Revenue Code, and filing such election with the Internal Revenue Service within thirty (30) days after the Grant Date. If the Employee chooses not to make such an election, the Employee will be taxed on the fair market value of the Shares in the year in which the Shares become Vested Shares.</w:t>
      </w:r>
    </w:p>
    <w:p>
      <w:pPr>
        <w:sectPr>
          <w:pgSz w:w="11900" w:h="16838" w:orient="portrait"/>
          <w:cols w:equalWidth="0" w:num="1">
            <w:col w:w="11240"/>
          </w:cols>
          <w:pgMar w:left="320" w:top="1440" w:right="339" w:bottom="1440" w:gutter="0" w:footer="0" w:header="0"/>
        </w:sectPr>
      </w:pPr>
    </w:p>
    <w:bookmarkStart w:id="28" w:name="page29"/>
    <w:bookmarkEnd w:id="28"/>
    <w:p>
      <w:pPr>
        <w:jc w:val="both"/>
        <w:ind w:firstLine="640"/>
        <w:spacing w:after="0" w:line="221" w:lineRule="auto"/>
        <w:rPr>
          <w:sz w:val="20"/>
          <w:szCs w:val="20"/>
          <w:color w:val="auto"/>
        </w:rPr>
      </w:pPr>
      <w:r>
        <w:rPr>
          <w:rFonts w:ascii="Times New Roman" w:cs="Times New Roman" w:eastAsia="Times New Roman" w:hAnsi="Times New Roman"/>
          <w:sz w:val="21"/>
          <w:szCs w:val="21"/>
          <w:color w:val="auto"/>
        </w:rPr>
        <w:t xml:space="preserve">2.4 </w:t>
      </w: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The parties agree that vesting of the Shares in accordance with this Agreement is subject to the satisfaction of applicable withholding tax or other withholding liabilities under federal, state, and local laws. Notwithstanding anything to the contrary, the vesting of Shares shall not be effective unless applicable withholding shall have been effected or obtained. The Employee shall have the right to elect, subject to the Company's approval, how such withholding tax obligations are satisfied, from the following options: (a) requiring a cash payment to the Company by the Employee; (b) withholding appropriate amounts from any amount owed to the Employee by the Company, including wages; (c) making a net delivery of certificates of Vested Shares; or (d) any other means elected by the Company.</w:t>
      </w:r>
    </w:p>
    <w:p>
      <w:pPr>
        <w:spacing w:after="0" w:line="174" w:lineRule="exact"/>
        <w:rPr>
          <w:sz w:val="20"/>
          <w:szCs w:val="20"/>
          <w:color w:val="auto"/>
        </w:rPr>
      </w:pPr>
    </w:p>
    <w:p>
      <w:pPr>
        <w:ind w:left="380" w:hanging="373"/>
        <w:spacing w:after="0"/>
        <w:tabs>
          <w:tab w:leader="none" w:pos="380" w:val="left"/>
        </w:tabs>
        <w:numPr>
          <w:ilvl w:val="0"/>
          <w:numId w:val="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RESTRICTIONS ON TRANSFER OF SHARES; LAPSE OF RESTRICTIONS</w:t>
      </w:r>
    </w:p>
    <w:p>
      <w:pPr>
        <w:spacing w:after="0" w:line="216"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Transfer Prohibitions</w:t>
      </w:r>
      <w:r>
        <w:rPr>
          <w:rFonts w:ascii="Times New Roman" w:cs="Times New Roman" w:eastAsia="Times New Roman" w:hAnsi="Times New Roman"/>
          <w:sz w:val="21"/>
          <w:szCs w:val="21"/>
          <w:color w:val="auto"/>
        </w:rPr>
        <w:t>. The Employee shall not sell, pledge or otherwise assign or transfer any Share or any interest in any Share while such Share is a Restricted Share.</w:t>
      </w:r>
    </w:p>
    <w:p>
      <w:pPr>
        <w:spacing w:after="0" w:line="168"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3.2</w:t>
      </w:r>
      <w:r>
        <w:rPr>
          <w:sz w:val="20"/>
          <w:szCs w:val="20"/>
          <w:color w:val="auto"/>
        </w:rPr>
        <w:tab/>
      </w:r>
      <w:r>
        <w:rPr>
          <w:rFonts w:ascii="Times New Roman" w:cs="Times New Roman" w:eastAsia="Times New Roman" w:hAnsi="Times New Roman"/>
          <w:sz w:val="21"/>
          <w:szCs w:val="21"/>
          <w:u w:val="single" w:color="auto"/>
          <w:color w:val="auto"/>
        </w:rPr>
        <w:t>Restricted Shares</w:t>
      </w:r>
      <w:r>
        <w:rPr>
          <w:rFonts w:ascii="Times New Roman" w:cs="Times New Roman" w:eastAsia="Times New Roman" w:hAnsi="Times New Roman"/>
          <w:sz w:val="21"/>
          <w:szCs w:val="21"/>
          <w:color w:val="auto"/>
        </w:rPr>
        <w:t>. Every Share shall be a Restricted Share until the restrictions lapse as provided in Section 5.</w:t>
      </w:r>
    </w:p>
    <w:p>
      <w:pPr>
        <w:spacing w:after="0" w:line="212" w:lineRule="exact"/>
        <w:rPr>
          <w:sz w:val="20"/>
          <w:szCs w:val="20"/>
          <w:color w:val="auto"/>
        </w:rPr>
      </w:pPr>
    </w:p>
    <w:p>
      <w:pPr>
        <w:jc w:val="both"/>
        <w:ind w:firstLine="640"/>
        <w:spacing w:after="0" w:line="225"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u w:val="single" w:color="auto"/>
          <w:color w:val="auto"/>
        </w:rPr>
        <w:t>Securities Law Compliance</w:t>
      </w:r>
      <w:r>
        <w:rPr>
          <w:rFonts w:ascii="Times New Roman" w:cs="Times New Roman" w:eastAsia="Times New Roman" w:hAnsi="Times New Roman"/>
          <w:sz w:val="21"/>
          <w:szCs w:val="21"/>
          <w:color w:val="auto"/>
        </w:rPr>
        <w:t>. The Employee shall not sell or transfer any Share or any interest in any Share, whether such Share is or is not a Restricted Share, unless either (a) the Company shall consent in writing to such transfer, or (b) the Company shall have received an opinion of counsel satisfactory to the Company to the effect that such transfer will not violate the registration requirements imposed by the Securities Act of 1933 or any other provision of law which the Company shall desire such opinion to cover.</w:t>
      </w:r>
    </w:p>
    <w:p>
      <w:pPr>
        <w:spacing w:after="0" w:line="176"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1"/>
          <w:szCs w:val="21"/>
          <w:color w:val="auto"/>
        </w:rPr>
        <w:t xml:space="preserve">3.4 </w:t>
      </w:r>
      <w:r>
        <w:rPr>
          <w:rFonts w:ascii="Times New Roman" w:cs="Times New Roman" w:eastAsia="Times New Roman" w:hAnsi="Times New Roman"/>
          <w:sz w:val="21"/>
          <w:szCs w:val="21"/>
          <w:u w:val="single" w:color="auto"/>
          <w:color w:val="auto"/>
        </w:rPr>
        <w:t>Stop Transfer Instructions</w:t>
      </w:r>
      <w:r>
        <w:rPr>
          <w:rFonts w:ascii="Times New Roman" w:cs="Times New Roman" w:eastAsia="Times New Roman" w:hAnsi="Times New Roman"/>
          <w:sz w:val="21"/>
          <w:szCs w:val="21"/>
          <w:color w:val="auto"/>
        </w:rPr>
        <w:t>. The Company shall have the right to issue instructions to the transfer agent for the shares of the Company, prohibiting transfer of any Shares except in accordance with the requirements of this Agreement.</w:t>
      </w:r>
    </w:p>
    <w:p>
      <w:pPr>
        <w:spacing w:after="0" w:line="164"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21"/>
          <w:szCs w:val="21"/>
          <w:color w:val="auto"/>
        </w:rPr>
        <w:t>3.5</w:t>
      </w:r>
      <w:r>
        <w:rPr>
          <w:sz w:val="20"/>
          <w:szCs w:val="20"/>
          <w:color w:val="auto"/>
        </w:rPr>
        <w:tab/>
      </w:r>
      <w:r>
        <w:rPr>
          <w:rFonts w:ascii="Times New Roman" w:cs="Times New Roman" w:eastAsia="Times New Roman" w:hAnsi="Times New Roman"/>
          <w:sz w:val="21"/>
          <w:szCs w:val="21"/>
          <w:u w:val="single" w:color="auto"/>
          <w:color w:val="auto"/>
        </w:rPr>
        <w:t>Certificate for Vested Shares</w:t>
      </w:r>
      <w:r>
        <w:rPr>
          <w:rFonts w:ascii="Times New Roman" w:cs="Times New Roman" w:eastAsia="Times New Roman" w:hAnsi="Times New Roman"/>
          <w:sz w:val="21"/>
          <w:szCs w:val="21"/>
          <w:color w:val="auto"/>
        </w:rPr>
        <w:t>. At the time a Restricted Share becomes a Vested Share, the Company will, within sixty</w:t>
      </w:r>
    </w:p>
    <w:p>
      <w:pPr>
        <w:jc w:val="both"/>
        <w:ind w:firstLine="7"/>
        <w:spacing w:after="0" w:line="220" w:lineRule="auto"/>
        <w:tabs>
          <w:tab w:leader="none" w:pos="41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thereafter, cause to be issued to Employee or Employee's legal representatives, beneficiaries, or heirs, as the case may be, a stock certificate or book entry representing the number of shares of Common Stock equal to the number of Vested Shares. Unless and until the Restricted Shares become Vested Shares, the Shares shall be held by the Company, in custody or in book entry form, unless otherwise directed by the Committee. If the Company issues a certificate representing any Restricted Share, that certificate shall bear the following Legend: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80" w:right="339" w:bottom="1440" w:gutter="0" w:footer="0" w:header="0"/>
        </w:sectPr>
      </w:pPr>
    </w:p>
    <w:bookmarkStart w:id="29" w:name="page30"/>
    <w:bookmarkEnd w:id="29"/>
    <w:p>
      <w:pPr>
        <w:jc w:val="both"/>
        <w:ind w:left="1280" w:right="1280"/>
        <w:spacing w:after="0" w:line="225" w:lineRule="auto"/>
        <w:rPr>
          <w:sz w:val="20"/>
          <w:szCs w:val="20"/>
          <w:color w:val="auto"/>
        </w:rPr>
      </w:pPr>
      <w:r>
        <w:rPr>
          <w:rFonts w:ascii="Times New Roman" w:cs="Times New Roman" w:eastAsia="Times New Roman" w:hAnsi="Times New Roman"/>
          <w:sz w:val="21"/>
          <w:szCs w:val="21"/>
          <w:color w:val="auto"/>
        </w:rPr>
        <w:t>"The transferability of this certificate and the shares of stock represented hereby are subject to the terms and conditions (including forfeiture) of the Independent Bank Corporation Long-Term Incentive Plan and related Restricted Share Grant Agreement entered into between the registered owner and the Company, dated ________, 20__. Copies of such Plan and Agreement are on file in the offices of the Company, 4200 East Beltline, Grand Rapids, Michigan 49525."</w:t>
      </w:r>
    </w:p>
    <w:p>
      <w:pPr>
        <w:spacing w:after="0" w:line="176"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1"/>
          <w:szCs w:val="21"/>
          <w:color w:val="auto"/>
        </w:rPr>
        <w:t xml:space="preserve">3.6 </w:t>
      </w:r>
      <w:r>
        <w:rPr>
          <w:rFonts w:ascii="Times New Roman" w:cs="Times New Roman" w:eastAsia="Times New Roman" w:hAnsi="Times New Roman"/>
          <w:sz w:val="21"/>
          <w:szCs w:val="21"/>
          <w:u w:val="single" w:color="auto"/>
          <w:color w:val="auto"/>
        </w:rPr>
        <w:t>Rights as a Shareholder</w:t>
      </w:r>
      <w:r>
        <w:rPr>
          <w:rFonts w:ascii="Times New Roman" w:cs="Times New Roman" w:eastAsia="Times New Roman" w:hAnsi="Times New Roman"/>
          <w:sz w:val="21"/>
          <w:szCs w:val="21"/>
          <w:color w:val="auto"/>
        </w:rPr>
        <w:t>. Except for the restrictions imposed in this Section 3 and unless the Shares have reverted to the Company pursuant to Section 5.4, the Employee shall have all the rights of a shareholder with respect to the Restricted Shares, including the right to vote and to receive any dividends declared and paid thereon.</w:t>
      </w:r>
    </w:p>
    <w:p>
      <w:pPr>
        <w:spacing w:after="0" w:line="173" w:lineRule="exact"/>
        <w:rPr>
          <w:sz w:val="20"/>
          <w:szCs w:val="20"/>
          <w:color w:val="auto"/>
        </w:rPr>
      </w:pPr>
    </w:p>
    <w:p>
      <w:pPr>
        <w:ind w:left="380" w:hanging="373"/>
        <w:spacing w:after="0"/>
        <w:tabs>
          <w:tab w:leader="none" w:pos="380" w:val="left"/>
        </w:tabs>
        <w:numPr>
          <w:ilvl w:val="0"/>
          <w:numId w:val="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ACQUISITION WARRANTIES BY EMPLOYEE</w:t>
      </w:r>
    </w:p>
    <w:p>
      <w:pPr>
        <w:spacing w:after="0" w:line="216"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1"/>
          <w:szCs w:val="21"/>
          <w:color w:val="auto"/>
        </w:rPr>
        <w:t>In order to induce the Company to issue and deliver the Shares on the terms of this Agreement, the Employee warrants to and agrees with the Company as follows:</w:t>
      </w:r>
    </w:p>
    <w:p>
      <w:pPr>
        <w:spacing w:after="0" w:line="168"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No Participating Interest</w:t>
      </w:r>
      <w:r>
        <w:rPr>
          <w:rFonts w:ascii="Times New Roman" w:cs="Times New Roman" w:eastAsia="Times New Roman" w:hAnsi="Times New Roman"/>
          <w:sz w:val="21"/>
          <w:szCs w:val="21"/>
          <w:color w:val="auto"/>
        </w:rPr>
        <w:t>. The Employee is acquiring the Shares for the Employee’s own account, and has not made any arrangement to convey any interest in the Shares to any person, other than to transfer Reverted Shares to the Company pursuant to Section 5.4.</w:t>
      </w:r>
    </w:p>
    <w:p>
      <w:pPr>
        <w:spacing w:after="0" w:line="177"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Ability to Evaluate</w:t>
      </w:r>
      <w:r>
        <w:rPr>
          <w:rFonts w:ascii="Times New Roman" w:cs="Times New Roman" w:eastAsia="Times New Roman" w:hAnsi="Times New Roman"/>
          <w:sz w:val="21"/>
          <w:szCs w:val="21"/>
          <w:color w:val="auto"/>
        </w:rPr>
        <w:t>. Because of the Employee’s knowledge of and experience in financial and business matters, the Employee is capable of evaluating the merits and risks of acquiring the Shares under the conditions set forth in this Agreement.</w:t>
      </w:r>
    </w:p>
    <w:p>
      <w:pPr>
        <w:spacing w:after="0" w:line="168"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u w:val="single" w:color="auto"/>
          <w:color w:val="auto"/>
        </w:rPr>
        <w:t>Familiarity with Company</w:t>
      </w:r>
      <w:r>
        <w:rPr>
          <w:rFonts w:ascii="Times New Roman" w:cs="Times New Roman" w:eastAsia="Times New Roman" w:hAnsi="Times New Roman"/>
          <w:sz w:val="21"/>
          <w:szCs w:val="21"/>
          <w:color w:val="auto"/>
        </w:rPr>
        <w:t>. The Employee is familiar with the business, financial condition, earnings and prospects of the Company, and confirms that the Company has not made any representation regarding the foregoing matters or the merits of entering into this Agreement or as to the prospective value of the Shares.</w:t>
      </w:r>
    </w:p>
    <w:p>
      <w:pPr>
        <w:spacing w:after="0" w:line="177"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All Questions Answered</w:t>
      </w:r>
      <w:r>
        <w:rPr>
          <w:rFonts w:ascii="Times New Roman" w:cs="Times New Roman" w:eastAsia="Times New Roman" w:hAnsi="Times New Roman"/>
          <w:sz w:val="21"/>
          <w:szCs w:val="21"/>
          <w:color w:val="auto"/>
        </w:rPr>
        <w:t>. The Employee understands all of the terms of this Agreement and the consequences to the Employee of any actions which may be taken under this Agreement. The Employee confirms there are no questions relating to any such matters which have not been answered to the Employee’s complete satisfaction.</w:t>
      </w:r>
    </w:p>
    <w:p>
      <w:pPr>
        <w:spacing w:after="0" w:line="173" w:lineRule="exact"/>
        <w:rPr>
          <w:sz w:val="20"/>
          <w:szCs w:val="20"/>
          <w:color w:val="auto"/>
        </w:rPr>
      </w:pPr>
    </w:p>
    <w:p>
      <w:pPr>
        <w:ind w:left="380" w:hanging="373"/>
        <w:spacing w:after="0"/>
        <w:tabs>
          <w:tab w:leader="none" w:pos="380" w:val="left"/>
        </w:tabs>
        <w:numPr>
          <w:ilvl w:val="0"/>
          <w:numId w:val="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VESTING AND REVERSION</w:t>
      </w:r>
    </w:p>
    <w:p>
      <w:pPr>
        <w:spacing w:after="0" w:line="216" w:lineRule="exact"/>
        <w:rPr>
          <w:sz w:val="20"/>
          <w:szCs w:val="20"/>
          <w:color w:val="auto"/>
        </w:rPr>
      </w:pPr>
    </w:p>
    <w:p>
      <w:pPr>
        <w:jc w:val="both"/>
        <w:ind w:firstLine="213"/>
        <w:spacing w:after="0" w:line="248"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All Shares issued hereunder which have not previously reverted to the Company shall become Vested Shares upon the third anniversary of the Grant Date.</w:t>
      </w:r>
    </w:p>
    <w:p>
      <w:pPr>
        <w:spacing w:after="0" w:line="168" w:lineRule="exact"/>
        <w:rPr>
          <w:sz w:val="20"/>
          <w:szCs w:val="20"/>
          <w:color w:val="auto"/>
        </w:rPr>
      </w:pPr>
    </w:p>
    <w:p>
      <w:pPr>
        <w:jc w:val="both"/>
        <w:ind w:firstLine="213"/>
        <w:spacing w:after="0" w:line="228"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Vesting upon Retirement</w:t>
      </w:r>
      <w:r>
        <w:rPr>
          <w:rFonts w:ascii="Times New Roman" w:cs="Times New Roman" w:eastAsia="Times New Roman" w:hAnsi="Times New Roman"/>
          <w:sz w:val="21"/>
          <w:szCs w:val="21"/>
          <w:color w:val="auto"/>
        </w:rPr>
        <w:t>. If the Employee is age 60 or older and retires during the vesting period, shares issued hereunder which have not previously reverted to the Company shall become Vested Shares based on a percentage, the numerator of which is the number of full years of the Employee’s employment during the vesting period prior to retirement and the denominator of which is the total number of years in the vesting period.</w:t>
      </w:r>
    </w:p>
    <w:p>
      <w:pPr>
        <w:spacing w:after="0" w:line="1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u w:val="single" w:color="auto"/>
          <w:color w:val="auto"/>
        </w:rPr>
        <w:t>Vesting Upon a Change in Control</w:t>
      </w:r>
      <w:r>
        <w:rPr>
          <w:rFonts w:ascii="Times New Roman" w:cs="Times New Roman" w:eastAsia="Times New Roman" w:hAnsi="Times New Roman"/>
          <w:sz w:val="21"/>
          <w:szCs w:val="21"/>
          <w:color w:val="auto"/>
        </w:rPr>
        <w:t>. Upon a Change in Control, as defined in the Plan, all of the Shares issued hereunder, which have not previously reverted to the Company, shall become Vested Shares.</w:t>
      </w:r>
    </w:p>
    <w:p>
      <w:pPr>
        <w:spacing w:after="0" w:line="168" w:lineRule="exact"/>
        <w:rPr>
          <w:sz w:val="20"/>
          <w:szCs w:val="20"/>
          <w:color w:val="auto"/>
        </w:rPr>
      </w:pPr>
    </w:p>
    <w:p>
      <w:pPr>
        <w:jc w:val="both"/>
        <w:ind w:right="20" w:firstLine="640"/>
        <w:spacing w:after="0" w:line="248" w:lineRule="auto"/>
        <w:rPr>
          <w:sz w:val="20"/>
          <w:szCs w:val="20"/>
          <w:color w:val="auto"/>
        </w:rPr>
      </w:pPr>
      <w:r>
        <w:rPr>
          <w:rFonts w:ascii="Times New Roman" w:cs="Times New Roman" w:eastAsia="Times New Roman" w:hAnsi="Times New Roman"/>
          <w:sz w:val="21"/>
          <w:szCs w:val="21"/>
          <w:color w:val="auto"/>
        </w:rPr>
        <w:t xml:space="preserve">5.4 </w:t>
      </w:r>
      <w:r>
        <w:rPr>
          <w:rFonts w:ascii="Times New Roman" w:cs="Times New Roman" w:eastAsia="Times New Roman" w:hAnsi="Times New Roman"/>
          <w:sz w:val="21"/>
          <w:szCs w:val="21"/>
          <w:u w:val="single" w:color="auto"/>
          <w:color w:val="auto"/>
        </w:rPr>
        <w:t>Reversion</w:t>
      </w:r>
      <w:r>
        <w:rPr>
          <w:rFonts w:ascii="Times New Roman" w:cs="Times New Roman" w:eastAsia="Times New Roman" w:hAnsi="Times New Roman"/>
          <w:sz w:val="21"/>
          <w:szCs w:val="21"/>
          <w:color w:val="auto"/>
        </w:rPr>
        <w:t>. All Shares that have not become Vested Shares shall automatically revert to the Company at any time the Employee shall no longer be employed by the Company or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8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1"/>
          <w:szCs w:val="21"/>
          <w:color w:val="auto"/>
        </w:rPr>
        <w:t>a Subsidiary for any reason. No compensation shall be payable to the Employee for Shares which revert to the Company.</w:t>
      </w:r>
    </w:p>
    <w:p>
      <w:pPr>
        <w:spacing w:after="0" w:line="212"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1"/>
          <w:szCs w:val="21"/>
          <w:color w:val="auto"/>
        </w:rPr>
        <w:t xml:space="preserve">5.5 </w:t>
      </w:r>
      <w:r>
        <w:rPr>
          <w:rFonts w:ascii="Times New Roman" w:cs="Times New Roman" w:eastAsia="Times New Roman" w:hAnsi="Times New Roman"/>
          <w:sz w:val="21"/>
          <w:szCs w:val="21"/>
          <w:u w:val="single" w:color="auto"/>
          <w:color w:val="auto"/>
        </w:rPr>
        <w:t>Effect of Reversion</w:t>
      </w:r>
      <w:r>
        <w:rPr>
          <w:rFonts w:ascii="Times New Roman" w:cs="Times New Roman" w:eastAsia="Times New Roman" w:hAnsi="Times New Roman"/>
          <w:sz w:val="21"/>
          <w:szCs w:val="21"/>
          <w:color w:val="auto"/>
        </w:rPr>
        <w:t>. Upon reversion of any Shares (a) absolute ownership thereof shall automatically revert to the Company at that time, (b) such Shares shall be deemed to be "Reverted Shares" for purposes of this Agreement, and (c) all the Employee’s rights and interests in the Reverted Shares shall cease at that time.</w:t>
      </w:r>
    </w:p>
    <w:p>
      <w:pPr>
        <w:spacing w:after="0" w:line="200" w:lineRule="exact"/>
        <w:rPr>
          <w:sz w:val="20"/>
          <w:szCs w:val="20"/>
          <w:color w:val="auto"/>
        </w:rPr>
      </w:pPr>
    </w:p>
    <w:p>
      <w:pPr>
        <w:spacing w:after="0" w:line="213" w:lineRule="exact"/>
        <w:rPr>
          <w:sz w:val="20"/>
          <w:szCs w:val="20"/>
          <w:color w:val="auto"/>
        </w:rPr>
      </w:pPr>
    </w:p>
    <w:p>
      <w:pPr>
        <w:ind w:left="380" w:hanging="373"/>
        <w:spacing w:after="0"/>
        <w:tabs>
          <w:tab w:leader="none" w:pos="380" w:val="left"/>
        </w:tabs>
        <w:numPr>
          <w:ilvl w:val="0"/>
          <w:numId w:val="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GENERAL PROVISIONS</w:t>
      </w:r>
    </w:p>
    <w:p>
      <w:pPr>
        <w:spacing w:after="0" w:line="216"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u w:val="single" w:color="auto"/>
          <w:color w:val="auto"/>
        </w:rPr>
        <w:t>No Right to Employment</w:t>
      </w:r>
      <w:r>
        <w:rPr>
          <w:rFonts w:ascii="Times New Roman" w:cs="Times New Roman" w:eastAsia="Times New Roman" w:hAnsi="Times New Roman"/>
          <w:sz w:val="21"/>
          <w:szCs w:val="21"/>
          <w:color w:val="auto"/>
        </w:rPr>
        <w:t>. This Agreement is not an employment contract. Neither the Plan nor this Agreement or anything else changes the employment status of the Employee.</w:t>
      </w:r>
    </w:p>
    <w:p>
      <w:pPr>
        <w:spacing w:after="0" w:line="168" w:lineRule="exact"/>
        <w:rPr>
          <w:sz w:val="20"/>
          <w:szCs w:val="20"/>
          <w:color w:val="auto"/>
        </w:rPr>
      </w:pPr>
    </w:p>
    <w:p>
      <w:pPr>
        <w:jc w:val="both"/>
        <w:ind w:firstLine="640"/>
        <w:spacing w:after="0" w:line="228"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Whenever possible, each provision of this Agreement shall be interpreted in such manner as to be valid and enforceable, but if any provision of this Agreement shall be held to be prohibited or unenforceable under applicable law (a) such provision shall be deemed amended to accomplish the objectives of the provision as originally written to the fullest extent permitted by law, and (b) all other provisions of this Agreement shall remain in full force and effect.</w:t>
      </w:r>
    </w:p>
    <w:p>
      <w:pPr>
        <w:spacing w:after="0" w:line="176"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u w:val="single" w:color="auto"/>
          <w:color w:val="auto"/>
        </w:rPr>
        <w:t>Captions</w:t>
      </w:r>
      <w:r>
        <w:rPr>
          <w:rFonts w:ascii="Times New Roman" w:cs="Times New Roman" w:eastAsia="Times New Roman" w:hAnsi="Times New Roman"/>
          <w:sz w:val="21"/>
          <w:szCs w:val="21"/>
          <w:color w:val="auto"/>
        </w:rPr>
        <w:t>. The captions used in this Agreement are for convenience only, do not constitute a part of this Agreement and all of the provisions of this Agreement shall be enforced and construed as if no captions had been used.</w:t>
      </w:r>
    </w:p>
    <w:p>
      <w:pPr>
        <w:spacing w:after="0" w:line="168"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u w:val="single" w:color="auto"/>
          <w:color w:val="auto"/>
        </w:rPr>
        <w:t>Complete Agreement</w:t>
      </w:r>
      <w:r>
        <w:rPr>
          <w:rFonts w:ascii="Times New Roman" w:cs="Times New Roman" w:eastAsia="Times New Roman" w:hAnsi="Times New Roman"/>
          <w:sz w:val="21"/>
          <w:szCs w:val="21"/>
          <w:color w:val="auto"/>
        </w:rPr>
        <w:t>. This Agreement contains the complete agreement between the parties relating in any way to the subject matter of this Agreement and supersedes any prior understandings, agreements or representations, written or oral, which may have related to such subject matter in any way.</w:t>
      </w:r>
    </w:p>
    <w:p>
      <w:pPr>
        <w:spacing w:after="0" w:line="177"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auto"/>
        </w:rPr>
        <w:t>6.5</w:t>
      </w:r>
      <w:r>
        <w:rPr>
          <w:sz w:val="20"/>
          <w:szCs w:val="20"/>
          <w:color w:val="auto"/>
        </w:rPr>
        <w:tab/>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left="640" w:firstLine="648"/>
        <w:spacing w:after="0" w:line="233" w:lineRule="auto"/>
        <w:tabs>
          <w:tab w:leader="none" w:pos="1797"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Procedures Required</w:t>
      </w:r>
      <w:r>
        <w:rPr>
          <w:rFonts w:ascii="Times New Roman" w:cs="Times New Roman" w:eastAsia="Times New Roman" w:hAnsi="Times New Roman"/>
          <w:sz w:val="21"/>
          <w:szCs w:val="21"/>
          <w:color w:val="auto"/>
        </w:rPr>
        <w:t>. Each communication given or delivered under this Agreement must be in writing and may be given by personal delivery or by certified mail. A written communication shall be deemed to have been given on the date it shall be delivered to the address required by this Agreement.</w:t>
      </w:r>
    </w:p>
    <w:p>
      <w:pPr>
        <w:spacing w:after="0" w:line="177" w:lineRule="exact"/>
        <w:rPr>
          <w:rFonts w:ascii="Times New Roman" w:cs="Times New Roman" w:eastAsia="Times New Roman" w:hAnsi="Times New Roman"/>
          <w:sz w:val="21"/>
          <w:szCs w:val="21"/>
          <w:color w:val="auto"/>
        </w:rPr>
      </w:pPr>
    </w:p>
    <w:p>
      <w:pPr>
        <w:ind w:left="640" w:firstLine="648"/>
        <w:spacing w:after="0" w:line="248" w:lineRule="auto"/>
        <w:tabs>
          <w:tab w:leader="none" w:pos="1796"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Communications to the Company</w:t>
      </w:r>
      <w:r>
        <w:rPr>
          <w:rFonts w:ascii="Times New Roman" w:cs="Times New Roman" w:eastAsia="Times New Roman" w:hAnsi="Times New Roman"/>
          <w:sz w:val="21"/>
          <w:szCs w:val="21"/>
          <w:color w:val="auto"/>
        </w:rPr>
        <w:t>. Communications to the Company shall be addressed to it at the principal corporate headquarters and marked to the attention of the Company’s president.</w:t>
      </w:r>
    </w:p>
    <w:p>
      <w:pPr>
        <w:spacing w:after="0" w:line="168" w:lineRule="exact"/>
        <w:rPr>
          <w:rFonts w:ascii="Times New Roman" w:cs="Times New Roman" w:eastAsia="Times New Roman" w:hAnsi="Times New Roman"/>
          <w:sz w:val="21"/>
          <w:szCs w:val="21"/>
          <w:color w:val="auto"/>
        </w:rPr>
      </w:pPr>
    </w:p>
    <w:p>
      <w:pPr>
        <w:jc w:val="both"/>
        <w:ind w:left="640" w:firstLine="648"/>
        <w:spacing w:after="0" w:line="233" w:lineRule="auto"/>
        <w:tabs>
          <w:tab w:leader="none" w:pos="1744"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Communications to the Employee</w:t>
      </w:r>
      <w:r>
        <w:rPr>
          <w:rFonts w:ascii="Times New Roman" w:cs="Times New Roman" w:eastAsia="Times New Roman" w:hAnsi="Times New Roman"/>
          <w:sz w:val="21"/>
          <w:szCs w:val="21"/>
          <w:color w:val="auto"/>
        </w:rPr>
        <w:t>. Every communication to the Employee shall be addressed to the Employee at the address given immediately below the Employee’s signature to this Agreement, or to such other address as the Employee shall specify to the Company.</w:t>
      </w:r>
    </w:p>
    <w:p>
      <w:pPr>
        <w:spacing w:after="0" w:line="177"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1"/>
          <w:szCs w:val="21"/>
          <w:color w:val="auto"/>
        </w:rPr>
        <w:t xml:space="preserve">6.6 </w:t>
      </w: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This Agreement is not assignable by the Employee during the Employee’s lifetime. This Agreement shall be binding upon and inure to the benefit of (a) the successors and assigns of the Company, and (b) any person to whom the Employee’s rights under this Agreement may pass by reason of the Employee’s death.</w:t>
      </w:r>
    </w:p>
    <w:p>
      <w:pPr>
        <w:spacing w:after="0" w:line="177"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1"/>
          <w:szCs w:val="21"/>
          <w:color w:val="auto"/>
        </w:rPr>
        <w:t xml:space="preserve">6.7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This Agreement may be amended, modified or terminated only by written agreement between the Company and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80" w:right="339" w:bottom="1440" w:gutter="0" w:footer="0" w:header="0"/>
        </w:sectPr>
      </w:pPr>
    </w:p>
    <w:bookmarkStart w:id="31" w:name="page32"/>
    <w:bookmarkEnd w:id="31"/>
    <w:p>
      <w:pPr>
        <w:jc w:val="both"/>
        <w:ind w:firstLine="640"/>
        <w:spacing w:after="0" w:line="233" w:lineRule="auto"/>
        <w:rPr>
          <w:sz w:val="20"/>
          <w:szCs w:val="20"/>
          <w:color w:val="auto"/>
        </w:rPr>
      </w:pPr>
      <w:r>
        <w:rPr>
          <w:rFonts w:ascii="Times New Roman" w:cs="Times New Roman" w:eastAsia="Times New Roman" w:hAnsi="Times New Roman"/>
          <w:sz w:val="21"/>
          <w:szCs w:val="21"/>
          <w:color w:val="auto"/>
        </w:rPr>
        <w:t xml:space="preserve">6.8 </w:t>
      </w: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No delay or omission in exercising any right hereunder shall operate as a waiver of such right or of any other right hereunder. A waiver upon any one occasion shall not be construed as a bar or waiver of any right or remedy on any other occasion. All of the rights and remedies of the parties hereto, whether evidenced hereby or granted by law, shall be cumulative.</w:t>
      </w:r>
    </w:p>
    <w:p>
      <w:pPr>
        <w:spacing w:after="0" w:line="177"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1"/>
          <w:szCs w:val="21"/>
          <w:color w:val="auto"/>
        </w:rPr>
        <w:t xml:space="preserve">6.9 </w:t>
      </w:r>
      <w:r>
        <w:rPr>
          <w:rFonts w:ascii="Times New Roman" w:cs="Times New Roman" w:eastAsia="Times New Roman" w:hAnsi="Times New Roman"/>
          <w:sz w:val="21"/>
          <w:szCs w:val="21"/>
          <w:u w:val="single" w:color="auto"/>
          <w:color w:val="auto"/>
        </w:rPr>
        <w:t>Choice of Law</w:t>
      </w:r>
      <w:r>
        <w:rPr>
          <w:rFonts w:ascii="Times New Roman" w:cs="Times New Roman" w:eastAsia="Times New Roman" w:hAnsi="Times New Roman"/>
          <w:sz w:val="21"/>
          <w:szCs w:val="21"/>
          <w:color w:val="auto"/>
        </w:rPr>
        <w:t>. This Agreement shall be deemed to be a contract made under the laws of the State of Michigan and for all purposes shall be construed in accordance with and governed by the laws of the State of Michigan.</w:t>
      </w:r>
    </w:p>
    <w:p>
      <w:pPr>
        <w:spacing w:after="0" w:line="168" w:lineRule="exact"/>
        <w:rPr>
          <w:sz w:val="20"/>
          <w:szCs w:val="20"/>
          <w:color w:val="auto"/>
        </w:rPr>
      </w:pPr>
    </w:p>
    <w:p>
      <w:pPr>
        <w:jc w:val="both"/>
        <w:ind w:firstLine="253"/>
        <w:spacing w:after="0" w:line="233" w:lineRule="auto"/>
        <w:rPr>
          <w:sz w:val="20"/>
          <w:szCs w:val="20"/>
          <w:color w:val="auto"/>
        </w:rPr>
      </w:pPr>
      <w:r>
        <w:rPr>
          <w:rFonts w:ascii="Times New Roman" w:cs="Times New Roman" w:eastAsia="Times New Roman" w:hAnsi="Times New Roman"/>
          <w:sz w:val="21"/>
          <w:szCs w:val="21"/>
          <w:color w:val="auto"/>
        </w:rPr>
        <w:t xml:space="preserve">6.10 </w:t>
      </w:r>
      <w:r>
        <w:rPr>
          <w:rFonts w:ascii="Times New Roman" w:cs="Times New Roman" w:eastAsia="Times New Roman" w:hAnsi="Times New Roman"/>
          <w:sz w:val="21"/>
          <w:szCs w:val="21"/>
          <w:u w:val="single" w:color="auto"/>
          <w:color w:val="auto"/>
        </w:rPr>
        <w:t>Code Section 409A</w:t>
      </w:r>
      <w:r>
        <w:rPr>
          <w:rFonts w:ascii="Times New Roman" w:cs="Times New Roman" w:eastAsia="Times New Roman" w:hAnsi="Times New Roman"/>
          <w:sz w:val="21"/>
          <w:szCs w:val="21"/>
          <w:color w:val="auto"/>
        </w:rPr>
        <w:t>. Notwithstanding any other provision in this Agreement, the Shares awarded under this Agreement are intended to be exempt from Section 409A of the Code as "short-term deferrals" (as such term is defined under applicable regulations thereunder), and shall be interpreted consistently with such intent.</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as of the Effective Date of this Agreement.</w:t>
      </w:r>
    </w:p>
    <w:p>
      <w:pPr>
        <w:spacing w:after="0" w:line="217"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20"/>
          <w:szCs w:val="20"/>
          <w:color w:val="auto"/>
        </w:rPr>
        <w:t>EMPLOYEE:</w:t>
      </w:r>
      <w:r>
        <w:rPr>
          <w:sz w:val="20"/>
          <w:szCs w:val="20"/>
          <w:color w:val="auto"/>
        </w:rPr>
        <w:tab/>
      </w:r>
      <w:r>
        <w:rPr>
          <w:rFonts w:ascii="Times New Roman" w:cs="Times New Roman" w:eastAsia="Times New Roman" w:hAnsi="Times New Roman"/>
          <w:sz w:val="20"/>
          <w:szCs w:val="20"/>
          <w:color w:val="auto"/>
        </w:rPr>
        <w:t>INDEPENDENT BANK CORPORATION</w:t>
      </w:r>
    </w:p>
    <w:p>
      <w:pPr>
        <w:spacing w:after="0" w:line="38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7589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758950" cy="8255"/>
                    </a:xfrm>
                    <a:prstGeom prst="rect">
                      <a:avLst/>
                    </a:prstGeom>
                    <a:noFill/>
                  </pic:spPr>
                </pic:pic>
              </a:graphicData>
            </a:graphic>
          </wp:anchor>
        </w:drawing>
      </w:r>
    </w:p>
    <w:p>
      <w:pPr>
        <w:ind w:left="1420"/>
        <w:spacing w:after="0" w:line="208" w:lineRule="auto"/>
        <w:rPr>
          <w:sz w:val="20"/>
          <w:szCs w:val="20"/>
          <w:color w:val="auto"/>
        </w:rPr>
      </w:pPr>
      <w:r>
        <w:rPr>
          <w:rFonts w:ascii="Times New Roman" w:cs="Times New Roman" w:eastAsia="Times New Roman" w:hAnsi="Times New Roman"/>
          <w:sz w:val="20"/>
          <w:szCs w:val="20"/>
          <w:color w:val="auto"/>
        </w:rPr>
        <w:t xml:space="preserve">Its </w:t>
      </w:r>
      <w:r>
        <w:rPr>
          <w:rFonts w:ascii="Times New Roman" w:cs="Times New Roman" w:eastAsia="Times New Roman" w:hAnsi="Times New Roman"/>
          <w:sz w:val="20"/>
          <w:szCs w:val="20"/>
          <w:u w:val="single" w:color="auto"/>
          <w:color w:val="auto"/>
        </w:rPr>
        <w:t>Executive Vice President and Chief</w:t>
      </w:r>
    </w:p>
    <w:p>
      <w:pPr>
        <w:ind w:left="1760"/>
        <w:spacing w:after="0" w:line="195" w:lineRule="auto"/>
        <w:rPr>
          <w:sz w:val="20"/>
          <w:szCs w:val="20"/>
          <w:color w:val="auto"/>
        </w:rPr>
      </w:pPr>
      <w:r>
        <w:rPr>
          <w:rFonts w:ascii="Times New Roman" w:cs="Times New Roman" w:eastAsia="Times New Roman" w:hAnsi="Times New Roman"/>
          <w:sz w:val="20"/>
          <w:szCs w:val="20"/>
          <w:u w:val="single" w:color="auto"/>
          <w:color w:val="auto"/>
        </w:rPr>
        <w:t>Financial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b w:val="1"/>
          <w:bCs w:val="1"/>
          <w:u w:val="single" w:color="auto"/>
          <w:color w:val="auto"/>
        </w:rPr>
        <w:t>APPENDIX A</w:t>
      </w:r>
    </w:p>
    <w:p>
      <w:pPr>
        <w:spacing w:after="0" w:line="21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b w:val="1"/>
          <w:bCs w:val="1"/>
          <w:color w:val="auto"/>
        </w:rPr>
        <w:t>ELECTION TO INCLUDE STOCK IN GROSS</w:t>
      </w:r>
    </w:p>
    <w:p>
      <w:pPr>
        <w:jc w:val="center"/>
        <w:spacing w:after="0" w:line="212" w:lineRule="auto"/>
        <w:rPr>
          <w:sz w:val="20"/>
          <w:szCs w:val="20"/>
          <w:color w:val="auto"/>
        </w:rPr>
      </w:pPr>
      <w:r>
        <w:rPr>
          <w:rFonts w:ascii="Times New Roman" w:cs="Times New Roman" w:eastAsia="Times New Roman" w:hAnsi="Times New Roman"/>
          <w:sz w:val="21"/>
          <w:szCs w:val="21"/>
          <w:b w:val="1"/>
          <w:bCs w:val="1"/>
          <w:color w:val="auto"/>
        </w:rPr>
        <w:t>INCOME PURSUANT TO SECTION 83(B) OF THE</w:t>
      </w: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INTERNAL REVENUE CODE</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The undersigned was granted _________ shares of Common Stock, no par value per share (the "Common Stock") of</w:t>
      </w:r>
    </w:p>
    <w:p>
      <w:pPr>
        <w:spacing w:after="0" w:line="212" w:lineRule="auto"/>
        <w:rPr>
          <w:sz w:val="20"/>
          <w:szCs w:val="20"/>
          <w:color w:val="auto"/>
        </w:rPr>
      </w:pPr>
      <w:r>
        <w:rPr>
          <w:rFonts w:ascii="Times New Roman" w:cs="Times New Roman" w:eastAsia="Times New Roman" w:hAnsi="Times New Roman"/>
          <w:sz w:val="21"/>
          <w:szCs w:val="21"/>
          <w:color w:val="auto"/>
        </w:rPr>
        <w:t>Independent Bank Corporation (the "Company") pursuant to a Restricted Share Grant Agreement (the "Agreement") dated as of</w:t>
      </w:r>
    </w:p>
    <w:p>
      <w:pPr>
        <w:spacing w:after="0" w:line="212" w:lineRule="auto"/>
        <w:rPr>
          <w:sz w:val="20"/>
          <w:szCs w:val="20"/>
          <w:color w:val="auto"/>
        </w:rPr>
      </w:pPr>
      <w:r>
        <w:rPr>
          <w:rFonts w:ascii="Times New Roman" w:cs="Times New Roman" w:eastAsia="Times New Roman" w:hAnsi="Times New Roman"/>
          <w:sz w:val="21"/>
          <w:szCs w:val="21"/>
          <w:color w:val="auto"/>
        </w:rPr>
        <w:t>_____, 20__ (the "Effective Date") between the Company and the undersigned. The Common Stock is subject to a substantial risk</w:t>
      </w:r>
    </w:p>
    <w:p>
      <w:pPr>
        <w:jc w:val="both"/>
        <w:spacing w:after="0" w:line="225" w:lineRule="auto"/>
        <w:rPr>
          <w:sz w:val="20"/>
          <w:szCs w:val="20"/>
          <w:color w:val="auto"/>
        </w:rPr>
      </w:pPr>
      <w:r>
        <w:rPr>
          <w:rFonts w:ascii="Times New Roman" w:cs="Times New Roman" w:eastAsia="Times New Roman" w:hAnsi="Times New Roman"/>
          <w:sz w:val="21"/>
          <w:szCs w:val="21"/>
          <w:color w:val="auto"/>
        </w:rPr>
        <w:t>of forfeiture and is nontransferable (within the meaning of Treasury Regulation §1.83-3(d)). The undersigned desires to make an election under Section 83(b) of the Internal Revenue Code of 1986, as amended ("Code") to have the Common Stock taxed at the time the undersigned acquired the Common Stock.</w:t>
      </w:r>
    </w:p>
    <w:p>
      <w:pPr>
        <w:spacing w:after="0" w:line="177" w:lineRule="exact"/>
        <w:rPr>
          <w:sz w:val="20"/>
          <w:szCs w:val="20"/>
          <w:color w:val="auto"/>
        </w:rPr>
      </w:pPr>
    </w:p>
    <w:p>
      <w:pPr>
        <w:jc w:val="both"/>
        <w:ind w:firstLine="226"/>
        <w:spacing w:after="0" w:line="233" w:lineRule="auto"/>
        <w:rPr>
          <w:sz w:val="20"/>
          <w:szCs w:val="20"/>
          <w:color w:val="auto"/>
        </w:rPr>
      </w:pPr>
      <w:r>
        <w:rPr>
          <w:rFonts w:ascii="Times New Roman" w:cs="Times New Roman" w:eastAsia="Times New Roman" w:hAnsi="Times New Roman"/>
          <w:sz w:val="21"/>
          <w:szCs w:val="21"/>
          <w:color w:val="auto"/>
        </w:rPr>
        <w:t>Therefore, pursuant to Code §83(b) and Treasury Regulation §1.83-2 promulgated thereunder, the undersigned hereby makes an election, with respect to the Common Stock, to report as taxable income for the undersigned's taxable year ending December 31, 20__, the fair market value of the Common Stock on the Effective Date.</w:t>
      </w:r>
    </w:p>
    <w:p>
      <w:pPr>
        <w:sectPr>
          <w:pgSz w:w="11900" w:h="16838" w:orient="portrait"/>
          <w:cols w:equalWidth="0" w:num="1">
            <w:col w:w="11240"/>
          </w:cols>
          <w:pgMar w:left="320" w:top="13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80" w:right="339" w:bottom="1440" w:gutter="0" w:footer="0" w:header="0"/>
          <w:type w:val="continuous"/>
        </w:sectPr>
      </w:pPr>
    </w:p>
    <w:bookmarkStart w:id="32" w:name="page33"/>
    <w:bookmarkEnd w:id="32"/>
    <w:p>
      <w:pPr>
        <w:spacing w:after="0" w:line="1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The following information is supplied in accordance with Treasury Regulation §1.83-2(e).</w:t>
      </w:r>
    </w:p>
    <w:p>
      <w:pPr>
        <w:spacing w:after="0" w:line="212" w:lineRule="exact"/>
        <w:rPr>
          <w:sz w:val="20"/>
          <w:szCs w:val="20"/>
          <w:color w:val="auto"/>
        </w:rPr>
      </w:pPr>
    </w:p>
    <w:p>
      <w:pPr>
        <w:ind w:left="440" w:right="5000" w:hanging="220"/>
        <w:spacing w:after="0" w:line="450" w:lineRule="auto"/>
        <w:tabs>
          <w:tab w:leader="none" w:pos="596"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 address and social security number of the undersigned: Name:</w:t>
      </w:r>
    </w:p>
    <w:p>
      <w:pPr>
        <w:spacing w:after="0" w:line="1" w:lineRule="exact"/>
        <w:rPr>
          <w:rFonts w:ascii="Times New Roman" w:cs="Times New Roman" w:eastAsia="Times New Roman" w:hAnsi="Times New Roman"/>
          <w:sz w:val="21"/>
          <w:szCs w:val="21"/>
          <w:color w:val="auto"/>
        </w:rPr>
      </w:pPr>
    </w:p>
    <w:p>
      <w:pPr>
        <w:ind w:left="4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-296545</wp:posOffset>
            </wp:positionV>
            <wp:extent cx="6775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127000</wp:posOffset>
            </wp:positionV>
            <wp:extent cx="6775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414655</wp:posOffset>
            </wp:positionV>
            <wp:extent cx="6775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
        <w:spacing w:after="0"/>
        <w:tabs>
          <w:tab w:leader="none" w:pos="2800" w:val="left"/>
          <w:tab w:leader="none" w:pos="3080" w:val="left"/>
        </w:tabs>
        <w:rPr>
          <w:sz w:val="20"/>
          <w:szCs w:val="20"/>
          <w:color w:val="auto"/>
        </w:rPr>
      </w:pPr>
      <w:r>
        <w:rPr>
          <w:rFonts w:ascii="Times New Roman" w:cs="Times New Roman" w:eastAsia="Times New Roman" w:hAnsi="Times New Roman"/>
          <w:sz w:val="21"/>
          <w:szCs w:val="21"/>
          <w:color w:val="auto"/>
        </w:rPr>
        <w:t>Social Security Number:</w:t>
        <w:tab/>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1649730</wp:posOffset>
            </wp:positionH>
            <wp:positionV relativeFrom="paragraph">
              <wp:posOffset>-8255</wp:posOffset>
            </wp:positionV>
            <wp:extent cx="4972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92" w:lineRule="exact"/>
        <w:rPr>
          <w:sz w:val="20"/>
          <w:szCs w:val="20"/>
          <w:color w:val="auto"/>
        </w:rPr>
      </w:pPr>
    </w:p>
    <w:p>
      <w:pPr>
        <w:ind w:firstLine="226"/>
        <w:spacing w:after="0" w:line="248" w:lineRule="auto"/>
        <w:tabs>
          <w:tab w:leader="none" w:pos="587"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the property with respect to which the election is being made: [____] ([____]) shares of Common Stock, no par value per share, of Independent Bank Corporation.</w:t>
      </w:r>
    </w:p>
    <w:p>
      <w:pPr>
        <w:spacing w:after="0" w:line="168" w:lineRule="exact"/>
        <w:rPr>
          <w:rFonts w:ascii="Times New Roman" w:cs="Times New Roman" w:eastAsia="Times New Roman" w:hAnsi="Times New Roman"/>
          <w:sz w:val="21"/>
          <w:szCs w:val="21"/>
          <w:color w:val="auto"/>
        </w:rPr>
      </w:pPr>
    </w:p>
    <w:p>
      <w:pPr>
        <w:ind w:firstLine="284"/>
        <w:spacing w:after="0" w:line="248" w:lineRule="auto"/>
        <w:tabs>
          <w:tab w:leader="none" w:pos="710" w:val="left"/>
        </w:tabs>
        <w:numPr>
          <w:ilvl w:val="2"/>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on which the property was transferred: ________, 20__. The taxable year for which such election is made: the undersigned's taxable year ending December 31, 20__.</w:t>
      </w:r>
    </w:p>
    <w:p>
      <w:pPr>
        <w:spacing w:after="0" w:line="168" w:lineRule="exact"/>
        <w:rPr>
          <w:rFonts w:ascii="Times New Roman" w:cs="Times New Roman" w:eastAsia="Times New Roman" w:hAnsi="Times New Roman"/>
          <w:sz w:val="21"/>
          <w:szCs w:val="21"/>
          <w:color w:val="auto"/>
        </w:rPr>
      </w:pPr>
    </w:p>
    <w:p>
      <w:pPr>
        <w:ind w:left="600" w:hanging="380"/>
        <w:spacing w:after="0"/>
        <w:tabs>
          <w:tab w:leader="none" w:pos="600"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restrictions to which the property is subject:</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The Common Stock may not be transferred until vested and is subject to time based vesting.</w:t>
      </w:r>
    </w:p>
    <w:p>
      <w:pPr>
        <w:spacing w:after="0" w:line="212" w:lineRule="exact"/>
        <w:rPr>
          <w:sz w:val="20"/>
          <w:szCs w:val="20"/>
          <w:color w:val="auto"/>
        </w:rPr>
      </w:pPr>
    </w:p>
    <w:p>
      <w:pPr>
        <w:ind w:firstLine="299"/>
        <w:spacing w:after="0" w:line="248" w:lineRule="auto"/>
        <w:tabs>
          <w:tab w:leader="none" w:pos="741" w:val="left"/>
        </w:tabs>
        <w:numPr>
          <w:ilvl w:val="2"/>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fair market value on ________, 20__ of the property with respect to which the election is being made, determined without regard to any lapse restrictions is $[____].</w:t>
      </w:r>
    </w:p>
    <w:p>
      <w:pPr>
        <w:spacing w:after="0" w:line="168" w:lineRule="exact"/>
        <w:rPr>
          <w:rFonts w:ascii="Times New Roman" w:cs="Times New Roman" w:eastAsia="Times New Roman" w:hAnsi="Times New Roman"/>
          <w:sz w:val="21"/>
          <w:szCs w:val="21"/>
          <w:color w:val="auto"/>
        </w:rPr>
      </w:pPr>
    </w:p>
    <w:p>
      <w:pPr>
        <w:ind w:left="600" w:hanging="380"/>
        <w:spacing w:after="0"/>
        <w:tabs>
          <w:tab w:leader="none" w:pos="60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paid for such property is $[0].</w:t>
      </w:r>
    </w:p>
    <w:p>
      <w:pPr>
        <w:spacing w:after="0" w:line="212" w:lineRule="exact"/>
        <w:rPr>
          <w:rFonts w:ascii="Times New Roman" w:cs="Times New Roman" w:eastAsia="Times New Roman" w:hAnsi="Times New Roman"/>
          <w:sz w:val="21"/>
          <w:szCs w:val="21"/>
          <w:color w:val="auto"/>
        </w:rPr>
      </w:pPr>
    </w:p>
    <w:p>
      <w:pPr>
        <w:ind w:left="600" w:hanging="380"/>
        <w:spacing w:after="0"/>
        <w:tabs>
          <w:tab w:leader="none" w:pos="60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to include in gross income is $[____].</w:t>
      </w:r>
    </w:p>
    <w:p>
      <w:pPr>
        <w:spacing w:after="0" w:line="212" w:lineRule="exact"/>
        <w:rPr>
          <w:rFonts w:ascii="Times New Roman" w:cs="Times New Roman" w:eastAsia="Times New Roman" w:hAnsi="Times New Roman"/>
          <w:sz w:val="21"/>
          <w:szCs w:val="21"/>
          <w:color w:val="auto"/>
        </w:rPr>
      </w:pPr>
    </w:p>
    <w:p>
      <w:pPr>
        <w:ind w:firstLine="269"/>
        <w:spacing w:after="0" w:line="248" w:lineRule="auto"/>
        <w:tabs>
          <w:tab w:leader="none" w:pos="673"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this election has been furnished to the person for whom the services are performed: Secretary of the Company pursuant to Treasury Regulation §1.83-2(e)(7).</w:t>
      </w:r>
    </w:p>
    <w:p>
      <w:pPr>
        <w:spacing w:after="0" w:line="16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This election is being sent to the Internal Revenue Service office with which the undersigned files his return. In addition, a copy of this election will be submitted with the income tax return of the undersigned for the taxable year in which the Common Stock was purchased. The undersigned is the person performing the services in connection with which the property was transferred.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-5715</wp:posOffset>
            </wp:positionV>
            <wp:extent cx="1762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762125" cy="8255"/>
                    </a:xfrm>
                    <a:prstGeom prst="rect">
                      <a:avLst/>
                    </a:prstGeom>
                    <a:noFill/>
                  </pic:spPr>
                </pic:pic>
              </a:graphicData>
            </a:graphic>
          </wp:anchor>
        </w:drawing>
      </w:r>
    </w:p>
    <w:p>
      <w:pPr>
        <w:ind w:left="1500"/>
        <w:spacing w:after="0"/>
        <w:tabs>
          <w:tab w:leader="none" w:pos="1760" w:val="left"/>
        </w:tabs>
        <w:rPr>
          <w:sz w:val="20"/>
          <w:szCs w:val="20"/>
          <w:color w:val="auto"/>
        </w:rPr>
      </w:pPr>
      <w:r>
        <w:rPr>
          <w:rFonts w:ascii="Times New Roman" w:cs="Times New Roman" w:eastAsia="Times New Roman" w:hAnsi="Times New Roman"/>
          <w:sz w:val="21"/>
          <w:szCs w:val="21"/>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-23495</wp:posOffset>
            </wp:positionV>
            <wp:extent cx="1809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40"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160" w:type="dxa"/>
            <w:vAlign w:val="bottom"/>
          </w:tcPr>
          <w:p>
            <w:pPr>
              <w:spacing w:after="0"/>
              <w:rPr>
                <w:sz w:val="17"/>
                <w:szCs w:val="17"/>
                <w:color w:val="auto"/>
              </w:rPr>
            </w:pPr>
          </w:p>
        </w:tc>
      </w:tr>
      <w:tr>
        <w:trPr>
          <w:trHeight w:val="847"/>
        </w:trPr>
        <w:tc>
          <w:tcPr>
            <w:tcW w:w="1260" w:type="dxa"/>
            <w:vAlign w:val="bottom"/>
            <w:tcBorders>
              <w:top w:val="single" w:sz="8" w:color="0000FF"/>
            </w:tcBorders>
          </w:tcPr>
          <w:p>
            <w:pPr>
              <w:spacing w:after="0"/>
              <w:rPr>
                <w:sz w:val="24"/>
                <w:szCs w:val="24"/>
                <w:color w:val="auto"/>
              </w:rPr>
            </w:pPr>
          </w:p>
        </w:tc>
        <w:tc>
          <w:tcPr>
            <w:tcW w:w="78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7"/>
        </w:trPr>
        <w:tc>
          <w:tcPr>
            <w:tcW w:w="9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Graph</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7"/>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7"/>
        </w:trPr>
        <w:tc>
          <w:tcPr>
            <w:tcW w:w="9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7"/>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 (PCAOB ID 173)</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7"/>
        </w:trPr>
        <w:tc>
          <w:tcPr>
            <w:tcW w:w="9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7"/>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7"/>
        </w:trPr>
        <w:tc>
          <w:tcPr>
            <w:tcW w:w="9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6"/>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Quarterly Data</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885"/>
        </w:trPr>
        <w:tc>
          <w:tcPr>
            <w:tcW w:w="908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29</w:t>
            </w:r>
          </w:p>
        </w:tc>
        <w:tc>
          <w:tcPr>
            <w:tcW w:w="2160" w:type="dxa"/>
            <w:vAlign w:val="bottom"/>
          </w:tcPr>
          <w:p>
            <w:pPr>
              <w:spacing w:after="0"/>
              <w:rPr>
                <w:sz w:val="24"/>
                <w:szCs w:val="24"/>
                <w:color w:val="auto"/>
              </w:rPr>
            </w:pPr>
          </w:p>
        </w:tc>
      </w:tr>
      <w:tr>
        <w:trPr>
          <w:trHeight w:val="113"/>
        </w:trPr>
        <w:tc>
          <w:tcPr>
            <w:tcW w:w="1260" w:type="dxa"/>
            <w:vAlign w:val="bottom"/>
            <w:tcBorders>
              <w:bottom w:val="single" w:sz="8" w:color="9A9A9A"/>
            </w:tcBorders>
          </w:tcPr>
          <w:p>
            <w:pPr>
              <w:spacing w:after="0"/>
              <w:rPr>
                <w:sz w:val="9"/>
                <w:szCs w:val="9"/>
                <w:color w:val="auto"/>
              </w:rPr>
            </w:pPr>
          </w:p>
        </w:tc>
        <w:tc>
          <w:tcPr>
            <w:tcW w:w="782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graph below compares the total returns (assuming reinvestment of dividends) of Independent Bank Corporation common stock, the NASDAQ Composite Index and the NASDAQ Bank Stock Index. The graph assumes $100 invested in Independent Bank Corporation common stock (returns based on stock prices per the NASDAQ) and each of the indices on December 31, 2018, and the reinvestment of all dividends during the periods presented. The performance shown on the graph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7142480" cy="161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42480" cy="161290"/>
                    </a:xfrm>
                    <a:prstGeom prst="rect">
                      <a:avLst/>
                    </a:prstGeom>
                    <a:noFill/>
                  </pic:spPr>
                </pic:pic>
              </a:graphicData>
            </a:graphic>
          </wp:anchor>
        </w:drawing>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Bank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1198880</wp:posOffset>
            </wp:positionH>
            <wp:positionV relativeFrom="paragraph">
              <wp:posOffset>221615</wp:posOffset>
            </wp:positionV>
            <wp:extent cx="4744720" cy="33889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4744720" cy="338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Period Ending</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20"/>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22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12/31/18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12/31/19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12/31/20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12/31/21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12/31/22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12/31/23</w:t>
            </w:r>
          </w:p>
        </w:tc>
      </w:tr>
      <w:tr>
        <w:trPr>
          <w:trHeight w:val="220"/>
        </w:trPr>
        <w:tc>
          <w:tcPr>
            <w:tcW w:w="3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 Bank Corporation</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152.25</w:t>
            </w:r>
          </w:p>
        </w:tc>
      </w:tr>
      <w:tr>
        <w:trPr>
          <w:trHeight w:val="227"/>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NASDAQ Composite</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236.17</w:t>
            </w:r>
          </w:p>
        </w:tc>
      </w:tr>
      <w:tr>
        <w:trPr>
          <w:trHeight w:val="227"/>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Bank</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149.56</w:t>
            </w:r>
          </w:p>
        </w:tc>
      </w:tr>
      <w:tr>
        <w:trPr>
          <w:trHeight w:val="895"/>
        </w:trPr>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3"/>
        </w:trPr>
        <w:tc>
          <w:tcPr>
            <w:tcW w:w="3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20" w:type="dxa"/>
            <w:vAlign w:val="bottom"/>
            <w:gridSpan w:val="9"/>
          </w:tcPr>
          <w:p>
            <w:pPr>
              <w:ind w:left="160"/>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3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51"/>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30"/>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SUMMARY OF OPERATIONS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560" w:type="dxa"/>
            <w:vAlign w:val="bottom"/>
            <w:gridSpan w:val="9"/>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(Dollars in thousands, except per share amounts)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239,677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169,008</w:t>
            </w:r>
          </w:p>
        </w:tc>
        <w:tc>
          <w:tcPr>
            <w:tcW w:w="600" w:type="dxa"/>
            <w:vAlign w:val="bottom"/>
            <w:gridSpan w:val="3"/>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138,080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139,829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148,928</w:t>
            </w:r>
          </w:p>
        </w:tc>
        <w:tc>
          <w:tcPr>
            <w:tcW w:w="0" w:type="dxa"/>
            <w:vAlign w:val="bottom"/>
          </w:tcPr>
          <w:p>
            <w:pPr>
              <w:spacing w:after="0"/>
              <w:rPr>
                <w:sz w:val="1"/>
                <w:szCs w:val="1"/>
                <w:color w:val="auto"/>
              </w:rPr>
            </w:pPr>
          </w:p>
        </w:tc>
      </w:tr>
      <w:tr>
        <w:trPr>
          <w:trHeight w:val="227"/>
        </w:trPr>
        <w:tc>
          <w:tcPr>
            <w:tcW w:w="3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83,348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19,447</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8,315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16,217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26,347</w:t>
            </w:r>
          </w:p>
        </w:tc>
        <w:tc>
          <w:tcPr>
            <w:tcW w:w="0" w:type="dxa"/>
            <w:vAlign w:val="bottom"/>
          </w:tcPr>
          <w:p>
            <w:pPr>
              <w:spacing w:after="0"/>
              <w:rPr>
                <w:sz w:val="1"/>
                <w:szCs w:val="1"/>
                <w:color w:val="auto"/>
              </w:rPr>
            </w:pPr>
          </w:p>
        </w:tc>
      </w:tr>
      <w:tr>
        <w:trPr>
          <w:trHeight w:val="220"/>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interest income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156,329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149,561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129,765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123,612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122,581</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line="226" w:lineRule="exact"/>
              <w:rPr>
                <w:sz w:val="20"/>
                <w:szCs w:val="20"/>
                <w:color w:val="auto"/>
              </w:rPr>
            </w:pPr>
            <w:r>
              <w:rPr>
                <w:rFonts w:ascii="Times New Roman" w:cs="Times New Roman" w:eastAsia="Times New Roman" w:hAnsi="Times New Roman"/>
                <w:sz w:val="18"/>
                <w:szCs w:val="18"/>
                <w:color w:val="auto"/>
              </w:rPr>
              <w:t>Provision for credit losses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6,210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12,463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173"/>
        </w:trPr>
        <w:tc>
          <w:tcPr>
            <w:tcW w:w="3200" w:type="dxa"/>
            <w:vAlign w:val="bottom"/>
            <w:shd w:val="clear" w:color="auto" w:fill="CCEEFF"/>
          </w:tcPr>
          <w:p>
            <w:pPr>
              <w:ind w:left="180"/>
              <w:spacing w:after="0" w:line="174" w:lineRule="exact"/>
              <w:rPr>
                <w:sz w:val="20"/>
                <w:szCs w:val="20"/>
                <w:color w:val="auto"/>
              </w:rPr>
            </w:pPr>
            <w:r>
              <w:rPr>
                <w:rFonts w:ascii="Times New Roman" w:cs="Times New Roman" w:eastAsia="Times New Roman" w:hAnsi="Times New Roman"/>
                <w:sz w:val="18"/>
                <w:szCs w:val="18"/>
                <w:color w:val="auto"/>
              </w:rPr>
              <w:t>Net gains (losses) on securities available</w:t>
            </w: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sale</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non-interest income</w:t>
            </w: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50,898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75,232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80,478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47,429</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127,119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128,341</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131,023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122,413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111,733</w:t>
            </w:r>
          </w:p>
        </w:tc>
        <w:tc>
          <w:tcPr>
            <w:tcW w:w="0" w:type="dxa"/>
            <w:vAlign w:val="bottom"/>
          </w:tcPr>
          <w:p>
            <w:pPr>
              <w:spacing w:after="0"/>
              <w:rPr>
                <w:sz w:val="1"/>
                <w:szCs w:val="1"/>
                <w:color w:val="auto"/>
              </w:rPr>
            </w:pPr>
          </w:p>
        </w:tc>
      </w:tr>
      <w:tr>
        <w:trPr>
          <w:trHeight w:val="220"/>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income tax</w:t>
            </w: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73,676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77,313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69,481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57,760</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14,609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14,418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13,329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11,325</w:t>
            </w:r>
          </w:p>
        </w:tc>
        <w:tc>
          <w:tcPr>
            <w:tcW w:w="0" w:type="dxa"/>
            <w:vAlign w:val="bottom"/>
          </w:tcPr>
          <w:p>
            <w:pPr>
              <w:spacing w:after="0"/>
              <w:rPr>
                <w:sz w:val="1"/>
                <w:szCs w:val="1"/>
                <w:color w:val="auto"/>
              </w:rPr>
            </w:pPr>
          </w:p>
        </w:tc>
      </w:tr>
      <w:tr>
        <w:trPr>
          <w:trHeight w:val="220"/>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59,067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63,351</w:t>
            </w: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62,895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56,152</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46,435</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COMMON SHARE DATA</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600" w:type="dxa"/>
            <w:vAlign w:val="bottom"/>
            <w:gridSpan w:val="3"/>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 declared and paid</w:t>
            </w: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0.92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Book value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67"/>
        </w:trPr>
        <w:tc>
          <w:tcPr>
            <w:tcW w:w="3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SELECTED BALANCES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5,263,726</w:t>
            </w:r>
          </w:p>
        </w:tc>
        <w:tc>
          <w:tcPr>
            <w:tcW w:w="8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4,999,787</w:t>
            </w:r>
          </w:p>
        </w:tc>
        <w:tc>
          <w:tcPr>
            <w:tcW w:w="600" w:type="dxa"/>
            <w:vAlign w:val="bottom"/>
            <w:gridSpan w:val="3"/>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4,704,740</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4,204,013</w:t>
            </w:r>
          </w:p>
        </w:tc>
        <w:tc>
          <w:tcPr>
            <w:tcW w:w="8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3,564,694</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3,790,901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3,465,352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2,905,045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2,733,678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2,725,023</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line="226" w:lineRule="exact"/>
              <w:rPr>
                <w:sz w:val="20"/>
                <w:szCs w:val="20"/>
                <w:color w:val="auto"/>
              </w:rPr>
            </w:pPr>
            <w:r>
              <w:rPr>
                <w:rFonts w:ascii="Times New Roman" w:cs="Times New Roman" w:eastAsia="Times New Roman" w:hAnsi="Times New Roman"/>
                <w:sz w:val="18"/>
                <w:szCs w:val="18"/>
                <w:color w:val="auto"/>
              </w:rPr>
              <w:t>Allowance for credit losses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54,658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47,252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35,429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26,148</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4,622,879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4,379,069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4,117,090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3,637,355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3,036,727</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404,449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398,484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389,522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350,169</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borrowings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50,026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30,009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30,012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88,646</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Subordinated debt</w:t>
            </w: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39,510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39,357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39,281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Subordinated debentures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39,728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39,592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39,524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39,456</w:t>
            </w:r>
          </w:p>
        </w:tc>
        <w:tc>
          <w:tcPr>
            <w:tcW w:w="0" w:type="dxa"/>
            <w:vAlign w:val="bottom"/>
          </w:tcPr>
          <w:p>
            <w:pPr>
              <w:spacing w:after="0"/>
              <w:rPr>
                <w:sz w:val="1"/>
                <w:szCs w:val="1"/>
                <w:color w:val="auto"/>
              </w:rPr>
            </w:pPr>
          </w:p>
        </w:tc>
      </w:tr>
      <w:tr>
        <w:trPr>
          <w:trHeight w:val="267"/>
        </w:trPr>
        <w:tc>
          <w:tcPr>
            <w:tcW w:w="3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SELECTED RATIOS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20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color w:val="auto"/>
              </w:rPr>
              <w:t>Net interest income to average interest</w:t>
            </w: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earning assets</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to</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Average shareholders' equity</w:t>
            </w: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assets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73"/>
        </w:trPr>
        <w:tc>
          <w:tcPr>
            <w:tcW w:w="320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color w:val="auto"/>
              </w:rPr>
              <w:t>Average shareholders’ equity to average</w:t>
            </w: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Pr>
          <w:p>
            <w:pPr>
              <w:spacing w:after="0"/>
              <w:rPr>
                <w:sz w:val="20"/>
                <w:szCs w:val="20"/>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9.10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9.15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32"/>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Non-performing loans to Portfolio Loans</w:t>
            </w:r>
          </w:p>
        </w:tc>
        <w:tc>
          <w:tcPr>
            <w:tcW w:w="260" w:type="dxa"/>
            <w:vAlign w:val="bottom"/>
          </w:tcPr>
          <w:p>
            <w:pPr>
              <w:spacing w:after="0"/>
              <w:rPr>
                <w:sz w:val="20"/>
                <w:szCs w:val="20"/>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5" w:lineRule="exact"/>
        <w:rPr>
          <w:sz w:val="20"/>
          <w:szCs w:val="20"/>
          <w:color w:val="auto"/>
        </w:rPr>
      </w:pPr>
    </w:p>
    <w:p>
      <w:pPr>
        <w:ind w:left="320" w:right="20" w:hanging="313"/>
        <w:spacing w:after="0" w:line="255" w:lineRule="auto"/>
        <w:tabs>
          <w:tab w:leader="none" w:pos="31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January 1, 2021, calculation is based on CECL methodology. Prior to January 1, 2021, calculation was based on the probable incurred loss methodology.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9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Disclaimer Regarding Forward-Looking Statements. </w:t>
      </w:r>
      <w:r>
        <w:rPr>
          <w:rFonts w:ascii="Times New Roman" w:cs="Times New Roman" w:eastAsia="Times New Roman" w:hAnsi="Times New Roman"/>
          <w:sz w:val="18"/>
          <w:szCs w:val="18"/>
          <w:color w:val="auto"/>
        </w:rPr>
        <w:t>Statements in this report that are not statements of historical fact, including statements that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89" w:lineRule="exact"/>
        <w:rPr>
          <w:sz w:val="20"/>
          <w:szCs w:val="20"/>
          <w:color w:val="auto"/>
        </w:rPr>
      </w:pPr>
    </w:p>
    <w:p>
      <w:pPr>
        <w:ind w:left="800" w:hanging="473"/>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market, operational, liquidity, credit, and interest rate risks associated with our business;</w:t>
      </w:r>
    </w:p>
    <w:p>
      <w:pPr>
        <w:spacing w:after="0" w:line="219" w:lineRule="exact"/>
        <w:rPr>
          <w:rFonts w:ascii="Times New Roman" w:cs="Times New Roman" w:eastAsia="Times New Roman" w:hAnsi="Times New Roman"/>
          <w:sz w:val="18"/>
          <w:szCs w:val="18"/>
          <w:color w:val="auto"/>
        </w:rPr>
      </w:pPr>
    </w:p>
    <w:p>
      <w:pPr>
        <w:ind w:left="800" w:hanging="473"/>
        <w:spacing w:after="0" w:line="277" w:lineRule="auto"/>
        <w:tabs>
          <w:tab w:leader="none" w:pos="7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generally and in the financial services industry, particularly economic conditions within Michigan and the regional and local real estate markets in which our bank operates;</w:t>
      </w:r>
    </w:p>
    <w:p>
      <w:pPr>
        <w:spacing w:after="0" w:line="162"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assumptions underlying the establishment of, and provisions made to, our allowance for credit losses;</w:t>
      </w:r>
    </w:p>
    <w:p>
      <w:pPr>
        <w:spacing w:after="0" w:line="219"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the financial services industry, either nationally or regionally;</w:t>
      </w:r>
    </w:p>
    <w:p>
      <w:pPr>
        <w:spacing w:after="0" w:line="219"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loan and deposit growth;</w:t>
      </w:r>
    </w:p>
    <w:p>
      <w:pPr>
        <w:spacing w:after="0" w:line="219"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direction of market interest rates;</w:t>
      </w:r>
    </w:p>
    <w:p>
      <w:pPr>
        <w:spacing w:after="0" w:line="219"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services of our management team; and</w:t>
      </w:r>
    </w:p>
    <w:p>
      <w:pPr>
        <w:spacing w:after="0" w:line="219" w:lineRule="exact"/>
        <w:rPr>
          <w:rFonts w:ascii="Times New Roman" w:cs="Times New Roman" w:eastAsia="Times New Roman" w:hAnsi="Times New Roman"/>
          <w:sz w:val="18"/>
          <w:szCs w:val="18"/>
          <w:color w:val="auto"/>
        </w:rPr>
      </w:pPr>
    </w:p>
    <w:p>
      <w:pPr>
        <w:ind w:left="800" w:hanging="473"/>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new legislation, which may have significant effects on us and the financial services industry.</w:t>
      </w:r>
    </w:p>
    <w:p>
      <w:pPr>
        <w:spacing w:after="0" w:line="220"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2023, as updated by any new or modified risk factors disclosed in Part II – Item 1A of any subsequently filed Quarterly Report on Form 10-Q, include the primary risks our management believes could materially affect the results described by forward-looking statements in this report. However, those risks are not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185"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Introduction. </w:t>
      </w:r>
      <w:r>
        <w:rPr>
          <w:rFonts w:ascii="Times New Roman" w:cs="Times New Roman" w:eastAsia="Times New Roman" w:hAnsi="Times New Roman"/>
          <w:sz w:val="18"/>
          <w:szCs w:val="18"/>
          <w:color w:val="auto"/>
        </w:rPr>
        <w:t>The following section presents additional information to assess the financial condition and results of operations of Independent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(“IBCP”), its wholly-owned bank, Independent Bank (the “Bank”), and their subsidiaries. This section should be read in conjunction with the consolidated financial statements and the supplemental financial data contained elsewhere in this annual report. We also encourage you to read our Annual Report on Form 10-K filed with the U.S. Securities and Exchange Commission (“SEC”). That report includes a list of risk factors that you should consider in connection with any decision to buy or sell our securities.</w:t>
      </w:r>
    </w:p>
    <w:p>
      <w:pPr>
        <w:spacing w:after="0" w:line="181"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We provide banking services to customers located primarily in Michigan’s Lower Peninsula and also have one mortgage loan production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in Ohio (Fairlawn). As a result, our success depends to a great extent upon the economic conditions in Michigan’s Lower Peninsula.</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Significant Developments. </w:t>
      </w:r>
      <w:r>
        <w:rPr>
          <w:rFonts w:ascii="Times New Roman" w:cs="Times New Roman" w:eastAsia="Times New Roman" w:hAnsi="Times New Roman"/>
          <w:sz w:val="18"/>
          <w:szCs w:val="18"/>
          <w:color w:val="auto"/>
        </w:rPr>
        <w:t>As explained in more detail under Item 1A – “Risk Factors” – the closures of several banks in 2023 have impacted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services industry. These events have caused banks to reexamine their funding sources and liquidity risks and in some cases have caused deposit holders to reevaluate their banking relationships. As addressed below, we believe these events have caused little to no impact on our deposit base, aside from the mix and pricing of deposits, and that our liquidity and funding and capital resources remain strong. In the wake of these events, initiatives taken with our customer base included discussing how these events unfolded, reinforcing our current capital and liquidity positions and education to maximize FDIC insurance coverage. (See “Deposits and borrowings” and "Liquidity and capital resources").</w:t>
      </w:r>
    </w:p>
    <w:p>
      <w:pPr>
        <w:spacing w:after="0" w:line="187"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Pressures from various global and national macroeconomic conditions, including heightened inflation, uncertainty regarding future interest rates, foreign currency exchange rate fluctuations, recent adverse weather conditions, escalating tensions in the Middle East, the continuation of the Russia-Ukraine war, and potential governmental responses to these events, continue to create significant economic uncertainty.</w:t>
      </w:r>
    </w:p>
    <w:p>
      <w:pPr>
        <w:spacing w:after="0" w:line="189" w:lineRule="exact"/>
        <w:rPr>
          <w:sz w:val="20"/>
          <w:szCs w:val="20"/>
          <w:color w:val="auto"/>
        </w:rPr>
      </w:pPr>
    </w:p>
    <w:p>
      <w:pPr>
        <w:jc w:val="both"/>
        <w:ind w:firstLine="320"/>
        <w:spacing w:after="0" w:line="241" w:lineRule="auto"/>
        <w:rPr>
          <w:sz w:val="20"/>
          <w:szCs w:val="20"/>
          <w:color w:val="auto"/>
        </w:rPr>
      </w:pPr>
      <w:r>
        <w:rPr>
          <w:rFonts w:ascii="Times New Roman" w:cs="Times New Roman" w:eastAsia="Times New Roman" w:hAnsi="Times New Roman"/>
          <w:sz w:val="18"/>
          <w:szCs w:val="18"/>
          <w:color w:val="auto"/>
        </w:rPr>
        <w:t>The extent to which these pressures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intangible assets, securities available for sale ("AFS"), securities held to maturity ("HTM"), loans, capitalized mortgage loan servicing rights or deferred tax assets.</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It is against this backdrop that we discuss our results of operations and financial condition in 2023 as compared to earlier periods.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2"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Summary. </w:t>
      </w:r>
      <w:r>
        <w:rPr>
          <w:rFonts w:ascii="Times New Roman" w:cs="Times New Roman" w:eastAsia="Times New Roman" w:hAnsi="Times New Roman"/>
          <w:sz w:val="18"/>
          <w:szCs w:val="18"/>
          <w:color w:val="auto"/>
        </w:rPr>
        <w:t>We recorded net income of $59.1 million, or $2.79 per diluted share, in 2023, net income of $63.4 million, or $2.97 per diluted share, in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net income of $62.9 million, or $2.88 per diluted share, in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PERFORMANCE RATIOS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6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to</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7"/>
        </w:trPr>
        <w:tc>
          <w:tcPr>
            <w:tcW w:w="63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shareholders' equity</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16.13 %</w:t>
            </w:r>
          </w:p>
        </w:tc>
        <w:tc>
          <w:tcPr>
            <w:tcW w:w="0" w:type="dxa"/>
            <w:vAlign w:val="bottom"/>
          </w:tcPr>
          <w:p>
            <w:pPr>
              <w:spacing w:after="0"/>
              <w:rPr>
                <w:sz w:val="1"/>
                <w:szCs w:val="1"/>
                <w:color w:val="auto"/>
              </w:rPr>
            </w:pPr>
          </w:p>
        </w:tc>
      </w:tr>
      <w:tr>
        <w:trPr>
          <w:trHeight w:val="227"/>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assets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6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27"/>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bl>
    <w:p>
      <w:pPr>
        <w:spacing w:after="0" w:line="27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Net interest income. </w:t>
      </w:r>
      <w:r>
        <w:rPr>
          <w:rFonts w:ascii="Times New Roman" w:cs="Times New Roman" w:eastAsia="Times New Roman" w:hAnsi="Times New Roman"/>
          <w:sz w:val="18"/>
          <w:szCs w:val="18"/>
          <w:color w:val="auto"/>
        </w:rPr>
        <w:t>Net interest income is the most important source of our earnings and thus is critical in evaluating our results of operations.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187"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Net interest income totaled $156.3 million during 2023, compared to $149.6 million and $129.8 million during 2022 and 2021, respectively. The increase in net interest income in 2023 compared to 2022 primarily reflects a $262.0 million increase in average interest-earning assets that was partially offset by a six basis point decrease in our tax equivalent net interest income as a percent of average interest-earning assets (the “net interest margin”).</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increase in net interest income in 2022 compared to 2021 primarily reflects a $307.5 million increase in average interest-earning assets and a 22 basis point increase in our net interest margin.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increase in average interest-earning assets during 2023 primarily reflects growth in commercial, mortgage and installment loans funded primarily by an increase in deposits and a decrease in securities AFS and securities HTM.</w:t>
      </w:r>
    </w:p>
    <w:p>
      <w:pPr>
        <w:spacing w:after="0" w:line="12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six basis point decrease in the net interest margin during 2023 as compared to 2022 primarily reflects 130 basis point increase in interest expense as a percent of average interest-earning assets which was partially offset by a 124 basis point increase in interest income as a percent of average interest-earning assets. These increases are primarily attributed to the 450 basis point increase in the federal funds rate since June of 2022. Our net interest margin has been negatively impacted by changes in funding mix (such as shifting from non-interest bearing deposits to interest-bearing deposits and an increase in time deposits) as well as higher deposit pricing sensitivity to the increases in interest rates discussed above. See Asset/liability management.</w:t>
      </w:r>
    </w:p>
    <w:p>
      <w:pPr>
        <w:spacing w:after="0" w:line="18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2023, 2022 and 2021 interest income on loans includes $0.2 million, $0.3 million and $0.8 million, respectively, of accretion of the discount recorded on loans acquired in connection with our acquisition of Traverse City State Bank (“TCSB”) in 2018.</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Interest and fees on loans include zero, $0.8 million and $8.9 million in 2023, 2022 and 2021, respectively, of accretion of net loan fees on Payroll Protection Program ("PPP") loans. Unaccreted net loan fees on PPP loans remaining were zero at December 31, 2023 and 2022, respectively.</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Our net interest income is also impacted by our level of non-accrual loans. Average non-accrual loans totaled $4.8 million, $4.4 million and $6.2 million in 2023, 2022 and 2021,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AVERAGE BALANCES AND RATES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Average</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Average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Average</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b w:val="1"/>
                <w:bCs w:val="1"/>
                <w:color w:val="auto"/>
              </w:rPr>
              <w:t>Rate</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Rate</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b w:val="1"/>
                <w:bCs w:val="1"/>
                <w:color w:val="auto"/>
              </w:rPr>
              <w:t>Rate</w:t>
            </w: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6"/>
          </w:tcPr>
          <w:p>
            <w:pPr>
              <w:ind w:left="20"/>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ASSETS</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Taxable loans</w:t>
            </w: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3,624,406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197,462</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5.45 %</w:t>
            </w:r>
          </w:p>
        </w:tc>
        <w:tc>
          <w:tcPr>
            <w:tcW w:w="2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3,227,803</w:t>
            </w:r>
          </w:p>
        </w:tc>
        <w:tc>
          <w:tcPr>
            <w:tcW w:w="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138,765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4.30 %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2,881,950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116,358</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4.04 %</w:t>
            </w:r>
          </w:p>
        </w:tc>
        <w:tc>
          <w:tcPr>
            <w:tcW w:w="0" w:type="dxa"/>
            <w:vAlign w:val="bottom"/>
          </w:tcPr>
          <w:p>
            <w:pPr>
              <w:spacing w:after="0"/>
              <w:rPr>
                <w:sz w:val="1"/>
                <w:szCs w:val="1"/>
                <w:color w:val="auto"/>
              </w:rPr>
            </w:pPr>
          </w:p>
        </w:tc>
      </w:tr>
      <w:tr>
        <w:trPr>
          <w:trHeight w:val="173"/>
        </w:trPr>
        <w:tc>
          <w:tcPr>
            <w:tcW w:w="2360" w:type="dxa"/>
            <w:vAlign w:val="bottom"/>
          </w:tcPr>
          <w:p>
            <w:pPr>
              <w:ind w:left="180"/>
              <w:spacing w:after="0" w:line="174" w:lineRule="exact"/>
              <w:rPr>
                <w:sz w:val="20"/>
                <w:szCs w:val="20"/>
                <w:color w:val="auto"/>
              </w:rPr>
            </w:pPr>
            <w:r>
              <w:rPr>
                <w:rFonts w:ascii="Times New Roman" w:cs="Times New Roman" w:eastAsia="Times New Roman" w:hAnsi="Times New Roman"/>
                <w:sz w:val="12"/>
                <w:szCs w:val="12"/>
                <w:color w:val="auto"/>
              </w:rPr>
              <w:t>Tax-exempt loans</w:t>
            </w:r>
            <w:r>
              <w:rPr>
                <w:rFonts w:ascii="Times New Roman" w:cs="Times New Roman" w:eastAsia="Times New Roman" w:hAnsi="Times New Roman"/>
                <w:sz w:val="16"/>
                <w:szCs w:val="16"/>
                <w:color w:val="auto"/>
                <w:vertAlign w:val="superscript"/>
              </w:rPr>
              <w:t>(1)</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6,855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w:t>
            </w:r>
          </w:p>
        </w:tc>
        <w:tc>
          <w:tcPr>
            <w:tcW w:w="100" w:type="dxa"/>
            <w:vAlign w:val="bottom"/>
          </w:tcPr>
          <w:p>
            <w:pPr>
              <w:spacing w:after="0"/>
              <w:rPr>
                <w:sz w:val="15"/>
                <w:szCs w:val="15"/>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4.86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7,771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4.76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7,240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w:t>
            </w:r>
          </w:p>
        </w:tc>
        <w:tc>
          <w:tcPr>
            <w:tcW w:w="100" w:type="dxa"/>
            <w:vAlign w:val="bottom"/>
          </w:tcPr>
          <w:p>
            <w:pPr>
              <w:spacing w:after="0"/>
              <w:rPr>
                <w:sz w:val="15"/>
                <w:szCs w:val="15"/>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5.00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Taxable securities</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771,121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23,314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3.02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945,665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20,676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2.19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915,701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14,488</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1.58</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60" w:type="dxa"/>
            <w:vAlign w:val="bottom"/>
          </w:tcPr>
          <w:p>
            <w:pPr>
              <w:ind w:left="180"/>
              <w:spacing w:after="0" w:line="174" w:lineRule="exact"/>
              <w:rPr>
                <w:sz w:val="20"/>
                <w:szCs w:val="20"/>
                <w:color w:val="auto"/>
              </w:rPr>
            </w:pPr>
            <w:r>
              <w:rPr>
                <w:rFonts w:ascii="Times New Roman" w:cs="Times New Roman" w:eastAsia="Times New Roman" w:hAnsi="Times New Roman"/>
                <w:sz w:val="12"/>
                <w:szCs w:val="12"/>
                <w:color w:val="auto"/>
              </w:rPr>
              <w:t>Tax-exempt securities</w:t>
            </w:r>
            <w:r>
              <w:rPr>
                <w:rFonts w:ascii="Times New Roman" w:cs="Times New Roman" w:eastAsia="Times New Roman" w:hAnsi="Times New Roman"/>
                <w:sz w:val="16"/>
                <w:szCs w:val="16"/>
                <w:color w:val="auto"/>
                <w:vertAlign w:val="superscript"/>
              </w:rPr>
              <w:t>(1)</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317,553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14,039</w:t>
            </w:r>
          </w:p>
        </w:tc>
        <w:tc>
          <w:tcPr>
            <w:tcW w:w="100" w:type="dxa"/>
            <w:vAlign w:val="bottom"/>
          </w:tcPr>
          <w:p>
            <w:pPr>
              <w:spacing w:after="0"/>
              <w:rPr>
                <w:sz w:val="15"/>
                <w:szCs w:val="15"/>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4.42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331,322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10,191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3.08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348,346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7,892</w:t>
            </w:r>
          </w:p>
        </w:tc>
        <w:tc>
          <w:tcPr>
            <w:tcW w:w="100" w:type="dxa"/>
            <w:vAlign w:val="bottom"/>
          </w:tcPr>
          <w:p>
            <w:pPr>
              <w:spacing w:after="0"/>
              <w:rPr>
                <w:sz w:val="15"/>
                <w:szCs w:val="15"/>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2.27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Interest bearing cash</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4,416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5.28</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28,773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0.49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79,915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0.14</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Other investments</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17,557</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1,013</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2"/>
                <w:szCs w:val="12"/>
                <w:color w:val="auto"/>
              </w:rPr>
              <w:t>5.77</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17,768</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color w:val="auto"/>
              </w:rPr>
              <w:t>4.18</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18,427</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734</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2"/>
                <w:szCs w:val="12"/>
                <w:color w:val="auto"/>
              </w:rPr>
              <w:t>3.98</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Interest earning assets</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4,821,079</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240,577</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4.99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4,559,102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170,886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3.75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4,251,579</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139,946</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3.30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Cash and due from banks</w:t>
            </w: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58,473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59,507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56,474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Other assets, net</w:t>
            </w: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236,072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207,114</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157,524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36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Total assets</w:t>
            </w:r>
          </w:p>
        </w:tc>
        <w:tc>
          <w:tcPr>
            <w:tcW w:w="1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5,115,624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4,825,723</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4,465,577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LIABILITIES</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Savings and interest-bearing checking</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2,564,097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44,728</w:t>
            </w:r>
          </w:p>
        </w:tc>
        <w:tc>
          <w:tcPr>
            <w:tcW w:w="100" w:type="dxa"/>
            <w:vAlign w:val="bottom"/>
          </w:tcPr>
          <w:p>
            <w:pPr>
              <w:spacing w:after="0"/>
              <w:rPr>
                <w:sz w:val="16"/>
                <w:szCs w:val="16"/>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1.74</w:t>
            </w:r>
          </w:p>
        </w:tc>
        <w:tc>
          <w:tcPr>
            <w:tcW w:w="160" w:type="dxa"/>
            <w:vAlign w:val="bottom"/>
          </w:tcPr>
          <w:p>
            <w:pPr>
              <w:spacing w:after="0"/>
              <w:rPr>
                <w:sz w:val="16"/>
                <w:szCs w:val="16"/>
                <w:color w:val="auto"/>
              </w:rPr>
            </w:pPr>
          </w:p>
        </w:tc>
        <w:tc>
          <w:tcPr>
            <w:tcW w:w="240" w:type="dxa"/>
            <w:vAlign w:val="bottom"/>
            <w:gridSpan w:val="2"/>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2,526,296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0.41</w:t>
            </w:r>
          </w:p>
        </w:tc>
        <w:tc>
          <w:tcPr>
            <w:tcW w:w="14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2,282,607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2,693</w:t>
            </w:r>
          </w:p>
        </w:tc>
        <w:tc>
          <w:tcPr>
            <w:tcW w:w="100" w:type="dxa"/>
            <w:vAlign w:val="bottom"/>
          </w:tcPr>
          <w:p>
            <w:pPr>
              <w:spacing w:after="0"/>
              <w:rPr>
                <w:sz w:val="16"/>
                <w:szCs w:val="16"/>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0.12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Time deposits</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785,684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30,347</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3.86</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399,987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0.97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326,081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1,772</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0.54</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Other borrowings</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128,945</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8,273</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2"/>
                <w:szCs w:val="12"/>
                <w:color w:val="auto"/>
              </w:rPr>
              <w:t>6.42</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121,871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5,296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color w:val="auto"/>
              </w:rPr>
              <w:t>4.35</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108,884</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3,850</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2"/>
                <w:szCs w:val="12"/>
                <w:color w:val="auto"/>
              </w:rPr>
              <w:t>3.54</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Interest bearing liabilities</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3,478,726</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83,348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2.40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3,048,154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19,447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0.64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2,717,572</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8,315</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0.31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Non-interest bearing deposits</w:t>
            </w: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1,164,816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1,338,736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1,288,276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Other liabilities</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103,721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94,638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69,694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Shareholders’ equity</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368,361</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344,195</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390,035</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Total liabilities and shareholders’ equity</w:t>
            </w: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5,115,624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4,825,723</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4,465,577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2"/>
                <w:szCs w:val="12"/>
                <w:color w:val="auto"/>
              </w:rPr>
              <w:t>Net interest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157,229</w:t>
            </w: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151,439</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131,631</w:t>
            </w: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360" w:type="dxa"/>
            <w:vAlign w:val="bottom"/>
            <w:shd w:val="clear" w:color="auto" w:fill="CCEEFF"/>
          </w:tcPr>
          <w:p>
            <w:pPr>
              <w:ind w:left="340"/>
              <w:spacing w:after="0" w:line="136" w:lineRule="exact"/>
              <w:rPr>
                <w:sz w:val="20"/>
                <w:szCs w:val="20"/>
                <w:color w:val="auto"/>
              </w:rPr>
            </w:pPr>
            <w:r>
              <w:rPr>
                <w:rFonts w:ascii="Times New Roman" w:cs="Times New Roman" w:eastAsia="Times New Roman" w:hAnsi="Times New Roman"/>
                <w:sz w:val="12"/>
                <w:szCs w:val="12"/>
                <w:color w:val="auto"/>
              </w:rPr>
              <w:t>Net interest income as a percent of</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3.26</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3.32</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3.10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72"/>
        </w:trPr>
        <w:tc>
          <w:tcPr>
            <w:tcW w:w="2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average interest earning assets</w:t>
            </w:r>
          </w:p>
        </w:tc>
        <w:tc>
          <w:tcPr>
            <w:tcW w:w="1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9" w:lineRule="exact"/>
        <w:rPr>
          <w:sz w:val="20"/>
          <w:szCs w:val="20"/>
          <w:color w:val="auto"/>
        </w:rPr>
      </w:pPr>
    </w:p>
    <w:p>
      <w:pPr>
        <w:ind w:left="5540" w:right="2120" w:hanging="5533"/>
        <w:spacing w:after="0" w:line="935" w:lineRule="auto"/>
        <w:tabs>
          <w:tab w:leader="none" w:pos="32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tax-exempt loans and securities is presented on a fully tax equivalent basis assuming a marginal tax rate of 21%.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-325120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INTEREST MARGIN, FULLY TAXABLE EQUIVALENT ("FTE")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66"/>
        </w:trPr>
        <w:tc>
          <w:tcPr>
            <w:tcW w:w="6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20" w:type="dxa"/>
            <w:vAlign w:val="bottom"/>
            <w:tcBorders>
              <w:bottom w:val="single" w:sz="8" w:color="auto"/>
            </w:tcBorders>
          </w:tcPr>
          <w:p>
            <w:pPr>
              <w:spacing w:after="0"/>
              <w:rPr>
                <w:sz w:val="24"/>
                <w:szCs w:val="24"/>
                <w:color w:val="auto"/>
              </w:rPr>
            </w:pPr>
          </w:p>
        </w:tc>
      </w:tr>
      <w:tr>
        <w:trPr>
          <w:trHeight w:val="220"/>
        </w:trPr>
        <w:tc>
          <w:tcPr>
            <w:tcW w:w="6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0"/>
        </w:trPr>
        <w:tc>
          <w:tcPr>
            <w:tcW w:w="6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156,329</w:t>
            </w:r>
          </w:p>
        </w:tc>
        <w:tc>
          <w:tcPr>
            <w:tcW w:w="620" w:type="dxa"/>
            <w:vAlign w:val="bottom"/>
            <w:gridSpan w:val="3"/>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149,561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129,765</w:t>
            </w:r>
          </w:p>
        </w:tc>
      </w:tr>
      <w:tr>
        <w:trPr>
          <w:trHeight w:val="227"/>
        </w:trPr>
        <w:tc>
          <w:tcPr>
            <w:tcW w:w="6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Add: taxable equivalent adjustment</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1,866</w:t>
            </w:r>
          </w:p>
        </w:tc>
      </w:tr>
      <w:tr>
        <w:trPr>
          <w:trHeight w:val="245"/>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 - taxable equivalent</w:t>
            </w: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157,229</w:t>
            </w:r>
          </w:p>
        </w:tc>
        <w:tc>
          <w:tcPr>
            <w:tcW w:w="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151,439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131,631</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margin (GAAP)</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center"/>
              <w:ind w:left="491"/>
              <w:spacing w:after="0"/>
              <w:rPr>
                <w:sz w:val="20"/>
                <w:szCs w:val="20"/>
                <w:color w:val="auto"/>
              </w:rPr>
            </w:pPr>
            <w:r>
              <w:rPr>
                <w:rFonts w:ascii="Times New Roman" w:cs="Times New Roman" w:eastAsia="Times New Roman" w:hAnsi="Times New Roman"/>
                <w:sz w:val="18"/>
                <w:szCs w:val="18"/>
                <w:color w:val="auto"/>
              </w:rPr>
              <w:t>3.24 %</w:t>
            </w:r>
          </w:p>
        </w:tc>
        <w:tc>
          <w:tcPr>
            <w:tcW w:w="1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margin (FTE)</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gridSpan w:val="3"/>
            <w:shd w:val="clear" w:color="auto" w:fill="CCEEFF"/>
          </w:tcPr>
          <w:p>
            <w:pPr>
              <w:jc w:val="center"/>
              <w:ind w:left="491"/>
              <w:spacing w:after="0"/>
              <w:rPr>
                <w:sz w:val="20"/>
                <w:szCs w:val="20"/>
                <w:color w:val="auto"/>
              </w:rPr>
            </w:pPr>
            <w:r>
              <w:rPr>
                <w:rFonts w:ascii="Times New Roman" w:cs="Times New Roman" w:eastAsia="Times New Roman" w:hAnsi="Times New Roman"/>
                <w:sz w:val="18"/>
                <w:szCs w:val="18"/>
                <w:color w:val="auto"/>
              </w:rPr>
              <w:t>3.26 %</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CHANGE IN NET INTEREST INCOME</w:t>
            </w: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9"/>
              </w:rPr>
              <w:t>2023 compared to 2022</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8"/>
          </w:tcPr>
          <w:p>
            <w:pPr>
              <w:jc w:val="center"/>
              <w:ind w:left="391"/>
              <w:spacing w:after="0"/>
              <w:rPr>
                <w:sz w:val="20"/>
                <w:szCs w:val="20"/>
                <w:color w:val="auto"/>
              </w:rPr>
            </w:pPr>
            <w:r>
              <w:rPr>
                <w:rFonts w:ascii="Times New Roman" w:cs="Times New Roman" w:eastAsia="Times New Roman" w:hAnsi="Times New Roman"/>
                <w:sz w:val="18"/>
                <w:szCs w:val="18"/>
                <w:b w:val="1"/>
                <w:bCs w:val="1"/>
                <w:color w:val="auto"/>
                <w:w w:val="98"/>
              </w:rPr>
              <w:t>2022 compared to 2021</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0"/>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Increase (decrease) in interest income</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Taxable loans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22,407</w:t>
            </w:r>
          </w:p>
        </w:tc>
        <w:tc>
          <w:tcPr>
            <w:tcW w:w="0" w:type="dxa"/>
            <w:vAlign w:val="bottom"/>
          </w:tcPr>
          <w:p>
            <w:pPr>
              <w:spacing w:after="0"/>
              <w:rPr>
                <w:sz w:val="1"/>
                <w:szCs w:val="1"/>
                <w:color w:val="auto"/>
              </w:rPr>
            </w:pPr>
          </w:p>
        </w:tc>
      </w:tr>
      <w:tr>
        <w:trPr>
          <w:trHeight w:val="227"/>
        </w:trPr>
        <w:tc>
          <w:tcPr>
            <w:tcW w:w="3960" w:type="dxa"/>
            <w:vAlign w:val="bottom"/>
          </w:tcPr>
          <w:p>
            <w:pPr>
              <w:ind w:left="180"/>
              <w:spacing w:after="0" w:line="226" w:lineRule="exact"/>
              <w:rPr>
                <w:sz w:val="20"/>
                <w:szCs w:val="20"/>
                <w:color w:val="auto"/>
              </w:rPr>
            </w:pPr>
            <w:r>
              <w:rPr>
                <w:rFonts w:ascii="Times New Roman" w:cs="Times New Roman" w:eastAsia="Times New Roman" w:hAnsi="Times New Roman"/>
                <w:sz w:val="18"/>
                <w:szCs w:val="18"/>
                <w:color w:val="auto"/>
              </w:rPr>
              <w:t>Tax-exempt loans</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7"/>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Taxable securities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0" w:type="dxa"/>
            <w:vAlign w:val="bottom"/>
          </w:tcPr>
          <w:p>
            <w:pPr>
              <w:spacing w:after="0"/>
              <w:rPr>
                <w:sz w:val="1"/>
                <w:szCs w:val="1"/>
                <w:color w:val="auto"/>
              </w:rPr>
            </w:pPr>
          </w:p>
        </w:tc>
      </w:tr>
      <w:tr>
        <w:trPr>
          <w:trHeight w:val="227"/>
        </w:trPr>
        <w:tc>
          <w:tcPr>
            <w:tcW w:w="3960" w:type="dxa"/>
            <w:vAlign w:val="bottom"/>
          </w:tcPr>
          <w:p>
            <w:pPr>
              <w:ind w:left="180"/>
              <w:spacing w:after="0" w:line="226" w:lineRule="exact"/>
              <w:rPr>
                <w:sz w:val="20"/>
                <w:szCs w:val="20"/>
                <w:color w:val="auto"/>
              </w:rPr>
            </w:pPr>
            <w:r>
              <w:rPr>
                <w:rFonts w:ascii="Times New Roman" w:cs="Times New Roman" w:eastAsia="Times New Roman" w:hAnsi="Times New Roman"/>
                <w:sz w:val="18"/>
                <w:szCs w:val="18"/>
                <w:color w:val="auto"/>
              </w:rPr>
              <w:t>Tax-exempt securities</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0" w:type="dxa"/>
            <w:vAlign w:val="bottom"/>
          </w:tcPr>
          <w:p>
            <w:pPr>
              <w:spacing w:after="0"/>
              <w:rPr>
                <w:sz w:val="1"/>
                <w:szCs w:val="1"/>
                <w:color w:val="auto"/>
              </w:rPr>
            </w:pPr>
          </w:p>
        </w:tc>
      </w:tr>
      <w:tr>
        <w:trPr>
          <w:trHeight w:val="227"/>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bearing cash</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7"/>
        </w:trPr>
        <w:tc>
          <w:tcPr>
            <w:tcW w:w="3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0"/>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 income</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55,288</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16,414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30,940</w:t>
            </w:r>
          </w:p>
        </w:tc>
        <w:tc>
          <w:tcPr>
            <w:tcW w:w="0" w:type="dxa"/>
            <w:vAlign w:val="bottom"/>
          </w:tcPr>
          <w:p>
            <w:pPr>
              <w:spacing w:after="0"/>
              <w:rPr>
                <w:sz w:val="1"/>
                <w:szCs w:val="1"/>
                <w:color w:val="auto"/>
              </w:rPr>
            </w:pPr>
          </w:p>
        </w:tc>
      </w:tr>
      <w:tr>
        <w:trPr>
          <w:trHeight w:val="207"/>
        </w:trPr>
        <w:tc>
          <w:tcPr>
            <w:tcW w:w="396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Increase (decrease) in interest expense</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Savings and interest bearing checking</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0" w:type="dxa"/>
            <w:vAlign w:val="bottom"/>
          </w:tcPr>
          <w:p>
            <w:pPr>
              <w:spacing w:after="0"/>
              <w:rPr>
                <w:sz w:val="1"/>
                <w:szCs w:val="1"/>
                <w:color w:val="auto"/>
              </w:rPr>
            </w:pPr>
          </w:p>
        </w:tc>
      </w:tr>
      <w:tr>
        <w:trPr>
          <w:trHeight w:val="227"/>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1,628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0" w:type="dxa"/>
            <w:vAlign w:val="bottom"/>
          </w:tcPr>
          <w:p>
            <w:pPr>
              <w:spacing w:after="0"/>
              <w:rPr>
                <w:sz w:val="1"/>
                <w:szCs w:val="1"/>
                <w:color w:val="auto"/>
              </w:rPr>
            </w:pPr>
          </w:p>
        </w:tc>
      </w:tr>
      <w:tr>
        <w:trPr>
          <w:trHeight w:val="227"/>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borrowings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20"/>
        </w:trPr>
        <w:tc>
          <w:tcPr>
            <w:tcW w:w="3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interest expense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56,964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9,847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11,132</w:t>
            </w:r>
          </w:p>
        </w:tc>
        <w:tc>
          <w:tcPr>
            <w:tcW w:w="0" w:type="dxa"/>
            <w:vAlign w:val="bottom"/>
          </w:tcPr>
          <w:p>
            <w:pPr>
              <w:spacing w:after="0"/>
              <w:rPr>
                <w:sz w:val="1"/>
                <w:szCs w:val="1"/>
                <w:color w:val="auto"/>
              </w:rPr>
            </w:pPr>
          </w:p>
        </w:tc>
      </w:tr>
      <w:tr>
        <w:trPr>
          <w:trHeight w:val="245"/>
        </w:trPr>
        <w:tc>
          <w:tcPr>
            <w:tcW w:w="3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interest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(1,676)</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6,567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19,808</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9" w:lineRule="exact"/>
        <w:rPr>
          <w:sz w:val="20"/>
          <w:szCs w:val="20"/>
          <w:color w:val="auto"/>
        </w:rPr>
      </w:pPr>
    </w:p>
    <w:p>
      <w:pPr>
        <w:ind w:left="320" w:hanging="313"/>
        <w:spacing w:after="0" w:line="255" w:lineRule="auto"/>
        <w:tabs>
          <w:tab w:leader="none" w:pos="3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interest due to changes in both balance and rate has been allocated to change due to balance and change due to rate in proportion to the relationship of the absolute dollar amounts of change in each.</w:t>
      </w:r>
    </w:p>
    <w:p>
      <w:pPr>
        <w:spacing w:after="0" w:line="181"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tax-exempt loans and securities is presented on a fully tax equivalent basis assuming a marginal tax rate of 21%.</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AVERAGE INTEREST EARNING ASSETS AND INTEREST BEARING LIABILITIES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20" w:type="dxa"/>
            <w:vAlign w:val="bottom"/>
          </w:tcPr>
          <w:p>
            <w:pPr>
              <w:spacing w:after="0"/>
              <w:rPr>
                <w:sz w:val="20"/>
                <w:szCs w:val="20"/>
                <w:color w:val="auto"/>
              </w:rPr>
            </w:pPr>
          </w:p>
        </w:tc>
        <w:tc>
          <w:tcPr>
            <w:tcW w:w="3700" w:type="dxa"/>
            <w:vAlign w:val="bottom"/>
            <w:tcBorders>
              <w:bottom w:val="single" w:sz="8" w:color="auto"/>
            </w:tcBorders>
            <w:gridSpan w:val="5"/>
          </w:tcPr>
          <w:p>
            <w:pPr>
              <w:ind w:left="14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 a percent of average interest earning assets</w:t>
            </w:r>
          </w:p>
        </w:tc>
        <w:tc>
          <w:tcPr>
            <w:tcW w:w="15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15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7"/>
        </w:trPr>
        <w:tc>
          <w:tcPr>
            <w:tcW w:w="632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68.0 %</w:t>
            </w:r>
          </w:p>
        </w:tc>
        <w:tc>
          <w:tcPr>
            <w:tcW w:w="0" w:type="dxa"/>
            <w:vAlign w:val="bottom"/>
          </w:tcPr>
          <w:p>
            <w:pPr>
              <w:spacing w:after="0"/>
              <w:rPr>
                <w:sz w:val="1"/>
                <w:szCs w:val="1"/>
                <w:color w:val="auto"/>
              </w:rPr>
            </w:pPr>
          </w:p>
        </w:tc>
      </w:tr>
      <w:tr>
        <w:trPr>
          <w:trHeight w:val="227"/>
        </w:trPr>
        <w:tc>
          <w:tcPr>
            <w:tcW w:w="6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interest earning assets</w:t>
            </w:r>
          </w:p>
        </w:tc>
        <w:tc>
          <w:tcPr>
            <w:tcW w:w="1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45"/>
        </w:trPr>
        <w:tc>
          <w:tcPr>
            <w:tcW w:w="6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interest earning assets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Savings and interest-bearing checking</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320" w:type="dxa"/>
            <w:vAlign w:val="bottom"/>
            <w:vMerge w:val="continue"/>
          </w:tcPr>
          <w:p>
            <w:pPr>
              <w:spacing w:after="0"/>
              <w:rPr>
                <w:sz w:val="17"/>
                <w:szCs w:val="17"/>
                <w:color w:val="auto"/>
              </w:rPr>
            </w:pPr>
          </w:p>
        </w:tc>
        <w:tc>
          <w:tcPr>
            <w:tcW w:w="15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53.2 %</w:t>
            </w:r>
          </w:p>
        </w:tc>
        <w:tc>
          <w:tcPr>
            <w:tcW w:w="80" w:type="dxa"/>
            <w:vAlign w:val="bottom"/>
          </w:tcPr>
          <w:p>
            <w:pPr>
              <w:spacing w:after="0"/>
              <w:rPr>
                <w:sz w:val="17"/>
                <w:szCs w:val="17"/>
                <w:color w:val="auto"/>
              </w:rPr>
            </w:pPr>
          </w:p>
        </w:tc>
        <w:tc>
          <w:tcPr>
            <w:tcW w:w="15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55.4 %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53.7 %</w:t>
            </w:r>
          </w:p>
        </w:tc>
        <w:tc>
          <w:tcPr>
            <w:tcW w:w="0" w:type="dxa"/>
            <w:vAlign w:val="bottom"/>
          </w:tcPr>
          <w:p>
            <w:pPr>
              <w:spacing w:after="0"/>
              <w:rPr>
                <w:sz w:val="1"/>
                <w:szCs w:val="1"/>
                <w:color w:val="auto"/>
              </w:rPr>
            </w:pPr>
          </w:p>
        </w:tc>
      </w:tr>
      <w:tr>
        <w:trPr>
          <w:trHeight w:val="227"/>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7"/>
        </w:trPr>
        <w:tc>
          <w:tcPr>
            <w:tcW w:w="6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borrowings</w:t>
            </w:r>
          </w:p>
        </w:tc>
        <w:tc>
          <w:tcPr>
            <w:tcW w:w="1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5"/>
        </w:trPr>
        <w:tc>
          <w:tcPr>
            <w:tcW w:w="6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interest bearing liabilities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72.2 %</w:t>
            </w:r>
          </w:p>
        </w:tc>
        <w:tc>
          <w:tcPr>
            <w:tcW w:w="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 asset ratio</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320" w:type="dxa"/>
            <w:vAlign w:val="bottom"/>
            <w:vMerge w:val="continue"/>
          </w:tcPr>
          <w:p>
            <w:pPr>
              <w:spacing w:after="0"/>
              <w:rPr>
                <w:sz w:val="17"/>
                <w:szCs w:val="17"/>
                <w:color w:val="auto"/>
              </w:rPr>
            </w:pPr>
          </w:p>
        </w:tc>
        <w:tc>
          <w:tcPr>
            <w:tcW w:w="15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94.2 %</w:t>
            </w:r>
          </w:p>
        </w:tc>
        <w:tc>
          <w:tcPr>
            <w:tcW w:w="80" w:type="dxa"/>
            <w:vAlign w:val="bottom"/>
          </w:tcPr>
          <w:p>
            <w:pPr>
              <w:spacing w:after="0"/>
              <w:rPr>
                <w:sz w:val="17"/>
                <w:szCs w:val="17"/>
                <w:color w:val="auto"/>
              </w:rPr>
            </w:pPr>
          </w:p>
        </w:tc>
        <w:tc>
          <w:tcPr>
            <w:tcW w:w="15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94.5 %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95.2 %</w:t>
            </w:r>
          </w:p>
        </w:tc>
        <w:tc>
          <w:tcPr>
            <w:tcW w:w="0" w:type="dxa"/>
            <w:vAlign w:val="bottom"/>
          </w:tcPr>
          <w:p>
            <w:pPr>
              <w:spacing w:after="0"/>
              <w:rPr>
                <w:sz w:val="1"/>
                <w:szCs w:val="1"/>
                <w:color w:val="auto"/>
              </w:rPr>
            </w:pPr>
          </w:p>
        </w:tc>
      </w:tr>
      <w:tr>
        <w:trPr>
          <w:trHeight w:val="227"/>
        </w:trPr>
        <w:tc>
          <w:tcPr>
            <w:tcW w:w="632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Free-funds ratio</w:t>
            </w:r>
            <w:r>
              <w:rPr>
                <w:rFonts w:ascii="Times New Roman" w:cs="Times New Roman" w:eastAsia="Times New Roman" w:hAnsi="Times New Roman"/>
                <w:sz w:val="23"/>
                <w:szCs w:val="23"/>
                <w:color w:val="auto"/>
                <w:vertAlign w:val="superscript"/>
              </w:rPr>
              <w:t>(1)</w:t>
            </w: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Average interest earning assets less average interest bearing liabilities.</w:t>
      </w:r>
    </w:p>
    <w:p>
      <w:pPr>
        <w:spacing w:after="0" w:line="146" w:lineRule="exact"/>
        <w:rPr>
          <w:sz w:val="20"/>
          <w:szCs w:val="20"/>
          <w:color w:val="auto"/>
        </w:rPr>
      </w:pPr>
    </w:p>
    <w:p>
      <w:pPr>
        <w:jc w:val="both"/>
        <w:ind w:firstLine="320"/>
        <w:spacing w:after="0" w:line="234" w:lineRule="auto"/>
        <w:rPr>
          <w:sz w:val="20"/>
          <w:szCs w:val="20"/>
          <w:color w:val="auto"/>
        </w:rPr>
      </w:pPr>
      <w:r>
        <w:rPr>
          <w:rFonts w:ascii="Times New Roman" w:cs="Times New Roman" w:eastAsia="Times New Roman" w:hAnsi="Times New Roman"/>
          <w:sz w:val="18"/>
          <w:szCs w:val="18"/>
          <w:i w:val="1"/>
          <w:iCs w:val="1"/>
          <w:color w:val="auto"/>
        </w:rPr>
        <w:t>Provision for credit losses</w:t>
      </w:r>
      <w:r>
        <w:rPr>
          <w:rFonts w:ascii="Times New Roman" w:cs="Times New Roman" w:eastAsia="Times New Roman" w:hAnsi="Times New Roman"/>
          <w:sz w:val="18"/>
          <w:szCs w:val="18"/>
          <w:color w:val="auto"/>
        </w:rPr>
        <w:t>. The provision for credit losses was an expense of $6.2 million in 2023, an expense of $5.3 million in 2022, and a credit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 million in 2021. The provision reflects our assessment of the allowance for credit losses (the “ACL”) taking into consideration factors such as loan growth, loan mix, levels of non-performing and classified loans, economic conditions and loan net charge-offs. While we use relevant information to recognize losses on loans and securities HTM, additional provisions for related losses may be necessary based on changes in economic conditions, customer circumstances and other credit risk factors. The increase in the provision for credit losses in 2023 compared to 2022 was primarily due to a loss incurred on a $3.0 million corporate security HTM (Signature Bank) that defaulted and was fully charged off during the first quarter that was partially offset by a decline in loan growth rate. The higher provision for credit losses in 2022 compared to 2021 was primarily due to new credit loss allocations in the commercial and retail loan portfolios primarily due to loan growth and a decrease in gross recoveries of previously charged-off commercial and retail loans as well as an increase in the adjustment to allocations based on subjective factors. See “Portfolio Loans and asset quality” for a discussion of the various components of the ACL and their impact on the provision for credit losses in 2023 and note #19 to the Consolidated Financial Statements included within this report for a discussion on industry concentrations.</w:t>
      </w:r>
    </w:p>
    <w:p>
      <w:pPr>
        <w:spacing w:after="0" w:line="195" w:lineRule="exact"/>
        <w:rPr>
          <w:sz w:val="20"/>
          <w:szCs w:val="20"/>
          <w:color w:val="auto"/>
        </w:rPr>
      </w:pPr>
    </w:p>
    <w:p>
      <w:pPr>
        <w:jc w:val="both"/>
        <w:ind w:right="20"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Non-interest income. </w:t>
      </w:r>
      <w:r>
        <w:rPr>
          <w:rFonts w:ascii="Times New Roman" w:cs="Times New Roman" w:eastAsia="Times New Roman" w:hAnsi="Times New Roman"/>
          <w:sz w:val="18"/>
          <w:szCs w:val="18"/>
          <w:color w:val="auto"/>
        </w:rPr>
        <w:t>Non-interest income is a significant element in assessing our results of operations. Non-interest income totaled $50.7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2023 compared to $61.9 million and $76.6 million during 2022 and 2021, respectively.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66"/>
        </w:trPr>
        <w:tc>
          <w:tcPr>
            <w:tcW w:w="66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20" w:type="dxa"/>
            <w:vAlign w:val="bottom"/>
            <w:tcBorders>
              <w:bottom w:val="single" w:sz="8" w:color="auto"/>
            </w:tcBorders>
          </w:tcPr>
          <w:p>
            <w:pPr>
              <w:spacing w:after="0"/>
              <w:rPr>
                <w:sz w:val="24"/>
                <w:szCs w:val="24"/>
                <w:color w:val="auto"/>
              </w:rPr>
            </w:pPr>
          </w:p>
        </w:tc>
      </w:tr>
      <w:tr>
        <w:trPr>
          <w:trHeight w:val="220"/>
        </w:trPr>
        <w:tc>
          <w:tcPr>
            <w:tcW w:w="66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0"/>
        </w:trPr>
        <w:tc>
          <w:tcPr>
            <w:tcW w:w="6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Interchange income</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13,996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14,045</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12,361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10,170</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(losses) on assets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loans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35,880</w:t>
            </w: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loan servicing, net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w:t>
            </w:r>
          </w:p>
        </w:tc>
      </w:tr>
      <w:tr>
        <w:trPr>
          <w:trHeight w:val="220"/>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9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50,676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61,909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76,643</w:t>
            </w:r>
          </w:p>
        </w:tc>
      </w:tr>
      <w:tr>
        <w:trPr>
          <w:trHeight w:val="20"/>
        </w:trPr>
        <w:tc>
          <w:tcPr>
            <w:tcW w:w="6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Service charges on deposit accounts totaled $12.4 million in 2023, as compared to $12.3 million in 2022 and $10.2 million during 2021. The increases in 2023 and 2022 relative to the respective prior year were primarily due to an increase in non-sufficient funds occurrences (and related fees).</w:t>
      </w:r>
    </w:p>
    <w:p>
      <w:pPr>
        <w:spacing w:after="0" w:line="1" w:lineRule="exact"/>
        <w:rPr>
          <w:sz w:val="20"/>
          <w:szCs w:val="20"/>
          <w:color w:val="auto"/>
        </w:rPr>
      </w:pPr>
    </w:p>
    <w:p>
      <w:pPr>
        <w:jc w:val="both"/>
        <w:ind w:firstLine="320"/>
        <w:spacing w:after="0" w:line="236" w:lineRule="auto"/>
        <w:rPr>
          <w:sz w:val="20"/>
          <w:szCs w:val="20"/>
          <w:color w:val="auto"/>
        </w:rPr>
      </w:pPr>
      <w:r>
        <w:rPr>
          <w:rFonts w:ascii="Times New Roman" w:cs="Times New Roman" w:eastAsia="Times New Roman" w:hAnsi="Times New Roman"/>
          <w:sz w:val="18"/>
          <w:szCs w:val="18"/>
          <w:color w:val="auto"/>
        </w:rPr>
        <w:t>We realized net gains of $7.4 million on mortgage loans during 2023, compared to $6.4 million and $35.9 million during 2022 and 2021, respectively. As reflected in the table below, the sale of mortgage loans decreased significantly from both 2022 and 2021. Mortgage loan activity is summarized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MORTGAGE LOAN ACTIVITY</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66"/>
        </w:trPr>
        <w:tc>
          <w:tcPr>
            <w:tcW w:w="64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center"/>
              <w:ind w:left="751"/>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200" w:type="dxa"/>
            <w:vAlign w:val="bottom"/>
            <w:tcBorders>
              <w:bottom w:val="single" w:sz="8" w:color="auto"/>
            </w:tcBorders>
          </w:tcPr>
          <w:p>
            <w:pPr>
              <w:spacing w:after="0"/>
              <w:rPr>
                <w:sz w:val="24"/>
                <w:szCs w:val="24"/>
                <w:color w:val="auto"/>
              </w:rPr>
            </w:pPr>
          </w:p>
        </w:tc>
      </w:tr>
      <w:tr>
        <w:trPr>
          <w:trHeight w:val="240"/>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33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7"/>
        </w:trPr>
        <w:tc>
          <w:tcPr>
            <w:tcW w:w="6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(Dollars in thousands)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 originated</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554,461</w:t>
            </w:r>
          </w:p>
        </w:tc>
        <w:tc>
          <w:tcPr>
            <w:tcW w:w="4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935,807</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1,861,060</w:t>
            </w:r>
          </w:p>
        </w:tc>
      </w:tr>
      <w:tr>
        <w:trPr>
          <w:trHeight w:val="254"/>
        </w:trPr>
        <w:tc>
          <w:tcPr>
            <w:tcW w:w="6400" w:type="dxa"/>
            <w:vAlign w:val="bottom"/>
          </w:tcPr>
          <w:p>
            <w:pPr>
              <w:ind w:left="20"/>
              <w:spacing w:after="0" w:line="254" w:lineRule="exact"/>
              <w:rPr>
                <w:sz w:val="20"/>
                <w:szCs w:val="20"/>
                <w:color w:val="auto"/>
              </w:rPr>
            </w:pPr>
            <w:r>
              <w:rPr>
                <w:rFonts w:ascii="Times New Roman" w:cs="Times New Roman" w:eastAsia="Times New Roman" w:hAnsi="Times New Roman"/>
                <w:sz w:val="18"/>
                <w:szCs w:val="18"/>
                <w:color w:val="auto"/>
              </w:rPr>
              <w:t>Mortgage loans sold</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22"/>
                <w:szCs w:val="22"/>
                <w:color w:val="auto"/>
              </w:rPr>
            </w:pP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407,613</w:t>
            </w:r>
          </w:p>
        </w:tc>
        <w:tc>
          <w:tcPr>
            <w:tcW w:w="440" w:type="dxa"/>
            <w:vAlign w:val="bottom"/>
          </w:tcPr>
          <w:p>
            <w:pPr>
              <w:spacing w:after="0"/>
              <w:rPr>
                <w:sz w:val="22"/>
                <w:szCs w:val="22"/>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602,797</w:t>
            </w:r>
          </w:p>
        </w:tc>
        <w:tc>
          <w:tcPr>
            <w:tcW w:w="380" w:type="dxa"/>
            <w:vAlign w:val="bottom"/>
          </w:tcPr>
          <w:p>
            <w:pPr>
              <w:spacing w:after="0"/>
              <w:rPr>
                <w:sz w:val="22"/>
                <w:szCs w:val="22"/>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1,254,638</w:t>
            </w:r>
          </w:p>
        </w:tc>
      </w:tr>
      <w:tr>
        <w:trPr>
          <w:trHeight w:val="25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on mortgage loans</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7,436</w:t>
            </w: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6,431</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35,880</w:t>
            </w:r>
          </w:p>
        </w:tc>
      </w:tr>
      <w:tr>
        <w:trPr>
          <w:trHeight w:val="247"/>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as a percent of mortgage loans sold (“Loan Sales Margin”)</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4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1.07 %</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2.86 %</w:t>
            </w:r>
          </w:p>
        </w:tc>
      </w:tr>
      <w:tr>
        <w:trPr>
          <w:trHeight w:val="26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adjustments included in the Loan Sales Margin</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0.62</w:t>
            </w:r>
          </w:p>
        </w:tc>
        <w:tc>
          <w:tcPr>
            <w:tcW w:w="4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(1.12)</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(0.52)</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9" w:lineRule="exact"/>
        <w:rPr>
          <w:sz w:val="20"/>
          <w:szCs w:val="20"/>
          <w:color w:val="auto"/>
        </w:rPr>
      </w:pPr>
    </w:p>
    <w:p>
      <w:pPr>
        <w:jc w:val="both"/>
        <w:ind w:left="320" w:hanging="313"/>
        <w:spacing w:after="0" w:line="251" w:lineRule="auto"/>
        <w:tabs>
          <w:tab w:leader="none" w:pos="3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includes the sale of $56.7 million of portfolio residential fixed rate and adjustable rate mortgage loans. 2022 includes the sale of $63.0 million of portfolio residential fixed rate and adjustable rate mortgage loans. 2021 includes the sale of $9.6 million of portfolio residential fixed rate mortgage loans.</w:t>
      </w:r>
    </w:p>
    <w:p>
      <w:pPr>
        <w:spacing w:after="0" w:line="146" w:lineRule="exact"/>
        <w:rPr>
          <w:sz w:val="20"/>
          <w:szCs w:val="20"/>
          <w:color w:val="auto"/>
        </w:rPr>
      </w:pPr>
    </w:p>
    <w:p>
      <w:pPr>
        <w:jc w:val="both"/>
        <w:ind w:firstLine="320"/>
        <w:spacing w:after="0" w:line="246" w:lineRule="auto"/>
        <w:rPr>
          <w:sz w:val="20"/>
          <w:szCs w:val="20"/>
          <w:color w:val="auto"/>
        </w:rPr>
      </w:pPr>
      <w:r>
        <w:rPr>
          <w:rFonts w:ascii="Times New Roman" w:cs="Times New Roman" w:eastAsia="Times New Roman" w:hAnsi="Times New Roman"/>
          <w:sz w:val="18"/>
          <w:szCs w:val="18"/>
          <w:color w:val="auto"/>
        </w:rPr>
        <w:t>Mortgage loans originated decreased in both 2023 as compared to 2022 and 2022 as compared to 2021 as higher mortgage loan interest rates in each respective year reduced mortgage loan refinance activity and in 2022 also reduced purchase money activity. Mortgage loans sold decreased in each of these years due primarily to lower loan origination volume.</w:t>
      </w:r>
    </w:p>
    <w:p>
      <w:pPr>
        <w:spacing w:after="0" w:line="177" w:lineRule="exact"/>
        <w:rPr>
          <w:sz w:val="20"/>
          <w:szCs w:val="20"/>
          <w:color w:val="auto"/>
        </w:rPr>
      </w:pPr>
    </w:p>
    <w:p>
      <w:pPr>
        <w:jc w:val="both"/>
        <w:ind w:firstLine="320"/>
        <w:spacing w:after="0" w:line="237" w:lineRule="auto"/>
        <w:rPr>
          <w:sz w:val="20"/>
          <w:szCs w:val="20"/>
          <w:color w:val="auto"/>
        </w:rPr>
      </w:pPr>
      <w:r>
        <w:rPr>
          <w:rFonts w:ascii="Times New Roman" w:cs="Times New Roman" w:eastAsia="Times New Roman" w:hAnsi="Times New Roman"/>
          <w:sz w:val="18"/>
          <w:szCs w:val="18"/>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Net gains on mortgage loans increased in 2023 as compared to 2022 primarily due to the increase in the Loan Sales Margin due to the impact of fair</w:t>
      </w:r>
    </w:p>
    <w:p>
      <w:pPr>
        <w:spacing w:after="0" w:line="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value adjustments on certain unhedged construction loans during the 2023 as a result of the significant increase in interest rates during that period. Net gains on mortgage loans decreased in 2022 as compared to 2021 primarily due to the decline in loan sale volume and a decrease in the Loan Sales Margin.</w:t>
      </w:r>
    </w:p>
    <w:p>
      <w:pPr>
        <w:spacing w:after="0" w:line="155"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generated net gains (losses) on securities of $(0.22) million, $(0.28) million and $1.41 million in 2023, 2022 and 2021, respectively. These net gains (losses) were due to the sales of securities as outlined in the table below. We recorded no credit related charges in 2023, 2022 or 2021 for securities AFS. See “Securities” below and note #3 to the Condensed Consolidated Financial Statements.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GAINS AND LOSSES ON SECURITIES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66"/>
        </w:trPr>
        <w:tc>
          <w:tcPr>
            <w:tcW w:w="5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2"/>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20"/>
        </w:trPr>
        <w:tc>
          <w:tcPr>
            <w:tcW w:w="50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Proceeds</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811"/>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20"/>
        </w:trPr>
        <w:tc>
          <w:tcPr>
            <w:tcW w:w="5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60" w:type="dxa"/>
            <w:vAlign w:val="bottom"/>
            <w:gridSpan w:val="2"/>
          </w:tcPr>
          <w:p>
            <w:pPr>
              <w:jc w:val="right"/>
              <w:ind w:right="89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w:t>
            </w:r>
          </w:p>
        </w:tc>
        <w:tc>
          <w:tcPr>
            <w:tcW w:w="3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4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70,523</w:t>
            </w:r>
          </w:p>
        </w:tc>
        <w:tc>
          <w:tcPr>
            <w:tcW w:w="380" w:type="dxa"/>
            <w:vAlign w:val="bottom"/>
          </w:tcPr>
          <w:p>
            <w:pPr>
              <w:spacing w:after="0"/>
              <w:rPr>
                <w:sz w:val="19"/>
                <w:szCs w:val="19"/>
                <w:color w:val="auto"/>
              </w:rPr>
            </w:pPr>
          </w:p>
        </w:tc>
        <w:tc>
          <w:tcPr>
            <w:tcW w:w="15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164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85,371</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1,475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r>
    </w:tbl>
    <w:p>
      <w:pPr>
        <w:spacing w:after="0" w:line="275"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Mortgage loan servicing, net, generated income of $4.6 million in 2023 compared to income of $18.8 million and $5.7 million in 2022 and 2021 respectively. The significant variances in mortgage loan servicing, net are primarily due to changes in the fair value of capitalized mortgage loan servicing rights associated with changes in mortgage loan interest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rates and expected future prepayment levels and expected float rates. Mortgage loan servicing, net activity is summarized in the following table: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MORTGAGE LOAN SERVICING ACTIVITY</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662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30"/>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Mortgage loan servicing:</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net</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0" w:type="dxa"/>
            <w:vAlign w:val="bottom"/>
          </w:tcPr>
          <w:p>
            <w:pPr>
              <w:spacing w:after="0"/>
              <w:rPr>
                <w:sz w:val="1"/>
                <w:szCs w:val="1"/>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change due to price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change due to pay-downs</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(3,922)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0" w:type="dxa"/>
            <w:vAlign w:val="bottom"/>
          </w:tcPr>
          <w:p>
            <w:pPr>
              <w:spacing w:after="0"/>
              <w:rPr>
                <w:sz w:val="1"/>
                <w:szCs w:val="1"/>
                <w:color w:val="auto"/>
              </w:rPr>
            </w:pPr>
          </w:p>
        </w:tc>
      </w:tr>
      <w:tr>
        <w:trPr>
          <w:trHeight w:val="220"/>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Activity related to capitalized mortgage loan servicing rights is as follows:</w:t>
            </w: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4"/>
        </w:trPr>
        <w:tc>
          <w:tcPr>
            <w:tcW w:w="66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CAPITALIZED MORTGAGE LOAN SERVICING RIGHTS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62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0"/>
        </w:trPr>
        <w:tc>
          <w:tcPr>
            <w:tcW w:w="6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42,489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0" w:type="dxa"/>
            <w:vAlign w:val="bottom"/>
          </w:tcPr>
          <w:p>
            <w:pPr>
              <w:spacing w:after="0"/>
              <w:rPr>
                <w:sz w:val="1"/>
                <w:szCs w:val="1"/>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Originated servicing rights capitalized</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11,436</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(4,202)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0" w:type="dxa"/>
            <w:vAlign w:val="bottom"/>
          </w:tcPr>
          <w:p>
            <w:pPr>
              <w:spacing w:after="0"/>
              <w:rPr>
                <w:sz w:val="1"/>
                <w:szCs w:val="1"/>
                <w:color w:val="auto"/>
              </w:rPr>
            </w:pPr>
          </w:p>
        </w:tc>
      </w:tr>
      <w:tr>
        <w:trPr>
          <w:trHeight w:val="22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9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42,243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26,232</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At December 31, 2023, we were servicing approximately $3.5 billion in mortgage loans for others on which servicing rights have been capitalized. This servicing portfolio had a weighted average coupon rate of 3.89% and a weighted average service fee of approximately 0.26 basis points. Remaining capitalized mortgage loan servicing rights at December 31, 2023 totaled $42.2 million, representing approximately 1.19 basis points on the related amount of mortgage loans serviced for others.</w:t>
      </w:r>
    </w:p>
    <w:p>
      <w:pPr>
        <w:spacing w:after="0" w:line="18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Investment and insurance commissions totaled $3.5 million in 2023 as compared to $2.9 million and $2.6 million in 2022 and 2021. The increase in revenue in 2023 as compared to 2022 and 2021 was primarily due to higher sales volume and an increase in fee based revenue.</w:t>
      </w:r>
    </w:p>
    <w:p>
      <w:pPr>
        <w:spacing w:after="0" w:line="16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earned $0.5 million, $0.4 million and $0.6 million in 2023, 2022 and 2021, respectively, on our separate account bank owned life insurance principally as a result of increases in the cash surrender value. Our separate account is primarily invested in agency mortgage-backed securities and managed by a fixed income investment manager. The crediting rate (on which the earnings are based) reflects the performance of the separate account. The total cash surrender value of our bank owned life insurance was $54.3 million and $55.2 million at December 31, 2023 and 2022, respectively. The changes in earnings in each year is due to changes in the crediting rate.</w:t>
      </w:r>
    </w:p>
    <w:p>
      <w:pPr>
        <w:spacing w:after="0" w:line="18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Other non-interest income totaled $8.5 million, $7.5 million and $6.2 million in 2023, 2022 and 2021, respectively. Other non-interest income increased in 2023 as compared to 2022 due to an increase in fees related to interest rate swaps for commercial loan customers (due to a higher level of these transactions during 2023), an increase in ATM fees, an increase in merchant credit card related income and an increase in income from bank owned life insurance (due to a higher crediting rate during 2023) that were partially offset by lower gains on the sale of bank owned properties. The increase in 2022 as compared to 2021 is due primarily to the gain on the sale of two bank owned properties of $1.1 million.</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Non-interest expense. </w:t>
      </w:r>
      <w:r>
        <w:rPr>
          <w:rFonts w:ascii="Times New Roman" w:cs="Times New Roman" w:eastAsia="Times New Roman" w:hAnsi="Times New Roman"/>
          <w:sz w:val="18"/>
          <w:szCs w:val="18"/>
          <w:color w:val="auto"/>
        </w:rPr>
        <w:t>Non-interest expense is an important component of our results of operations. We strive to efficiently manage our cost structure.</w:t>
      </w:r>
    </w:p>
    <w:p>
      <w:pPr>
        <w:spacing w:after="0" w:line="222"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Non-interest expense totaled $127.1 million in 2023, $128.3 million in 2022, and $131.0 million in 2021. Decreases in performance-based compensation, occupancy, net, communications and loan and collection that were partially offset by increases in compensation, payroll taxes and employee benefits, data processing, FDIC deposit insurance and other expense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are primarily responsible for the decrease in 2023 compared to 2022. Decreases in data processing, interchange expense, loan and collection, costs related to unfunded lending commitments, conversion related expenses and other expenses are primarily responsible for the decrease in 2022 compared to 2021. The components of non-interest expense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66"/>
        </w:trPr>
        <w:tc>
          <w:tcPr>
            <w:tcW w:w="6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ind w:left="731"/>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140" w:type="dxa"/>
            <w:vAlign w:val="bottom"/>
            <w:tcBorders>
              <w:bottom w:val="single" w:sz="8" w:color="auto"/>
            </w:tcBorders>
          </w:tcPr>
          <w:p>
            <w:pPr>
              <w:spacing w:after="0"/>
              <w:rPr>
                <w:sz w:val="24"/>
                <w:szCs w:val="24"/>
                <w:color w:val="auto"/>
              </w:rPr>
            </w:pPr>
          </w:p>
        </w:tc>
      </w:tr>
      <w:tr>
        <w:trPr>
          <w:trHeight w:val="220"/>
        </w:trPr>
        <w:tc>
          <w:tcPr>
            <w:tcW w:w="6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0"/>
        </w:trPr>
        <w:tc>
          <w:tcPr>
            <w:tcW w:w="6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44,226</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compensation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19,800</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taxes and employee benefits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15,943</w:t>
            </w:r>
          </w:p>
        </w:tc>
      </w:tr>
      <w:tr>
        <w:trPr>
          <w:trHeight w:val="220"/>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79,969</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processing</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10,823</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 net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8,794</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Interchange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FDIC deposit insurance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and professional</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and collection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related to unfunded lending commitments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Correspondent bank service fees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loss reimbursement on sold loans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related expenses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losses on other real estate and repossessed assets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w:t>
            </w:r>
          </w:p>
        </w:tc>
      </w:tr>
      <w:tr>
        <w:trPr>
          <w:trHeight w:val="220"/>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127,119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131,023</w:t>
            </w: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Compensation expense, which is primarily salaries, totaled $52.5 million, $50.5 million and $44.2 million in 2023, 2022 and 2021, respectively. The comparative increase in 2023 to 2022 is primarily due to salary increases that were predominantly effective on January 1, 2023. The comparative increase in 2022 to 2021 is primarily due to salary increases that were predominantly effective on January 1, 2022, and a decreased level of compensation that was deferred as direct origination costs due to lower mortgage loan origination volume.</w:t>
      </w:r>
    </w:p>
    <w:p>
      <w:pPr>
        <w:spacing w:after="0" w:line="18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Performance-based compensation expense totaled $11.1 million, $15.9 million and $19.8 million in 2023, 2022 and 2021, respectively. The decrease in 2023 as compared to 2022 was due to actual performance relative to the established incentive plan targets. The decrease in 2022 as compared to 2021 was due to actual performance relative to the established incentive plan targets as well a decrease in mortgage lending related incentives attributed to the decline in mortgage lending volume.</w:t>
      </w:r>
    </w:p>
    <w:p>
      <w:pPr>
        <w:spacing w:after="0" w:line="18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maintain performance-based compensation plans. In addition to commissions and cash incentive awards, such plans include an ESOP and a long-term equity based incentive plan. Total compensation expense recognized for grants pursuant to our long-term incentive plan was $1.9 million, $1.8 million and $1.6 million in 2023, 2022 and 2021, respectively. In each of those three years, we granted both restricted stock and performance share awards under the plan.</w:t>
      </w:r>
    </w:p>
    <w:p>
      <w:pPr>
        <w:spacing w:after="0" w:line="18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Payroll taxes and employee benefits expense totaled $15.4 million, $14.6 million and $15.9 million in 2023, 2022 and 2021, respectively. The increase in 2023 compared to 2022 is primarily due to higher employee medical insurance costs that were partially offset by a decrease in payroll taxes (reflecting lower performance-based compensation costs). The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decrease in 2022 compared to 2021 is due to decreases in payroll taxes (reflecting lower performance-based compensation costs), our 401(k) plan match and other indirect costs related to mortgage lending.</w:t>
      </w:r>
    </w:p>
    <w:p>
      <w:pPr>
        <w:spacing w:after="0" w:line="16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Data processing expenses totaled $11.9 million, $10.2 million, and $10.8 million in 2023, 2022 and 2021, respectively. The increase in 2023 compared to 2022 is primarily due to annual asset based and consumer price index based cost increases. The decrease in 2022 compared to 2021 is primarily due to lower debit card production costs, lower net mortgage processing costs (lower volume) and a refund of previously expensed charges from our former core data processing provider.</w:t>
      </w:r>
    </w:p>
    <w:p>
      <w:pPr>
        <w:spacing w:after="0" w:line="18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Occupancy, net totaled $7.9 million, $8.9 million, and $8.8 million in 2023, 2022 and 2021, respectively. The decrease in 2023 compared to 2022 is due in part to lower seasonal related maintenance costs and Covid-19 related protocol expenses.</w:t>
      </w:r>
    </w:p>
    <w:p>
      <w:pPr>
        <w:spacing w:after="0" w:line="16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FDIC deposit insurance expense totaled $3.0 million, $2.1 million, and $1.4 million in 2023, 2022 and 2021, respectively. FDIC deposit insurance expense increased in 2023 compared to 2022 due primarily to a two basis point increase in the assessment rate beginning in the first quarter of 2023 charged to all banks to increase the likelihood that the reserve ratio of the deposit insurance fund reaches its statutory minimum. FDIC deposit insurance expense increased in 2022 compared to 2021 due primarily to an increase in the assessment rate.</w:t>
      </w:r>
    </w:p>
    <w:p>
      <w:pPr>
        <w:spacing w:after="0" w:line="18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Communications totaled $2.4 million, $2.9 million, and $3.1 million in 2023, 2022 and 2021, respectively. The decrease in 2023 compared to 2022 is primarily due to lower telephony and networking related costs as well as lower customer statement mailing costs.</w:t>
      </w:r>
    </w:p>
    <w:p>
      <w:pPr>
        <w:spacing w:after="0" w:line="16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Loan and collection expenses reflect costs related to new lending activity as well as the management and collection of non-performing loans and other problem credits. These expenses totaled $2.2 million, $2.7 million and $3.2 million in 2023, 2022 and 2021, respectively. These costs decreased in 2023 and 2022 due in part to recoveries of previously expensed amounts and an overall lower level of non performing loans and assets.</w:t>
      </w:r>
    </w:p>
    <w:p>
      <w:pPr>
        <w:spacing w:after="0" w:line="17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changes in costs related to unfunded lending commitments are primarily impacted by changes in the amounts of such commitments to originate Portfolio Loans as well as (for commercial loan commitments) the grade (pursuant to our loan rating system) of such commitments. Costs related to unfunded lending commitments totaled $0.4 million, $0.6 million, and $1.2 million in 2023, 2022 and 2021, respectively. The decreases in each comparative year are due primarily to decreases in the amount of newly originated unfunded lending commitments.</w:t>
      </w:r>
    </w:p>
    <w:p>
      <w:pPr>
        <w:spacing w:after="0" w:line="18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Other non-interest expenses totaled $6.6 million, $6.0 million, and $6.3 million in 2023, 2022 and 2021, respectively. The increase in other expense in 2023 compared to 2022 primarily represents higher Michigan Corporate Income Tax expense as the result of an increase in tax base and an increase in travel and entertainment expenses. The decrease in 2022 compared to 2021 primarily represents lower Michigan Corporate Income Tax expense as the result of a decrease in tax base, a branch write-down and certain one-time contract termination costs expensed in the prior year.</w:t>
      </w:r>
    </w:p>
    <w:p>
      <w:pPr>
        <w:spacing w:after="0" w:line="179" w:lineRule="exact"/>
        <w:rPr>
          <w:sz w:val="20"/>
          <w:szCs w:val="20"/>
          <w:color w:val="auto"/>
        </w:rPr>
      </w:pPr>
    </w:p>
    <w:p>
      <w:pPr>
        <w:jc w:val="both"/>
        <w:ind w:firstLine="320"/>
        <w:spacing w:after="0" w:line="286" w:lineRule="auto"/>
        <w:rPr>
          <w:sz w:val="20"/>
          <w:szCs w:val="20"/>
          <w:color w:val="auto"/>
        </w:rPr>
      </w:pPr>
      <w:r>
        <w:rPr>
          <w:rFonts w:ascii="Times New Roman" w:cs="Times New Roman" w:eastAsia="Times New Roman" w:hAnsi="Times New Roman"/>
          <w:sz w:val="17"/>
          <w:szCs w:val="17"/>
          <w:i w:val="1"/>
          <w:iCs w:val="1"/>
          <w:color w:val="auto"/>
        </w:rPr>
        <w:t>Income tax expense</w:t>
      </w:r>
      <w:r>
        <w:rPr>
          <w:rFonts w:ascii="Times New Roman" w:cs="Times New Roman" w:eastAsia="Times New Roman" w:hAnsi="Times New Roman"/>
          <w:sz w:val="17"/>
          <w:szCs w:val="17"/>
          <w:color w:val="auto"/>
        </w:rPr>
        <w:t>. We recorded an income tax expense of $14.61 million, $14.44 million and $14.42 million in 2023, 2022 and 2021, respectively.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actual federal income tax expense is different than the amount computed by applying our statutory federal income tax rate to our pre-tax income primarily due to tax-exempt interest income, share based compensation and tax-exempt income from the increase in the cash surrender value on life insurance.</w:t>
      </w:r>
    </w:p>
    <w:p>
      <w:pPr>
        <w:spacing w:after="0" w:line="15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assess whether a valuation allowance should be established against our deferred tax asset, net (“DTA”) based on the consideration of all available evidence using a “more likely than not” standard. The ultimate realization of this asset is primarily based on generating future income. We concluded at December 31, 2023 and 2022 that the realization of substantially all of our DTA continues to be more likely than not. See note #13 to the Consolidated Financial Statements included within this report for more information.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2"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Summary. </w:t>
      </w:r>
      <w:r>
        <w:rPr>
          <w:rFonts w:ascii="Times New Roman" w:cs="Times New Roman" w:eastAsia="Times New Roman" w:hAnsi="Times New Roman"/>
          <w:sz w:val="18"/>
          <w:szCs w:val="18"/>
          <w:color w:val="auto"/>
        </w:rPr>
        <w:t>Our total assets increased to $5.26 billion at December 31, 2023, compared to $5.00 billion at December 31, 2022, primarily due to growth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loans and mortgage loans and interest bearing cash balances. Loans, excluding loans held for sale (“Portfolio Loans”), totaled $3.79 billion and $3.47 billion at December 31, 2023 and December 31, 2022, respectively. Commercial and mortgage loans increased by $212.9 million and $117.5 million, respectively.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Deposits totaled $4.62 billion at December 31, 2023, compared to $4.38 billion at December 31, 2022. The $243.8 million increase in deposits is primarily due to growth in reciprocal deposits, time deposits and brokered time deposits that was partially offset by a decline in non-interest bearing deposits and savings and interest bearing checking deposits.</w:t>
      </w:r>
    </w:p>
    <w:p>
      <w:pPr>
        <w:spacing w:after="0" w:line="174" w:lineRule="exact"/>
        <w:rPr>
          <w:sz w:val="20"/>
          <w:szCs w:val="20"/>
          <w:color w:val="auto"/>
        </w:rPr>
      </w:pPr>
    </w:p>
    <w:p>
      <w:pPr>
        <w:jc w:val="both"/>
        <w:ind w:firstLine="320"/>
        <w:spacing w:after="0" w:line="286" w:lineRule="auto"/>
        <w:rPr>
          <w:sz w:val="20"/>
          <w:szCs w:val="20"/>
          <w:color w:val="auto"/>
        </w:rPr>
      </w:pPr>
      <w:r>
        <w:rPr>
          <w:rFonts w:ascii="Times New Roman" w:cs="Times New Roman" w:eastAsia="Times New Roman" w:hAnsi="Times New Roman"/>
          <w:sz w:val="17"/>
          <w:szCs w:val="17"/>
          <w:i w:val="1"/>
          <w:iCs w:val="1"/>
          <w:color w:val="auto"/>
        </w:rPr>
        <w:t xml:space="preserve">Securities. </w:t>
      </w:r>
      <w:r>
        <w:rPr>
          <w:rFonts w:ascii="Times New Roman" w:cs="Times New Roman" w:eastAsia="Times New Roman" w:hAnsi="Times New Roman"/>
          <w:sz w:val="17"/>
          <w:szCs w:val="17"/>
          <w:color w:val="auto"/>
        </w:rPr>
        <w:t>We maintain diversified securities portfolios, which include obligations of U.S. government-sponsored agencies, securities issued by states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political subdivisions, residential and commercial mortgage-backed securities, asset-backed securities, corporate securities and trust preferred securities. We regularly evaluate asset/liability management needs and attempt to maintain a portfolio structure that provides sufficient liquidity and cash flow.</w:t>
      </w:r>
    </w:p>
    <w:p>
      <w:pPr>
        <w:spacing w:after="0" w:line="157"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believe that the unrealized losses on securities AFS are temporary in nature and are expected to be recovered within a reasonable time period. We believe that we have the ability to hold securities with unrealized losses to maturity or until such time as the unrealized losses reverse. (See “Asset/liability management”).</w:t>
      </w:r>
    </w:p>
    <w:p>
      <w:pPr>
        <w:spacing w:after="0" w:line="123" w:lineRule="exact"/>
        <w:rPr>
          <w:sz w:val="20"/>
          <w:szCs w:val="20"/>
          <w:color w:val="auto"/>
        </w:rPr>
      </w:pPr>
    </w:p>
    <w:p>
      <w:pPr>
        <w:jc w:val="both"/>
        <w:ind w:firstLine="320"/>
        <w:spacing w:after="0" w:line="238" w:lineRule="auto"/>
        <w:rPr>
          <w:sz w:val="20"/>
          <w:szCs w:val="20"/>
          <w:color w:val="auto"/>
        </w:rPr>
      </w:pPr>
      <w:r>
        <w:rPr>
          <w:rFonts w:ascii="Times New Roman" w:cs="Times New Roman" w:eastAsia="Times New Roman" w:hAnsi="Times New Roman"/>
          <w:sz w:val="18"/>
          <w:szCs w:val="18"/>
          <w:color w:val="auto"/>
        </w:rPr>
        <w:t>On April 1, 2022, we transferred certain securities AFS with an amortized cost and unrealized loss at the date of transfer of $418.1 million and $26.5 million, respectively to securities held to maturity ("HTM"). The transfer was made at fair value, with the unrealized loss becoming part of the purchase discount which will be accreted over the remaining life of the securities. The other comprehensive loss component is separated from the remaining securities AFS and is accreted over the remaining life of the securities transferred. Based upon our liquidity and capital resources (as explained in more detail below under "Liquidity and capital resources"), we believe that we have the ability and intent to hold these securities until they mature, at which time we would receive full value for these securities.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AFS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7"/>
              </w:rPr>
              <w:t>Amortized</w:t>
            </w:r>
          </w:p>
        </w:tc>
        <w:tc>
          <w:tcPr>
            <w:tcW w:w="1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left="311"/>
              <w:spacing w:after="0"/>
              <w:rPr>
                <w:sz w:val="20"/>
                <w:szCs w:val="20"/>
                <w:color w:val="auto"/>
              </w:rPr>
            </w:pPr>
            <w:r>
              <w:rPr>
                <w:rFonts w:ascii="Times New Roman" w:cs="Times New Roman" w:eastAsia="Times New Roman" w:hAnsi="Times New Roman"/>
                <w:sz w:val="18"/>
                <w:szCs w:val="18"/>
                <w:b w:val="1"/>
                <w:bCs w:val="1"/>
                <w:color w:val="auto"/>
              </w:rPr>
              <w:t>Cost</w:t>
            </w:r>
          </w:p>
        </w:tc>
        <w:tc>
          <w:tcPr>
            <w:tcW w:w="4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Gains</w:t>
            </w:r>
          </w:p>
        </w:tc>
        <w:tc>
          <w:tcPr>
            <w:tcW w:w="6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30"/>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Securities AFS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4"/>
          </w:tcPr>
          <w:p>
            <w:pPr>
              <w:jc w:val="center"/>
              <w:ind w:right="27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1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744,050</w:t>
            </w: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464</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679,350</w:t>
            </w:r>
          </w:p>
        </w:tc>
        <w:tc>
          <w:tcPr>
            <w:tcW w:w="0" w:type="dxa"/>
            <w:vAlign w:val="bottom"/>
          </w:tcPr>
          <w:p>
            <w:pPr>
              <w:spacing w:after="0"/>
              <w:rPr>
                <w:sz w:val="1"/>
                <w:szCs w:val="1"/>
                <w:color w:val="auto"/>
              </w:rPr>
            </w:pPr>
          </w:p>
        </w:tc>
      </w:tr>
      <w:tr>
        <w:trPr>
          <w:trHeight w:val="232"/>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2022</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866,363</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329</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87,345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779,347</w:t>
            </w:r>
          </w:p>
        </w:tc>
        <w:tc>
          <w:tcPr>
            <w:tcW w:w="0" w:type="dxa"/>
            <w:vAlign w:val="bottom"/>
          </w:tcPr>
          <w:p>
            <w:pPr>
              <w:spacing w:after="0"/>
              <w:rPr>
                <w:sz w:val="1"/>
                <w:szCs w:val="1"/>
                <w:color w:val="auto"/>
              </w:rPr>
            </w:pPr>
          </w:p>
        </w:tc>
      </w:tr>
      <w:tr>
        <w:trPr>
          <w:trHeight w:val="515"/>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HTM</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7"/>
              </w:rPr>
              <w:t>Transferred</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Unrealized</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91"/>
              <w:spacing w:after="0" w:line="194" w:lineRule="exact"/>
              <w:rPr>
                <w:sz w:val="20"/>
                <w:szCs w:val="20"/>
                <w:color w:val="auto"/>
              </w:rPr>
            </w:pPr>
            <w:r>
              <w:rPr>
                <w:rFonts w:ascii="Times New Roman" w:cs="Times New Roman" w:eastAsia="Times New Roman" w:hAnsi="Times New Roman"/>
                <w:sz w:val="18"/>
                <w:szCs w:val="18"/>
                <w:color w:val="auto"/>
              </w:rPr>
              <w:t>Carrying</w:t>
            </w:r>
          </w:p>
        </w:tc>
        <w:tc>
          <w:tcPr>
            <w:tcW w:w="220" w:type="dxa"/>
            <w:vAlign w:val="bottom"/>
          </w:tcPr>
          <w:p>
            <w:pPr>
              <w:spacing w:after="0"/>
              <w:rPr>
                <w:sz w:val="16"/>
                <w:szCs w:val="16"/>
                <w:color w:val="auto"/>
              </w:rPr>
            </w:pPr>
          </w:p>
        </w:tc>
        <w:tc>
          <w:tcPr>
            <w:tcW w:w="1100" w:type="dxa"/>
            <w:vAlign w:val="bottom"/>
          </w:tcPr>
          <w:p>
            <w:pPr>
              <w:jc w:val="center"/>
              <w:ind w:right="71"/>
              <w:spacing w:after="0" w:line="194" w:lineRule="exact"/>
              <w:rPr>
                <w:sz w:val="20"/>
                <w:szCs w:val="20"/>
                <w:color w:val="auto"/>
              </w:rPr>
            </w:pPr>
            <w:r>
              <w:rPr>
                <w:rFonts w:ascii="Times New Roman" w:cs="Times New Roman" w:eastAsia="Times New Roman" w:hAnsi="Times New Roman"/>
                <w:sz w:val="18"/>
                <w:szCs w:val="18"/>
                <w:color w:val="auto"/>
                <w:w w:val="98"/>
              </w:rPr>
              <w:t>Unrealized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Amortized</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Value</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rPr>
              <w:t>Loss (1)</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ACL</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451"/>
              <w:spacing w:after="0"/>
              <w:rPr>
                <w:sz w:val="20"/>
                <w:szCs w:val="20"/>
                <w:color w:val="auto"/>
              </w:rPr>
            </w:pPr>
            <w:r>
              <w:rPr>
                <w:rFonts w:ascii="Times New Roman" w:cs="Times New Roman" w:eastAsia="Times New Roman" w:hAnsi="Times New Roman"/>
                <w:sz w:val="18"/>
                <w:szCs w:val="18"/>
                <w:color w:val="auto"/>
                <w:w w:val="96"/>
              </w:rPr>
              <w:t>Cost</w:t>
            </w: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Gains</w:t>
            </w: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93"/>
              </w:rPr>
              <w:t>Losses</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26"/>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Securities HTM</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1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353,988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19,503</w:t>
            </w:r>
          </w:p>
        </w:tc>
        <w:tc>
          <w:tcPr>
            <w:tcW w:w="3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231"/>
              <w:spacing w:after="0"/>
              <w:rPr>
                <w:sz w:val="20"/>
                <w:szCs w:val="20"/>
                <w:color w:val="auto"/>
              </w:rPr>
            </w:pPr>
            <w:r>
              <w:rPr>
                <w:rFonts w:ascii="Times New Roman" w:cs="Times New Roman" w:eastAsia="Times New Roman" w:hAnsi="Times New Roman"/>
                <w:sz w:val="18"/>
                <w:szCs w:val="18"/>
                <w:color w:val="auto"/>
              </w:rPr>
              <w:t>157</w:t>
            </w:r>
          </w:p>
        </w:tc>
        <w:tc>
          <w:tcPr>
            <w:tcW w:w="48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373,648</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shd w:val="clear" w:color="auto" w:fill="CCEEFF"/>
          </w:tcPr>
          <w:p>
            <w:pPr>
              <w:spacing w:after="0"/>
              <w:rPr>
                <w:sz w:val="19"/>
                <w:szCs w:val="19"/>
                <w:color w:val="auto"/>
              </w:rPr>
            </w:pPr>
          </w:p>
        </w:tc>
        <w:tc>
          <w:tcPr>
            <w:tcW w:w="360" w:type="dxa"/>
            <w:vAlign w:val="bottom"/>
            <w:shd w:val="clear" w:color="auto" w:fill="BFE4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55,910</w:t>
            </w:r>
          </w:p>
        </w:tc>
        <w:tc>
          <w:tcPr>
            <w:tcW w:w="100" w:type="dxa"/>
            <w:vAlign w:val="bottom"/>
            <w:shd w:val="clear" w:color="auto" w:fill="CCEEFF"/>
          </w:tcPr>
          <w:p>
            <w:pPr>
              <w:spacing w:after="0"/>
              <w:rPr>
                <w:sz w:val="19"/>
                <w:szCs w:val="19"/>
                <w:color w:val="auto"/>
              </w:rPr>
            </w:pPr>
          </w:p>
        </w:tc>
        <w:tc>
          <w:tcPr>
            <w:tcW w:w="1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318,606</w:t>
            </w:r>
          </w:p>
        </w:tc>
        <w:tc>
          <w:tcPr>
            <w:tcW w:w="0" w:type="dxa"/>
            <w:vAlign w:val="bottom"/>
          </w:tcPr>
          <w:p>
            <w:pPr>
              <w:spacing w:after="0"/>
              <w:rPr>
                <w:sz w:val="1"/>
                <w:szCs w:val="1"/>
                <w:color w:val="auto"/>
              </w:rPr>
            </w:pPr>
          </w:p>
        </w:tc>
      </w:tr>
      <w:tr>
        <w:trPr>
          <w:trHeight w:val="232"/>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2022</w:t>
            </w:r>
          </w:p>
        </w:tc>
        <w:tc>
          <w:tcPr>
            <w:tcW w:w="1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374,818</w:t>
            </w:r>
          </w:p>
        </w:tc>
        <w:tc>
          <w:tcPr>
            <w:tcW w:w="2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23,066</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rPr>
              <w:t>168</w:t>
            </w:r>
          </w:p>
        </w:tc>
        <w:tc>
          <w:tcPr>
            <w:tcW w:w="480" w:type="dxa"/>
            <w:vAlign w:val="bottom"/>
          </w:tcPr>
          <w:p>
            <w:pPr>
              <w:spacing w:after="0"/>
              <w:rPr>
                <w:sz w:val="20"/>
                <w:szCs w:val="20"/>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398,052</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62,645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335,418</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the remaining unrealized loss to be accreted on securities that were transferred from AFS to HTM on April 1, 2022.</w:t>
      </w:r>
    </w:p>
    <w:p>
      <w:pPr>
        <w:spacing w:after="0" w:line="180"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applicable taxes. No ACL for securities AFS was needed at December 31, 2023. See note #3 to the Consolidated Financial Statements included within this report for further discussion.</w:t>
      </w:r>
    </w:p>
    <w:p>
      <w:pPr>
        <w:spacing w:after="0" w:line="123"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17"/>
          <w:szCs w:val="17"/>
          <w:color w:val="auto"/>
        </w:rPr>
        <w:t>For securities HTM an ACL is maintained at a level which represents our best estimate of expected credit losses. This ACL is a contra asset valuation account that is deducted from the carrying amount of securities HTM to present the net amount expected to be collected. Securities HTM are charged off against the ACL when deemed uncollectible. Adjustments to the ACL are reported in our Consolidated Statements of Operations in provision for credit loss. We measure expected credit losses on securities HTM on a collective basis by major security type with each type sharing similar risk characteristics and consider historical credit loss information.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historical loss rates for given bond ratings, (3) the financial condition of the issuer, and (4) whether issuers continue to make timely principal and interest payments under the contractual terms of the securities. During the first quarter of 2023, one corporate security (Signature Bank) defaulted resulting in a $3.0 million provision for credit losses and a corresponding full</w:t>
      </w:r>
    </w:p>
    <w:p>
      <w:pPr>
        <w:spacing w:after="0" w:line="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charge-off during that period. Despite this lone security loss, the long-term historical loss rates associated with securities having similar grades as those in our portfolio have been insignificant. See note #3 to the Consolidated Financial Statements included within this report for further discussion.</w:t>
      </w:r>
    </w:p>
    <w:p>
      <w:pPr>
        <w:spacing w:after="0" w:line="175"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Portfolio Loans and asset quality. </w:t>
      </w:r>
      <w:r>
        <w:rPr>
          <w:rFonts w:ascii="Times New Roman" w:cs="Times New Roman" w:eastAsia="Times New Roman" w:hAnsi="Times New Roman"/>
          <w:sz w:val="18"/>
          <w:szCs w:val="18"/>
          <w:color w:val="auto"/>
        </w:rPr>
        <w:t>In addition to the communities served by our Bank branch and loan production office network, our principal lending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17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127" w:lineRule="exact"/>
        <w:rPr>
          <w:sz w:val="20"/>
          <w:szCs w:val="20"/>
          <w:color w:val="auto"/>
        </w:rPr>
      </w:pPr>
    </w:p>
    <w:p>
      <w:pPr>
        <w:jc w:val="both"/>
        <w:ind w:firstLine="320"/>
        <w:spacing w:after="0" w:line="239" w:lineRule="auto"/>
        <w:rPr>
          <w:sz w:val="20"/>
          <w:szCs w:val="20"/>
          <w:color w:val="auto"/>
        </w:rPr>
      </w:pPr>
      <w:r>
        <w:rPr>
          <w:rFonts w:ascii="Times New Roman" w:cs="Times New Roman" w:eastAsia="Times New Roman" w:hAnsi="Times New Roman"/>
          <w:sz w:val="18"/>
          <w:szCs w:val="18"/>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The retention of newly originated fixed rate jumbo mortgage loans has declined relative to the prior year as the growth in mortgage loans during 2023 has primarily been attributed to the origination of adjustable-rate mortgage loans as well as the continued advances on legacy fixed rate construction mortgage loans. (See “Asset/liability management”).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PORTFOLIO SEGMENTS</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following table summarizes each loan portfolio segment by (1) scheduled repayments and (2) predetermined (fixed) interest rate and/or adjustable (variable) interest rate at December 31, 2023: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Mortgage</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Installment</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0"/>
        </w:trPr>
        <w:tc>
          <w:tcPr>
            <w:tcW w:w="5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149,655</w:t>
            </w:r>
          </w:p>
        </w:tc>
      </w:tr>
      <w:tr>
        <w:trPr>
          <w:trHeight w:val="22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but within five years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458,969</w:t>
            </w:r>
          </w:p>
        </w:tc>
      </w:tr>
      <w:tr>
        <w:trPr>
          <w:trHeight w:val="22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but within 15 years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1,111,577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1,640,083</w:t>
            </w:r>
          </w:p>
        </w:tc>
      </w:tr>
      <w:tr>
        <w:trPr>
          <w:trHeight w:val="227"/>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15 years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1,366,786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1,542,194</w:t>
            </w:r>
          </w:p>
        </w:tc>
      </w:tr>
      <w:tr>
        <w:trPr>
          <w:trHeight w:val="245"/>
        </w:trPr>
        <w:tc>
          <w:tcPr>
            <w:tcW w:w="50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1,679,731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1,485,872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625,298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3,790,901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2,364,288</w:t>
            </w:r>
          </w:p>
        </w:tc>
      </w:tr>
      <w:tr>
        <w:trPr>
          <w:trHeight w:val="227"/>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rate</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851,242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570,443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1,426,613</w:t>
            </w:r>
          </w:p>
        </w:tc>
      </w:tr>
      <w:tr>
        <w:trPr>
          <w:trHeight w:val="245"/>
        </w:trPr>
        <w:tc>
          <w:tcPr>
            <w:tcW w:w="50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1,679,731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1,485,872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625,298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3,790,901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855"/>
        </w:trPr>
        <w:tc>
          <w:tcPr>
            <w:tcW w:w="5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3"/>
        </w:trPr>
        <w:tc>
          <w:tcPr>
            <w:tcW w:w="5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 2023, we sold $56.7 million of portfolio residential fixed and adjustable rate mortgage loans. In 2022, we sold $63.0 million of portfolio residential fixed and adjustable rate mortgage loans servicing retained. In addition, in the fourth quarter of 2022 we reclassified $20.4 million (fair value of $20.4 million) of portfolio mortgage loans to held for sale. These loans were sold to another financial institution on a servicing retained basis during the first quarter of 2023. During 2021, we sold $9.6 million of portfolio residential fixed rate mortgage loans servicing retained. In addition, in the fourth quarter of 2021 we reclassified $34.8 million (fair value of $34.8 million) of portfolio mortgage loans to held for sale. These loans were sold to other financial institutions on a servicing retained basis during the first quarter of 2022. These loan sale transactions were done primarily for asset/liability management purposes.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 PORTFOLIO COMPOSITION</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30"/>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Real estate</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1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first mortgages</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1,248,911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1,081,359</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home equity and other junior mortgages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157,006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138,944</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241,715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319,157</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line="22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1,036,590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874,019</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624,047</w:t>
            </w:r>
          </w:p>
        </w:tc>
        <w:tc>
          <w:tcPr>
            <w:tcW w:w="0" w:type="dxa"/>
            <w:vAlign w:val="bottom"/>
          </w:tcPr>
          <w:p>
            <w:pPr>
              <w:spacing w:after="0"/>
              <w:rPr>
                <w:sz w:val="1"/>
                <w:szCs w:val="1"/>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483,129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423,055</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0" w:type="dxa"/>
            <w:vAlign w:val="bottom"/>
          </w:tcPr>
          <w:p>
            <w:pPr>
              <w:spacing w:after="0"/>
              <w:rPr>
                <w:sz w:val="1"/>
                <w:szCs w:val="1"/>
                <w:color w:val="auto"/>
              </w:rPr>
            </w:pPr>
          </w:p>
        </w:tc>
      </w:tr>
      <w:tr>
        <w:trPr>
          <w:trHeight w:val="22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loans</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3,790,901</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3,465,352</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9" w:lineRule="exact"/>
        <w:rPr>
          <w:sz w:val="20"/>
          <w:szCs w:val="20"/>
          <w:color w:val="auto"/>
        </w:rPr>
      </w:pPr>
    </w:p>
    <w:p>
      <w:pPr>
        <w:ind w:left="320" w:hanging="313"/>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both residential and non-residential commercial loans secured by real estate.</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loans secured by multi-family residential and non-farm, non-residential property.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NON-PERFORMING ASSETS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66"/>
        </w:trPr>
        <w:tc>
          <w:tcPr>
            <w:tcW w:w="6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20"/>
        </w:trPr>
        <w:tc>
          <w:tcPr>
            <w:tcW w:w="6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0"/>
        </w:trPr>
        <w:tc>
          <w:tcPr>
            <w:tcW w:w="6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(Dollars in thousands)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w:t>
            </w: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6,991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5,381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5,545</w:t>
            </w:r>
          </w:p>
        </w:tc>
      </w:tr>
      <w:tr>
        <w:trPr>
          <w:trHeight w:val="227"/>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90 days or more past due and still accruing interest</w:t>
            </w:r>
          </w:p>
        </w:tc>
        <w:tc>
          <w:tcPr>
            <w:tcW w:w="36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63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 total</w:t>
            </w:r>
          </w:p>
        </w:tc>
        <w:tc>
          <w:tcPr>
            <w:tcW w:w="3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7,423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5,381</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5,545</w:t>
            </w:r>
          </w:p>
        </w:tc>
      </w:tr>
      <w:tr>
        <w:trPr>
          <w:trHeight w:val="227"/>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Government guaranteed loans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2,191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1,660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435</w:t>
            </w:r>
          </w:p>
        </w:tc>
      </w:tr>
      <w:tr>
        <w:trPr>
          <w:trHeight w:val="220"/>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5,110</w:t>
            </w:r>
          </w:p>
        </w:tc>
      </w:tr>
      <w:tr>
        <w:trPr>
          <w:trHeight w:val="227"/>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real estate and repossessed assets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245</w:t>
            </w:r>
          </w:p>
        </w:tc>
      </w:tr>
      <w:tr>
        <w:trPr>
          <w:trHeight w:val="245"/>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5,801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4,176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5,355</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6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 percent of Portfolio Loans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7"/>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Non-accrual loans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0.19 %</w:t>
            </w:r>
          </w:p>
        </w:tc>
      </w:tr>
      <w:tr>
        <w:trPr>
          <w:trHeight w:val="227"/>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Non-performing loans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0.18</w:t>
            </w:r>
          </w:p>
        </w:tc>
      </w:tr>
      <w:tr>
        <w:trPr>
          <w:trHeight w:val="227"/>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ACL</w:t>
            </w:r>
          </w:p>
        </w:tc>
        <w:tc>
          <w:tcPr>
            <w:tcW w:w="36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1.63</w:t>
            </w:r>
          </w:p>
        </w:tc>
      </w:tr>
      <w:tr>
        <w:trPr>
          <w:trHeight w:val="22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0.11</w:t>
            </w:r>
          </w:p>
        </w:tc>
      </w:tr>
      <w:tr>
        <w:trPr>
          <w:trHeight w:val="227"/>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ACL as a percent of non-accrual loans</w:t>
            </w:r>
          </w:p>
        </w:tc>
        <w:tc>
          <w:tcPr>
            <w:tcW w:w="36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781.83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974.45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852.16</w:t>
            </w:r>
          </w:p>
        </w:tc>
      </w:tr>
      <w:tr>
        <w:trPr>
          <w:trHeight w:val="22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ACL as a percent of non-performing loans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1044.69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1409.16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924.70</w:t>
            </w:r>
          </w:p>
        </w:tc>
      </w:tr>
    </w:tbl>
    <w:p>
      <w:pPr>
        <w:spacing w:after="0" w:line="200" w:lineRule="exact"/>
        <w:rPr>
          <w:sz w:val="20"/>
          <w:szCs w:val="20"/>
          <w:color w:val="auto"/>
        </w:rPr>
      </w:pPr>
    </w:p>
    <w:p>
      <w:pPr>
        <w:spacing w:after="0" w:line="32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Non-performing loans totaled $5.2 million, $3.7 million and $5.1 million at December 31, 2023, 2022 and 2021, respectively. The increase in 2023 compared to 2022 was primarily due to a $1.1 million increase in the residential mortgage loan portfolio segment. Our collection and resolution efforts have generally resulted in a stable trend in non-performing loans. The decrease in non-performing loans in 2022 as compared to 2021 was primarily due to a $1.4 million decrease in the residential mortgage loan portfolio segment which was primarily attributed to loan payoffs and pay downs.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real estate (“ORE”) and repossessed assets totaled $0.6 million at December 31, 2023, compared to $0.5 million at December 31, 2022.</w:t>
      </w:r>
    </w:p>
    <w:p>
      <w:pPr>
        <w:spacing w:after="0" w:line="220"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ACL as a percent of non-accrual and non-performing loans decreased during 2023 due primarily to an increase in non-accrual and non-performing loans partially offset by an increase in the ACL related to pooled analysis of loans while the increase in 2022 was due primarily to an increase in the ACL related to specific allocations and pooled analysis of loans as well as a decrease in non-accrual and non-performing loans.</w:t>
      </w:r>
    </w:p>
    <w:p>
      <w:pPr>
        <w:spacing w:after="0" w:line="17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ALLOCATION OF THE ALLOWANCE FOR CREDIT LOSSES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7"/>
        </w:trPr>
        <w:tc>
          <w:tcPr>
            <w:tcW w:w="818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vMerge w:val="restart"/>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26"/>
        </w:trPr>
        <w:tc>
          <w:tcPr>
            <w:tcW w:w="8180" w:type="dxa"/>
            <w:vAlign w:val="bottom"/>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Specific allocations</w:t>
            </w:r>
          </w:p>
        </w:tc>
        <w:tc>
          <w:tcPr>
            <w:tcW w:w="9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0" w:type="dxa"/>
            <w:vAlign w:val="bottom"/>
          </w:tcPr>
          <w:p>
            <w:pPr>
              <w:spacing w:after="0"/>
              <w:rPr>
                <w:sz w:val="1"/>
                <w:szCs w:val="1"/>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Pooled analysis allocations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40,944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37,662</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allocations based on subjective factors</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12,422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0" w:type="dxa"/>
            <w:vAlign w:val="bottom"/>
          </w:tcPr>
          <w:p>
            <w:pPr>
              <w:spacing w:after="0"/>
              <w:rPr>
                <w:sz w:val="1"/>
                <w:szCs w:val="1"/>
                <w:color w:val="auto"/>
              </w:rPr>
            </w:pP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54,658</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52,435</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Some loans will not be repaid in full. Therefore, an ACL is maintained at a level which represents our best estimate of expected credit losses. Our ACL is comprised of three principal elements: (i) specific analysis of individual loans identified during the review of the loan portfolio, (ii) pooled analysis of loans with similar risk characteristics based on historical experience, adjusted for current conditions, reasonable and supportable forecasts, and expected prepayments, and (iii) additional allowances based on subjective factors, including local and general economic business factors and trends, portfolio concentrations and changes in the size and/or the general terms of the loan portfolios. See notes #1 and #4 to the Consolidated Financial Statements included within this report for further discussion on the ACL.</w:t>
      </w:r>
    </w:p>
    <w:p>
      <w:pPr>
        <w:spacing w:after="0" w:line="185"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ACL increased $2.2 million to $54.7 million at December 31, 2023 from $52.4 million at December 21, 2022 and was equal to 1.44% of total Portfolio Loans at December 31, 2023.</w:t>
      </w:r>
    </w:p>
    <w:p>
      <w:pPr>
        <w:spacing w:after="0" w:line="16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Two of the three components of the ACL outlined above decreased since December 21, 2022 while one increased. The ACL related to pooled analysis of loans increased $3.3 million due primarily to loan growth in 2023. The ACL related to specific loans decreased $0.8 million due primarily to an $8.1 million decrease in the amount of such loans while the ACL related to subjective factors declined $0.3 million.</w:t>
      </w:r>
    </w:p>
    <w:p>
      <w:pPr>
        <w:spacing w:after="0" w:line="17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During 2022 two of the three components of the ACL increased since December 21, 2021. The ACL related to specific loans increased $0.9 million due primarily to a $5.2 million increase in the amount of such loans and the ACL related to pooled analysis of loans increased $4.3 million due primarily to loan growth in 2022. The ACL related to subjective factors was relatively unchanged during 2022.</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ON LOANS, SECURITIES HTM AND UNFUNDED COMMITMENTS</w:t>
      </w:r>
    </w:p>
    <w:p>
      <w:pPr>
        <w:spacing w:after="0" w:line="280" w:lineRule="exact"/>
        <w:rPr>
          <w:sz w:val="20"/>
          <w:szCs w:val="20"/>
          <w:color w:val="auto"/>
        </w:rPr>
      </w:pPr>
    </w:p>
    <w:tbl>
      <w:tblPr>
        <w:tblLayout w:type="fixed"/>
        <w:tblInd w:w="32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Unfunded</w:t>
            </w:r>
          </w:p>
        </w:tc>
      </w:tr>
      <w:tr>
        <w:trPr>
          <w:trHeight w:val="240"/>
        </w:trPr>
        <w:tc>
          <w:tcPr>
            <w:tcW w:w="53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Loans</w:t>
            </w:r>
          </w:p>
        </w:tc>
        <w:tc>
          <w:tcPr>
            <w:tcW w:w="5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Securities HTM</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Commitments</w:t>
            </w:r>
          </w:p>
        </w:tc>
      </w:tr>
      <w:tr>
        <w:trPr>
          <w:trHeight w:val="208"/>
        </w:trPr>
        <w:tc>
          <w:tcPr>
            <w:tcW w:w="5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5"/>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2020</w:t>
            </w:r>
          </w:p>
        </w:tc>
        <w:tc>
          <w:tcPr>
            <w:tcW w:w="1120" w:type="dxa"/>
            <w:vAlign w:val="bottom"/>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w:t>
            </w:r>
          </w:p>
        </w:tc>
      </w:tr>
      <w:tr>
        <w:trPr>
          <w:trHeight w:val="211"/>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Additions (deductions)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Impact of adoption of CECL</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w:t>
            </w:r>
          </w:p>
        </w:tc>
      </w:tr>
      <w:tr>
        <w:trPr>
          <w:trHeight w:val="211"/>
        </w:trPr>
        <w:tc>
          <w:tcPr>
            <w:tcW w:w="5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5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Initial allowance on loans purchased with credit deterioration</w:t>
            </w: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37"/>
        </w:trPr>
        <w:tc>
          <w:tcPr>
            <w:tcW w:w="5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Recoveries credited to the ACL</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5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Charges against the ACL</w:t>
            </w: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Additions included in non-interest expense</w:t>
            </w:r>
          </w:p>
        </w:tc>
        <w:tc>
          <w:tcPr>
            <w:tcW w:w="1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w:t>
            </w:r>
          </w:p>
        </w:tc>
      </w:tr>
      <w:tr>
        <w:trPr>
          <w:trHeight w:val="210"/>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2021</w:t>
            </w:r>
          </w:p>
        </w:tc>
        <w:tc>
          <w:tcPr>
            <w:tcW w:w="1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47,252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4,481</w:t>
            </w:r>
          </w:p>
        </w:tc>
      </w:tr>
      <w:tr>
        <w:trPr>
          <w:trHeight w:val="211"/>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Additions (deductions)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Recoveries credited to the ACL</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5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Charges against the ACL</w:t>
            </w: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Additions included in non-interest expense</w:t>
            </w:r>
          </w:p>
        </w:tc>
        <w:tc>
          <w:tcPr>
            <w:tcW w:w="1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r>
      <w:tr>
        <w:trPr>
          <w:trHeight w:val="210"/>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2022</w:t>
            </w:r>
          </w:p>
        </w:tc>
        <w:tc>
          <w:tcPr>
            <w:tcW w:w="1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52,435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5,080</w:t>
            </w:r>
          </w:p>
        </w:tc>
      </w:tr>
      <w:tr>
        <w:trPr>
          <w:trHeight w:val="211"/>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Additions (deductions)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Recoveries credited to the ACL</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5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Charges against the ACL</w:t>
            </w: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Additions included in non-interest expense</w:t>
            </w:r>
          </w:p>
        </w:tc>
        <w:tc>
          <w:tcPr>
            <w:tcW w:w="1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r>
      <w:tr>
        <w:trPr>
          <w:trHeight w:val="235"/>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2023</w:t>
            </w:r>
          </w:p>
        </w:tc>
        <w:tc>
          <w:tcPr>
            <w:tcW w:w="1120" w:type="dxa"/>
            <w:vAlign w:val="bottom"/>
            <w:tcBorders>
              <w:top w:val="single" w:sz="8" w:color="auto"/>
              <w:bottom w:val="single" w:sz="8" w:color="auto"/>
            </w:tcBorders>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54,658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5,504</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RATIO OF NET CHARGE-OFFS TO AVERAGE LOANS OUTSTANDING</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Mortgage</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Installment</w:t>
            </w: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20" w:type="dxa"/>
            <w:vAlign w:val="bottom"/>
            <w:gridSpan w:val="3"/>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charged against (recoveries credited to) the ACL</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523</w:t>
            </w:r>
          </w:p>
        </w:tc>
        <w:tc>
          <w:tcPr>
            <w:tcW w:w="3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(198)</w:t>
            </w:r>
          </w:p>
        </w:tc>
        <w:tc>
          <w:tcPr>
            <w:tcW w:w="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673</w:t>
            </w:r>
          </w:p>
        </w:tc>
        <w:tc>
          <w:tcPr>
            <w:tcW w:w="4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27"/>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Portfolio Loans</w:t>
            </w:r>
          </w:p>
        </w:tc>
        <w:tc>
          <w:tcPr>
            <w:tcW w:w="200" w:type="dxa"/>
            <w:vAlign w:val="bottom"/>
          </w:tcPr>
          <w:p>
            <w:pPr>
              <w:spacing w:after="0"/>
              <w:rPr>
                <w:sz w:val="19"/>
                <w:szCs w:val="19"/>
                <w:color w:val="auto"/>
              </w:rPr>
            </w:pPr>
          </w:p>
        </w:tc>
        <w:tc>
          <w:tcPr>
            <w:tcW w:w="14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1,537,920</w:t>
            </w:r>
          </w:p>
        </w:tc>
        <w:tc>
          <w:tcPr>
            <w:tcW w:w="300" w:type="dxa"/>
            <w:vAlign w:val="bottom"/>
          </w:tcPr>
          <w:p>
            <w:pPr>
              <w:spacing w:after="0"/>
              <w:rPr>
                <w:sz w:val="19"/>
                <w:szCs w:val="19"/>
                <w:color w:val="auto"/>
              </w:rPr>
            </w:pPr>
          </w:p>
        </w:tc>
        <w:tc>
          <w:tcPr>
            <w:tcW w:w="13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1,436,527</w:t>
            </w:r>
          </w:p>
        </w:tc>
        <w:tc>
          <w:tcPr>
            <w:tcW w:w="260" w:type="dxa"/>
            <w:vAlign w:val="bottom"/>
          </w:tcPr>
          <w:p>
            <w:pPr>
              <w:spacing w:after="0"/>
              <w:rPr>
                <w:sz w:val="19"/>
                <w:szCs w:val="19"/>
                <w:color w:val="auto"/>
              </w:rPr>
            </w:pPr>
          </w:p>
        </w:tc>
        <w:tc>
          <w:tcPr>
            <w:tcW w:w="14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637,180</w:t>
            </w:r>
          </w:p>
        </w:tc>
        <w:tc>
          <w:tcPr>
            <w:tcW w:w="40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3,611,627</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loans charged off against (credited to) the ACL to average</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Portfolio Loans</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3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0.11 %</w:t>
            </w:r>
          </w:p>
        </w:tc>
        <w:tc>
          <w:tcPr>
            <w:tcW w:w="4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0" w:type="dxa"/>
            <w:vAlign w:val="bottom"/>
          </w:tcPr>
          <w:p>
            <w:pPr>
              <w:spacing w:after="0"/>
              <w:rPr>
                <w:sz w:val="1"/>
                <w:szCs w:val="1"/>
                <w:color w:val="auto"/>
              </w:rPr>
            </w:pPr>
          </w:p>
        </w:tc>
      </w:tr>
      <w:tr>
        <w:trPr>
          <w:trHeight w:val="267"/>
        </w:trPr>
        <w:tc>
          <w:tcPr>
            <w:tcW w:w="4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charged against (recoveries credited to) the ACL</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(453)</w:t>
            </w:r>
          </w:p>
        </w:tc>
        <w:tc>
          <w:tcPr>
            <w:tcW w:w="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(365)</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808</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7"/>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Portfolio Loans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1,323,840</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1,257,528</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616,854</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3,198,222</w:t>
            </w:r>
          </w:p>
        </w:tc>
        <w:tc>
          <w:tcPr>
            <w:tcW w:w="0" w:type="dxa"/>
            <w:vAlign w:val="bottom"/>
          </w:tcPr>
          <w:p>
            <w:pPr>
              <w:spacing w:after="0"/>
              <w:rPr>
                <w:sz w:val="1"/>
                <w:szCs w:val="1"/>
                <w:color w:val="auto"/>
              </w:rPr>
            </w:pPr>
          </w:p>
        </w:tc>
      </w:tr>
      <w:tr>
        <w:trPr>
          <w:trHeight w:val="222"/>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loans charged off against (credited to) the ACL to average</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Portfolio Loans</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3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4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7"/>
        </w:trPr>
        <w:tc>
          <w:tcPr>
            <w:tcW w:w="47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charged against (recoveries credited to) the ACL</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(2,607)</w:t>
            </w:r>
          </w:p>
        </w:tc>
        <w:tc>
          <w:tcPr>
            <w:tcW w:w="3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(471)</w:t>
            </w:r>
          </w:p>
        </w:tc>
        <w:tc>
          <w:tcPr>
            <w:tcW w:w="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1,035</w:t>
            </w:r>
          </w:p>
        </w:tc>
        <w:tc>
          <w:tcPr>
            <w:tcW w:w="4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27"/>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Portfolio Loans</w:t>
            </w:r>
          </w:p>
        </w:tc>
        <w:tc>
          <w:tcPr>
            <w:tcW w:w="200" w:type="dxa"/>
            <w:vAlign w:val="bottom"/>
          </w:tcPr>
          <w:p>
            <w:pPr>
              <w:spacing w:after="0"/>
              <w:rPr>
                <w:sz w:val="19"/>
                <w:szCs w:val="19"/>
                <w:color w:val="auto"/>
              </w:rPr>
            </w:pPr>
          </w:p>
        </w:tc>
        <w:tc>
          <w:tcPr>
            <w:tcW w:w="14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1,241,961</w:t>
            </w:r>
          </w:p>
        </w:tc>
        <w:tc>
          <w:tcPr>
            <w:tcW w:w="300" w:type="dxa"/>
            <w:vAlign w:val="bottom"/>
          </w:tcPr>
          <w:p>
            <w:pPr>
              <w:spacing w:after="0"/>
              <w:rPr>
                <w:sz w:val="19"/>
                <w:szCs w:val="19"/>
                <w:color w:val="auto"/>
              </w:rPr>
            </w:pPr>
          </w:p>
        </w:tc>
        <w:tc>
          <w:tcPr>
            <w:tcW w:w="13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1,056,245</w:t>
            </w:r>
          </w:p>
        </w:tc>
        <w:tc>
          <w:tcPr>
            <w:tcW w:w="260" w:type="dxa"/>
            <w:vAlign w:val="bottom"/>
          </w:tcPr>
          <w:p>
            <w:pPr>
              <w:spacing w:after="0"/>
              <w:rPr>
                <w:sz w:val="19"/>
                <w:szCs w:val="19"/>
                <w:color w:val="auto"/>
              </w:rPr>
            </w:pPr>
          </w:p>
        </w:tc>
        <w:tc>
          <w:tcPr>
            <w:tcW w:w="14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521,089</w:t>
            </w:r>
          </w:p>
        </w:tc>
        <w:tc>
          <w:tcPr>
            <w:tcW w:w="40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2,819,295</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loans charged off against (credited to) the ACL to average</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Portfolio Loans</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3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0.20 %</w:t>
            </w:r>
          </w:p>
        </w:tc>
        <w:tc>
          <w:tcPr>
            <w:tcW w:w="4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In 2023, we recorded loan net charge offs of $1.00 million compared to loan net recoveries of $0.01 million in 2022 and loan net recoveries of $2.04 million in 2021. The net charge offs in 2023 primarily reflect modest losses in the commercial and installment loan portfolios. The net recoveries in 2022 and 2021 primarily reflect reduced levels of non-performing loans, improvement in collateral liquidation values and ongoing collection efforts on previously charged-off loans.</w:t>
      </w:r>
    </w:p>
    <w:p>
      <w:pPr>
        <w:spacing w:after="0" w:line="179"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Deposits and borrowings</w:t>
      </w:r>
      <w:r>
        <w:rPr>
          <w:rFonts w:ascii="Times New Roman" w:cs="Times New Roman" w:eastAsia="Times New Roman" w:hAnsi="Times New Roman"/>
          <w:sz w:val="18"/>
          <w:szCs w:val="18"/>
          <w:color w:val="auto"/>
        </w:rPr>
        <w:t>. Historically, the loyalty of our customer base has allowed us to price deposits competitively, contributing to a net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that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17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32" w:lineRule="exact"/>
        <w:rPr>
          <w:sz w:val="20"/>
          <w:szCs w:val="20"/>
          <w:color w:val="auto"/>
        </w:rPr>
      </w:pPr>
    </w:p>
    <w:p>
      <w:pPr>
        <w:jc w:val="both"/>
        <w:ind w:firstLine="320"/>
        <w:spacing w:after="0" w:line="239" w:lineRule="auto"/>
        <w:rPr>
          <w:sz w:val="20"/>
          <w:szCs w:val="20"/>
          <w:color w:val="auto"/>
        </w:rPr>
      </w:pPr>
      <w:r>
        <w:rPr>
          <w:rFonts w:ascii="Times New Roman" w:cs="Times New Roman" w:eastAsia="Times New Roman" w:hAnsi="Times New Roman"/>
          <w:sz w:val="18"/>
          <w:szCs w:val="18"/>
          <w:color w:val="auto"/>
        </w:rPr>
        <w:t>Deposits totaled $4.62 billion and $4.38 billion at December 31, 2023 and 2022, respectively. The $243.8 million increase in deposits during 2023 is due to growth in reciprocal deposits, time deposits and brokered time deposits that were partially offset by decreases in non-interest bearing and savings and interest-bearing checking deposits. Reciprocal deposits totaled $832.0 million and $602.6 million at December 31, 2023 and 2022, respectively. These deposits represent demand, money market and time deposits from our customers that have been placed through the IntraFi Network. This service allows our customers to access multi-million dollar FDIC deposit insurance on deposit balances greater than the standard FDIC insurance maximum.</w:t>
      </w:r>
    </w:p>
    <w:p>
      <w:pPr>
        <w:spacing w:after="0" w:line="144" w:lineRule="exact"/>
        <w:rPr>
          <w:sz w:val="20"/>
          <w:szCs w:val="20"/>
          <w:color w:val="auto"/>
        </w:rPr>
      </w:pPr>
    </w:p>
    <w:p>
      <w:pPr>
        <w:jc w:val="both"/>
        <w:ind w:firstLine="320"/>
        <w:spacing w:after="0" w:line="246" w:lineRule="auto"/>
        <w:rPr>
          <w:sz w:val="20"/>
          <w:szCs w:val="20"/>
          <w:color w:val="auto"/>
        </w:rPr>
      </w:pPr>
      <w:r>
        <w:rPr>
          <w:rFonts w:ascii="Times New Roman" w:cs="Times New Roman" w:eastAsia="Times New Roman" w:hAnsi="Times New Roman"/>
          <w:sz w:val="18"/>
          <w:szCs w:val="18"/>
          <w:color w:val="auto"/>
        </w:rPr>
        <w:t>We cannot be sure that we will be able to maintain our current level of core deposits. In particular, those deposits that are uninsured may be susceptible to outflow. A reduction in core deposits would likely increase our need to rely on wholesale funding sources. Data relating to our deposit portfolios (excluding brokered time) follows: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7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December 31,</w:t>
            </w:r>
          </w:p>
        </w:tc>
        <w:tc>
          <w:tcPr>
            <w:tcW w:w="980" w:type="dxa"/>
            <w:vAlign w:val="bottom"/>
            <w:tcBorders>
              <w:bottom w:val="single" w:sz="8" w:color="auto"/>
            </w:tcBorders>
          </w:tcPr>
          <w:p>
            <w:pPr>
              <w:spacing w:after="0"/>
              <w:rPr>
                <w:sz w:val="20"/>
                <w:szCs w:val="20"/>
                <w:color w:val="auto"/>
              </w:rPr>
            </w:pPr>
          </w:p>
        </w:tc>
      </w:tr>
      <w:tr>
        <w:trPr>
          <w:trHeight w:val="220"/>
        </w:trPr>
        <w:tc>
          <w:tcPr>
            <w:tcW w:w="73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w w:val="94"/>
              </w:rPr>
              <w:t>2022</w:t>
            </w:r>
          </w:p>
        </w:tc>
      </w:tr>
      <w:tr>
        <w:trPr>
          <w:trHeight w:val="220"/>
        </w:trPr>
        <w:tc>
          <w:tcPr>
            <w:tcW w:w="7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(Dollars in thousands)</w:t>
            </w:r>
          </w:p>
        </w:tc>
        <w:tc>
          <w:tcPr>
            <w:tcW w:w="980" w:type="dxa"/>
            <w:vAlign w:val="bottom"/>
          </w:tcPr>
          <w:p>
            <w:pPr>
              <w:spacing w:after="0"/>
              <w:rPr>
                <w:sz w:val="19"/>
                <w:szCs w:val="19"/>
                <w:color w:val="auto"/>
              </w:rPr>
            </w:pPr>
          </w:p>
        </w:tc>
      </w:tr>
      <w:tr>
        <w:trPr>
          <w:trHeight w:val="227"/>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Uninsured deposits (1)</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961,974</w:t>
            </w:r>
          </w:p>
        </w:tc>
        <w:tc>
          <w:tcPr>
            <w:tcW w:w="800" w:type="dxa"/>
            <w:vAlign w:val="bottom"/>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975,938</w:t>
            </w:r>
          </w:p>
        </w:tc>
      </w:tr>
      <w:tr>
        <w:trPr>
          <w:trHeight w:val="227"/>
        </w:trPr>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Uninsured deposits as a percentage of deposits</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8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7"/>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Average deposit account size</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20.38</w:t>
            </w:r>
          </w:p>
        </w:tc>
        <w:tc>
          <w:tcPr>
            <w:tcW w:w="800" w:type="dxa"/>
            <w:vAlign w:val="bottom"/>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r>
      <w:tr>
        <w:trPr>
          <w:trHeight w:val="227"/>
        </w:trPr>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Balance of top 100 largest depositors</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890,289</w:t>
            </w:r>
          </w:p>
        </w:tc>
        <w:tc>
          <w:tcPr>
            <w:tcW w:w="80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752,924</w:t>
            </w:r>
          </w:p>
        </w:tc>
      </w:tr>
      <w:tr>
        <w:trPr>
          <w:trHeight w:val="227"/>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Balance of top 100 depositors as a percentage of deposits</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8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bl>
    <w:p>
      <w:pPr>
        <w:spacing w:after="0" w:line="315" w:lineRule="exact"/>
        <w:rPr>
          <w:sz w:val="20"/>
          <w:szCs w:val="20"/>
          <w:color w:val="auto"/>
        </w:rPr>
      </w:pPr>
    </w:p>
    <w:p>
      <w:pPr>
        <w:ind w:right="100" w:firstLine="7"/>
        <w:spacing w:after="0" w:line="277" w:lineRule="auto"/>
        <w:tabs>
          <w:tab w:leader="none" w:pos="25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exclude intercompany related deposits of $51.2 million and $55.2 million respectively. Uninsured deposits reported in our Call Report at December 31, 2023 and December 31, 2022 totaled $1,013.2 million and $1,031.2 million, respectively.</w:t>
      </w:r>
    </w:p>
    <w:p>
      <w:pPr>
        <w:spacing w:after="0" w:line="163" w:lineRule="exact"/>
        <w:rPr>
          <w:sz w:val="20"/>
          <w:szCs w:val="20"/>
          <w:color w:val="auto"/>
        </w:rPr>
      </w:pPr>
    </w:p>
    <w:p>
      <w:pPr>
        <w:jc w:val="both"/>
        <w:ind w:right="100" w:firstLine="320"/>
        <w:spacing w:after="0" w:line="257" w:lineRule="auto"/>
        <w:rPr>
          <w:sz w:val="20"/>
          <w:szCs w:val="20"/>
          <w:color w:val="auto"/>
        </w:rPr>
      </w:pPr>
      <w:r>
        <w:rPr>
          <w:rFonts w:ascii="Times New Roman" w:cs="Times New Roman" w:eastAsia="Times New Roman" w:hAnsi="Times New Roman"/>
          <w:sz w:val="18"/>
          <w:szCs w:val="18"/>
          <w:color w:val="auto"/>
        </w:rPr>
        <w:t>We have also implemented strategies that incorporate using federal funds purchased, other borrowings and Brokered CDs to fund a portion of our interest-earning assets. The use of such alternate sources of funds supplements our core deposits and is also a part of our asset/liability management efforts. Other borrowings, comprised primarily of borrowings from the Federal Reserve Bank ("FRB") and advances from the Federal Home Loan Bank (the “FHLB”), totaled $50.0 million and $86.0 million at December 31, 2023 and 2022.</w:t>
      </w:r>
    </w:p>
    <w:p>
      <w:pPr>
        <w:spacing w:after="0" w:line="181" w:lineRule="exact"/>
        <w:rPr>
          <w:sz w:val="20"/>
          <w:szCs w:val="20"/>
          <w:color w:val="auto"/>
        </w:rPr>
      </w:pPr>
    </w:p>
    <w:p>
      <w:pPr>
        <w:jc w:val="both"/>
        <w:ind w:right="100" w:firstLine="320"/>
        <w:spacing w:after="0" w:line="251" w:lineRule="auto"/>
        <w:rPr>
          <w:sz w:val="20"/>
          <w:szCs w:val="20"/>
          <w:color w:val="auto"/>
        </w:rPr>
      </w:pPr>
      <w:r>
        <w:rPr>
          <w:rFonts w:ascii="Times New Roman" w:cs="Times New Roman" w:eastAsia="Times New Roman" w:hAnsi="Times New Roman"/>
          <w:sz w:val="18"/>
          <w:szCs w:val="18"/>
          <w:color w:val="auto"/>
        </w:rPr>
        <w:t>As described above, we utilize wholesale funding, including federal funds purchased, FRB and FHLB borrowings and Brokered CDs to augment our core deposits and fund a portion of our assets. At December 31, 2023, our use of such wholesale funding sources (including reciprocal deposits) amounted to approximately $1.17 billion, or 25.0% of total funding (deposits and total borrowings, excluding subordinated debt and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187" w:lineRule="exact"/>
        <w:rPr>
          <w:sz w:val="20"/>
          <w:szCs w:val="20"/>
          <w:color w:val="auto"/>
        </w:rPr>
      </w:pPr>
    </w:p>
    <w:p>
      <w:pPr>
        <w:jc w:val="both"/>
        <w:ind w:right="100" w:firstLine="320"/>
        <w:spacing w:after="0" w:line="252" w:lineRule="auto"/>
        <w:rPr>
          <w:sz w:val="20"/>
          <w:szCs w:val="20"/>
          <w:color w:val="auto"/>
        </w:rPr>
      </w:pPr>
      <w:r>
        <w:rPr>
          <w:rFonts w:ascii="Times New Roman" w:cs="Times New Roman" w:eastAsia="Times New Roman" w:hAnsi="Times New Roman"/>
          <w:sz w:val="18"/>
          <w:szCs w:val="18"/>
          <w:color w:val="auto"/>
        </w:rPr>
        <w:t>We have historically employed derivative financial instruments to manage our exposure to changes in interest rates. During 2023, 2022 and 2021, we entered into $134.6 million, $94.2 million and $79.0 million (original aggregate notional amounts), respectively, of interest rate swaps with commercial loan customers, which were offset with interest rate swaps that the Bank entered into with a broker-dealer. We recorded $2.05 million, $1.42 million and $0.81 million of fee income related to these transactions during 2023, 2022 and 2021, respectively. We entered into $175.0 million, $41.0 million, and $106.9 million (notional amounts) of certain derivative financial instruments (pay fixed interest rate swap and interest rate cap agreements) to hedge the fair value of certain loans and/or municipal bond securities in 2023, 2022 and 2021, respectively. We also entered into $150.0 million (notional amount) of interest rate floor agreements to manage the variability in future expected cash flows of certain commercial loans during 2023</w:t>
      </w:r>
    </w:p>
    <w:p>
      <w:pPr>
        <w:spacing w:after="0" w:line="185" w:lineRule="exact"/>
        <w:rPr>
          <w:sz w:val="20"/>
          <w:szCs w:val="20"/>
          <w:color w:val="auto"/>
        </w:rPr>
      </w:pPr>
    </w:p>
    <w:p>
      <w:pPr>
        <w:jc w:val="both"/>
        <w:ind w:right="100" w:firstLine="3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Liquidity risk is the risk of being unable to timely meet obligations as they come due at a reasonable funding cost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incurring unacceptable losses. Our liquidity management involves the measurement and monitoring of a variety of sources and uses of funds. Our Consolidated Statements of Cash Flows categorize these sources and uses into operating, investing and financing activities. We primarily focus our liquidity management on maintaining adequate levels of liquid assets (primarily funds on deposit with the FRB and certain securities AFS) as well as developing access to a variety of borrowing sources to supplement our deposit gathering activities and provide funds for purchasing securities available for sale or originating Portfolio Loans as well as to be able to respond to unforeseen liquidity needs.</w:t>
      </w:r>
    </w:p>
    <w:p>
      <w:pPr>
        <w:spacing w:after="0" w:line="147" w:lineRule="exact"/>
        <w:rPr>
          <w:sz w:val="20"/>
          <w:szCs w:val="20"/>
          <w:color w:val="auto"/>
        </w:rPr>
      </w:pPr>
    </w:p>
    <w:p>
      <w:pPr>
        <w:jc w:val="both"/>
        <w:ind w:right="100" w:firstLine="320"/>
        <w:spacing w:after="0" w:line="254" w:lineRule="auto"/>
        <w:rPr>
          <w:sz w:val="20"/>
          <w:szCs w:val="20"/>
          <w:color w:val="auto"/>
        </w:rPr>
      </w:pPr>
      <w:r>
        <w:rPr>
          <w:rFonts w:ascii="Times New Roman" w:cs="Times New Roman" w:eastAsia="Times New Roman" w:hAnsi="Times New Roman"/>
          <w:sz w:val="18"/>
          <w:szCs w:val="18"/>
          <w:color w:val="auto"/>
        </w:rPr>
        <w:t>Our primary sources of funds include our deposit base, secured advances from the FHLB and FRB, federal funds purchased borrowing facilities with other banks, and access to the capital markets (for Brokered CDs). At December 31 2023, in addition to liquidity available from our normal operating, funding and investing activities we had unused credit lines with the FHLB and FRB of approximately $1,014.4 million and $515.4 million, respectively. We also had approximately $813.8 million in fair value of unpledged securities AFS and HTM at December 31, 2023, which could be pledged for an estimated additional borrowing capacity at the FHLB and FRB of approximately $754.6 million.</w:t>
      </w:r>
    </w:p>
    <w:p>
      <w:pPr>
        <w:spacing w:after="0" w:line="200" w:lineRule="exact"/>
        <w:rPr>
          <w:sz w:val="20"/>
          <w:szCs w:val="20"/>
          <w:color w:val="auto"/>
        </w:rPr>
      </w:pPr>
    </w:p>
    <w:p>
      <w:pPr>
        <w:spacing w:after="0" w:line="3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 DEPOSITS</w:t>
      </w:r>
      <w:r>
        <w:rPr>
          <w:rFonts w:ascii="Times New Roman" w:cs="Times New Roman" w:eastAsia="Times New Roman" w:hAnsi="Times New Roman"/>
          <w:sz w:val="23"/>
          <w:szCs w:val="23"/>
          <w:b w:val="1"/>
          <w:bCs w:val="1"/>
          <w:color w:val="auto"/>
          <w:vertAlign w:val="superscript"/>
        </w:rPr>
        <w:t>(1)</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time deposits in amounts less than $250,000 and in amounts of $250,000 or more, by time remaining until maturity at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Greater than</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63"/>
        </w:trPr>
        <w:tc>
          <w:tcPr>
            <w:tcW w:w="66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$250,000</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$250,000</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0"/>
        </w:trPr>
        <w:tc>
          <w:tcPr>
            <w:tcW w:w="6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or less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467,754</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 three through six months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283,556</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six months through one year</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137,466</w:t>
            </w:r>
          </w:p>
        </w:tc>
      </w:tr>
      <w:tr>
        <w:trPr>
          <w:trHeight w:val="227"/>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one year</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29,295</w:t>
            </w:r>
          </w:p>
        </w:tc>
      </w:tr>
      <w:tr>
        <w:trPr>
          <w:trHeight w:val="245"/>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741,503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176,568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918,071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time deposits, brokered time deposits and reciprocal time deposits</w:t>
      </w:r>
    </w:p>
    <w:p>
      <w:pPr>
        <w:spacing w:after="0" w:line="20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At December 31, 2023, we had $888.8 million of time deposits (see note #8 to the Consolidated Financial Statements) that mature in the next 12 months. Historically, a majority of these maturing time deposits are renewed by our customers. Additionally, $3.70 billion of our deposits at December 31, 2023,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18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18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We believe that we currently have adequate liquidity at our Bank because of our cash and cash equivalents, our portfolio of securities AFS, our access to secured advances from the FHLB and FRB, and our ability to issue Brokered CDs.</w:t>
      </w:r>
    </w:p>
    <w:p>
      <w:pPr>
        <w:spacing w:after="0" w:line="16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also believe that the available cash on hand at the parent company (including time deposits) of approximately $46.5 million as of December 31, 2023, provides sufficient liquidity resources at the parent company to meet operating expenses, to make interest payments on the subordinated debt and debentures, and, along with dividends from the Bank, to pay projected cash dividends on our common stock.</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In the normal course of business we enter into certain contractual obligations. Such obligations include requirements to make future payments on debt and lease arrangements, contractual commitments for capital expenditures, and service contracts.</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Effective management of capital resources is critical to our mission to create value for our shareholders. In addition to common stock, our capital structure also currently includes subordinated debt and cumulative trust preferred securities.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66"/>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20"/>
        </w:trPr>
        <w:tc>
          <w:tcPr>
            <w:tcW w:w="8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20"/>
        </w:trPr>
        <w:tc>
          <w:tcPr>
            <w:tcW w:w="8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19"/>
                <w:szCs w:val="19"/>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debt</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39,433</w:t>
            </w: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debentures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39,660</w:t>
            </w: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not qualifying as regulatory capital</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2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Amount qualifying as regulatory capital</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78,504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78,436</w:t>
            </w:r>
          </w:p>
        </w:tc>
      </w:tr>
      <w:tr>
        <w:trPr>
          <w:trHeight w:val="20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317,483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320,991</w:t>
            </w: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159,108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119,368</w:t>
            </w:r>
          </w:p>
        </w:tc>
      </w:tr>
      <w:tr>
        <w:trPr>
          <w:trHeight w:val="227"/>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(92,763)</w:t>
            </w:r>
          </w:p>
        </w:tc>
      </w:tr>
      <w:tr>
        <w:trPr>
          <w:trHeight w:val="22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404,449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347,596</w:t>
            </w:r>
          </w:p>
        </w:tc>
      </w:tr>
      <w:tr>
        <w:trPr>
          <w:trHeight w:val="220"/>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capitalization</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482,953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426,032</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May 2020, we issued $40.0 million of fixed to floating subordinated notes with a ten year maturity and a five year call option. The initial coupon rate is 5.95% fixed for five years and then floats at the Secured Overnight Financing Rate (“SOFR”) plus 5.825%. These notes are presented in the Consolidated Statement of Financial Condition under the caption “Subordinated debt” and the December 31, 2023 and 2022 balance of $39.5 million and $39.4 million, respectively, is net of remaining unamortized deferred issuance costs of $0.5 million at those same dates, that are being amortized through the maturity date into interest expense on other borrowings and subordinated debt and debentures in our Consolidated Statement of Operations.</w:t>
      </w:r>
    </w:p>
    <w:p>
      <w:pPr>
        <w:spacing w:after="0" w:line="18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currently have four special purpose entities with $39.7 million of outstanding cumulative trust preferred securities.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Consolidated Statements of Financial Condition.</w:t>
      </w:r>
    </w:p>
    <w:p>
      <w:pPr>
        <w:spacing w:after="0" w:line="127" w:lineRule="exact"/>
        <w:rPr>
          <w:sz w:val="20"/>
          <w:szCs w:val="20"/>
          <w:color w:val="auto"/>
        </w:rPr>
      </w:pPr>
    </w:p>
    <w:p>
      <w:pPr>
        <w:jc w:val="both"/>
        <w:ind w:firstLine="320"/>
        <w:spacing w:after="0" w:line="241" w:lineRule="auto"/>
        <w:rPr>
          <w:sz w:val="20"/>
          <w:szCs w:val="20"/>
          <w:color w:val="auto"/>
        </w:rPr>
      </w:pPr>
      <w:r>
        <w:rPr>
          <w:rFonts w:ascii="Times New Roman" w:cs="Times New Roman" w:eastAsia="Times New Roman" w:hAnsi="Times New Roman"/>
          <w:sz w:val="18"/>
          <w:szCs w:val="18"/>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December 31, 2023 and 2022.</w:t>
      </w:r>
    </w:p>
    <w:p>
      <w:pPr>
        <w:spacing w:after="0" w:line="19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Common shareholders’ equity increased to $404.4 million at December 31, 2023 from $347.6 million at December 31, 2022, due primarily to earnings retention and the change in our accumulated other comprehensive income (due primarily to a change in the fair value of securities AFS). Our tangible common equity (“TCE”) totaled $374.1 million and $316.7 million, respectively, at those same dates. Our ratio of TCE to tangible assets was 7.15% and 6.37% at December 31, 2023 and 2022, respectively. TCE and the ratio of TCE to tangible assets are non-GAAP measures. TCE represents total common equity less goodwill and other intangible assets.</w:t>
      </w:r>
    </w:p>
    <w:p>
      <w:pPr>
        <w:spacing w:after="0" w:line="18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In December 2023, our Board of Directors authorized the 2024 share repurchase plan. Under the terms of the 2024 share repurchase plan, we are authorized to buy back up to 1,100,000 shares, or approximately 5%, of our outstanding common stock. This repurchase plan commenced on January 1, 2024, and is expected to last through December 31, 2024.</w:t>
      </w:r>
    </w:p>
    <w:p>
      <w:pPr>
        <w:spacing w:after="0" w:line="17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In December 2022, our Board of Directors authorized the 2023 share repurchase plan. Under the original terms of the share repurchase plan, we were authorized to buy back 1,100,000 shares, or approximately 5% of our outstanding common stock. The share repurchase plan expired on December 31, 2023. We repurchased 298,601 shares during 2023 at an average cost of $17.27 per share.</w:t>
      </w:r>
    </w:p>
    <w:p>
      <w:pPr>
        <w:spacing w:after="0" w:line="176"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We currently pay a quarterly cash dividend on our common stock. The annual total dividends paid were $0.92, $0.88 and $0.84 per share for 2023, 2022 and 2021, respectively. We currently favor a dividend payout ratio between 30% and 50% of net income.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As of December 31, 2023 and 2022, our Bank (and holding company) continued to meet the requirements to be considered “well-capitalized” under federal regulatory standards (also see note #20 to the Consolidated Financial Statements).</w:t>
      </w:r>
    </w:p>
    <w:p>
      <w:pPr>
        <w:spacing w:after="0" w:line="161"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Asset/liability management. </w:t>
      </w:r>
      <w:r>
        <w:rPr>
          <w:rFonts w:ascii="Times New Roman" w:cs="Times New Roman" w:eastAsia="Times New Roman" w:hAnsi="Times New Roman"/>
          <w:sz w:val="18"/>
          <w:szCs w:val="18"/>
          <w:color w:val="auto"/>
        </w:rPr>
        <w:t>Interest-rate risk is created by differences in the cash flow characteristics of our assets and liabilities. Options embedded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financial instruments, including caps on adjustable-rate loans as well as borrowers’ rights to prepay fixed-rate loans, also create interest-rate risk.</w:t>
      </w:r>
    </w:p>
    <w:p>
      <w:pPr>
        <w:spacing w:after="0" w:line="16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Our asset/liability management efforts identify and evaluate opportunities to structure our assets and liabilities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132" w:lineRule="exact"/>
        <w:rPr>
          <w:sz w:val="20"/>
          <w:szCs w:val="20"/>
          <w:color w:val="auto"/>
        </w:rPr>
      </w:pPr>
    </w:p>
    <w:p>
      <w:pPr>
        <w:jc w:val="both"/>
        <w:ind w:firstLine="320"/>
        <w:spacing w:after="0" w:line="233" w:lineRule="auto"/>
        <w:rPr>
          <w:sz w:val="20"/>
          <w:szCs w:val="20"/>
          <w:color w:val="auto"/>
        </w:rPr>
      </w:pPr>
      <w:r>
        <w:rPr>
          <w:rFonts w:ascii="Times New Roman" w:cs="Times New Roman" w:eastAsia="Times New Roman" w:hAnsi="Times New Roman"/>
          <w:sz w:val="18"/>
          <w:szCs w:val="18"/>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inherent in our Consolidated Statements of Financial Condition.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 At December 31, 2023, both our interest rate risk profile as measured by our short term earnings simulation and our longer term interest rate risk measure based on changes in economic value indicates exposure to rising rates. These measures have increased modestly from December 31, 2022 as an adverse impact of changes in our deposit mix were largely offset by a favorable impact of additional hedging and term funding transactions. In addition, at December 31, 2023 our simulation base-rate scenario for market value of portfolio equity declined from December 31, 2022 due primarily to the changes in our funding mix. We are carefully monitoring the change in our funding mix as well as the composition of our earning assets and the impact of potential future changes in interest rates on our changes in market value of portfolio equity and changes in net interest income. As a result, we may add some longer-term borrowings, may utilize derivatives (interest rate swaps, interest rate caps and interest rate floors) to manage interest rate risk and may continue to sell some fixed rate jumbo and other portfolio mortgage loans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MARKET VALUE OF PORTFOLIO EQUITY, NET INTEREST INCOME AND NET INTEREST MARGIN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7"/>
              </w:rPr>
              <w:t>Portfolio</w:t>
            </w:r>
          </w:p>
        </w:tc>
        <w:tc>
          <w:tcPr>
            <w:tcW w:w="136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60" w:type="dxa"/>
            <w:vAlign w:val="bottom"/>
          </w:tcPr>
          <w:p>
            <w:pPr>
              <w:spacing w:after="0"/>
              <w:rPr>
                <w:sz w:val="18"/>
                <w:szCs w:val="18"/>
                <w:color w:val="auto"/>
              </w:rPr>
            </w:pPr>
          </w:p>
        </w:tc>
        <w:tc>
          <w:tcPr>
            <w:tcW w:w="1340" w:type="dxa"/>
            <w:vAlign w:val="bottom"/>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4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Net Interest</w:t>
            </w:r>
          </w:p>
        </w:tc>
        <w:tc>
          <w:tcPr>
            <w:tcW w:w="146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64"/>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Interest Rates</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4"/>
              </w:rPr>
              <w:t>Equity</w:t>
            </w:r>
            <w:r>
              <w:rPr>
                <w:rFonts w:ascii="Times New Roman" w:cs="Times New Roman" w:eastAsia="Times New Roman" w:hAnsi="Times New Roman"/>
                <w:sz w:val="23"/>
                <w:szCs w:val="23"/>
                <w:b w:val="1"/>
                <w:bCs w:val="1"/>
                <w:color w:val="auto"/>
                <w:w w:val="94"/>
                <w:vertAlign w:val="superscript"/>
              </w:rPr>
              <w:t>(1)</w:t>
            </w:r>
          </w:p>
        </w:tc>
        <w:tc>
          <w:tcPr>
            <w:tcW w:w="13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3"/>
              </w:rPr>
              <w:t>Income</w:t>
            </w:r>
            <w:r>
              <w:rPr>
                <w:rFonts w:ascii="Times New Roman" w:cs="Times New Roman" w:eastAsia="Times New Roman" w:hAnsi="Times New Roman"/>
                <w:sz w:val="23"/>
                <w:szCs w:val="23"/>
                <w:b w:val="1"/>
                <w:bCs w:val="1"/>
                <w:color w:val="auto"/>
                <w:w w:val="93"/>
                <w:vertAlign w:val="superscript"/>
              </w:rPr>
              <w:t>(2)</w:t>
            </w:r>
          </w:p>
        </w:tc>
        <w:tc>
          <w:tcPr>
            <w:tcW w:w="13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Pr>
          <w:p>
            <w:pPr>
              <w:spacing w:after="0"/>
              <w:rPr>
                <w:sz w:val="22"/>
                <w:szCs w:val="22"/>
                <w:color w:val="auto"/>
              </w:rPr>
            </w:pPr>
          </w:p>
        </w:tc>
        <w:tc>
          <w:tcPr>
            <w:tcW w:w="15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Margin(3)</w:t>
            </w:r>
          </w:p>
        </w:tc>
        <w:tc>
          <w:tcPr>
            <w:tcW w:w="100" w:type="dxa"/>
            <w:vAlign w:val="bottom"/>
          </w:tcPr>
          <w:p>
            <w:pPr>
              <w:spacing w:after="0"/>
              <w:rPr>
                <w:sz w:val="22"/>
                <w:szCs w:val="22"/>
                <w:color w:val="auto"/>
              </w:rPr>
            </w:pPr>
          </w:p>
        </w:tc>
        <w:tc>
          <w:tcPr>
            <w:tcW w:w="14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0"/>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960" w:type="dxa"/>
            <w:vAlign w:val="bottom"/>
            <w:gridSpan w:val="3"/>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2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basis point rise</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447,600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166,000</w:t>
            </w:r>
          </w:p>
        </w:tc>
        <w:tc>
          <w:tcPr>
            <w:tcW w:w="1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7"/>
              </w:rPr>
              <w:t>3.30 %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751"/>
              <w:spacing w:after="0"/>
              <w:rPr>
                <w:sz w:val="20"/>
                <w:szCs w:val="20"/>
                <w:color w:val="auto"/>
              </w:rPr>
            </w:pPr>
            <w:r>
              <w:rPr>
                <w:rFonts w:ascii="Times New Roman" w:cs="Times New Roman" w:eastAsia="Times New Roman" w:hAnsi="Times New Roman"/>
                <w:sz w:val="18"/>
                <w:szCs w:val="18"/>
                <w:color w:val="auto"/>
                <w:w w:val="99"/>
              </w:rPr>
              <w:t>(2.37)%</w:t>
            </w:r>
          </w:p>
        </w:tc>
        <w:tc>
          <w:tcPr>
            <w:tcW w:w="0" w:type="dxa"/>
            <w:vAlign w:val="bottom"/>
          </w:tcPr>
          <w:p>
            <w:pPr>
              <w:spacing w:after="0"/>
              <w:rPr>
                <w:sz w:val="1"/>
                <w:szCs w:val="1"/>
                <w:color w:val="auto"/>
              </w:rPr>
            </w:pPr>
          </w:p>
        </w:tc>
      </w:tr>
      <w:tr>
        <w:trPr>
          <w:trHeight w:val="227"/>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 rise</w:t>
            </w:r>
          </w:p>
        </w:tc>
        <w:tc>
          <w:tcPr>
            <w:tcW w:w="220" w:type="dxa"/>
            <w:vAlign w:val="bottom"/>
          </w:tcPr>
          <w:p>
            <w:pPr>
              <w:spacing w:after="0"/>
              <w:rPr>
                <w:sz w:val="19"/>
                <w:szCs w:val="19"/>
                <w:color w:val="auto"/>
              </w:rPr>
            </w:pP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494,500</w:t>
            </w: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(8.63)</w:t>
            </w:r>
          </w:p>
        </w:tc>
        <w:tc>
          <w:tcPr>
            <w:tcW w:w="260" w:type="dxa"/>
            <w:vAlign w:val="bottom"/>
          </w:tcPr>
          <w:p>
            <w:pPr>
              <w:spacing w:after="0"/>
              <w:rPr>
                <w:sz w:val="19"/>
                <w:szCs w:val="19"/>
                <w:color w:val="auto"/>
              </w:rPr>
            </w:pP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168,300</w:t>
            </w:r>
          </w:p>
        </w:tc>
        <w:tc>
          <w:tcPr>
            <w:tcW w:w="1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(0.71)</w:t>
            </w:r>
          </w:p>
        </w:tc>
        <w:tc>
          <w:tcPr>
            <w:tcW w:w="80" w:type="dxa"/>
            <w:vAlign w:val="bottom"/>
          </w:tcPr>
          <w:p>
            <w:pPr>
              <w:spacing w:after="0"/>
              <w:rPr>
                <w:sz w:val="19"/>
                <w:szCs w:val="19"/>
                <w:color w:val="auto"/>
              </w:rPr>
            </w:pPr>
          </w:p>
        </w:tc>
        <w:tc>
          <w:tcPr>
            <w:tcW w:w="15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1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27"/>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Base-rate scenario</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541,200</w:t>
            </w:r>
          </w:p>
        </w:tc>
        <w:tc>
          <w:tcPr>
            <w:tcW w:w="1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169,500</w:t>
            </w:r>
          </w:p>
        </w:tc>
        <w:tc>
          <w:tcPr>
            <w:tcW w:w="14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75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7"/>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 decline</w:t>
            </w:r>
          </w:p>
        </w:tc>
        <w:tc>
          <w:tcPr>
            <w:tcW w:w="220" w:type="dxa"/>
            <w:vAlign w:val="bottom"/>
          </w:tcPr>
          <w:p>
            <w:pPr>
              <w:spacing w:after="0"/>
              <w:rPr>
                <w:sz w:val="19"/>
                <w:szCs w:val="19"/>
                <w:color w:val="auto"/>
              </w:rPr>
            </w:pP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582,800</w:t>
            </w:r>
          </w:p>
        </w:tc>
        <w:tc>
          <w:tcPr>
            <w:tcW w:w="1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7.69</w:t>
            </w:r>
          </w:p>
        </w:tc>
        <w:tc>
          <w:tcPr>
            <w:tcW w:w="260" w:type="dxa"/>
            <w:vAlign w:val="bottom"/>
          </w:tcPr>
          <w:p>
            <w:pPr>
              <w:spacing w:after="0"/>
              <w:rPr>
                <w:sz w:val="19"/>
                <w:szCs w:val="19"/>
                <w:color w:val="auto"/>
              </w:rPr>
            </w:pP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169,000</w:t>
            </w:r>
          </w:p>
        </w:tc>
        <w:tc>
          <w:tcPr>
            <w:tcW w:w="1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tcPr>
          <w:p>
            <w:pPr>
              <w:spacing w:after="0"/>
              <w:rPr>
                <w:sz w:val="19"/>
                <w:szCs w:val="19"/>
                <w:color w:val="auto"/>
              </w:rPr>
            </w:pPr>
          </w:p>
        </w:tc>
        <w:tc>
          <w:tcPr>
            <w:tcW w:w="15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9"/>
                <w:szCs w:val="19"/>
                <w:color w:val="auto"/>
              </w:rPr>
            </w:pPr>
          </w:p>
        </w:tc>
        <w:tc>
          <w:tcPr>
            <w:tcW w:w="1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27"/>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basis point decline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603,200</w:t>
            </w:r>
          </w:p>
        </w:tc>
        <w:tc>
          <w:tcPr>
            <w:tcW w:w="1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11.46</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167,800</w:t>
            </w:r>
          </w:p>
        </w:tc>
        <w:tc>
          <w:tcPr>
            <w:tcW w:w="1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49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basis point rise</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457,800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165,800</w:t>
            </w:r>
          </w:p>
        </w:tc>
        <w:tc>
          <w:tcPr>
            <w:tcW w:w="1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(0.90)%</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7"/>
              </w:rPr>
              <w:t>3.46 %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751"/>
              <w:spacing w:after="0"/>
              <w:rPr>
                <w:sz w:val="20"/>
                <w:szCs w:val="20"/>
                <w:color w:val="auto"/>
              </w:rPr>
            </w:pPr>
            <w:r>
              <w:rPr>
                <w:rFonts w:ascii="Times New Roman" w:cs="Times New Roman" w:eastAsia="Times New Roman" w:hAnsi="Times New Roman"/>
                <w:sz w:val="18"/>
                <w:szCs w:val="18"/>
                <w:color w:val="auto"/>
                <w:w w:val="99"/>
              </w:rPr>
              <w:t>(0.86)%</w:t>
            </w:r>
          </w:p>
        </w:tc>
        <w:tc>
          <w:tcPr>
            <w:tcW w:w="0" w:type="dxa"/>
            <w:vAlign w:val="bottom"/>
          </w:tcPr>
          <w:p>
            <w:pPr>
              <w:spacing w:after="0"/>
              <w:rPr>
                <w:sz w:val="1"/>
                <w:szCs w:val="1"/>
                <w:color w:val="auto"/>
              </w:rPr>
            </w:pPr>
          </w:p>
        </w:tc>
      </w:tr>
      <w:tr>
        <w:trPr>
          <w:trHeight w:val="227"/>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 rise</w:t>
            </w:r>
          </w:p>
        </w:tc>
        <w:tc>
          <w:tcPr>
            <w:tcW w:w="220" w:type="dxa"/>
            <w:vAlign w:val="bottom"/>
          </w:tcPr>
          <w:p>
            <w:pPr>
              <w:spacing w:after="0"/>
              <w:rPr>
                <w:sz w:val="19"/>
                <w:szCs w:val="19"/>
                <w:color w:val="auto"/>
              </w:rPr>
            </w:pP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500,700</w:t>
            </w: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(7.98)</w:t>
            </w:r>
          </w:p>
        </w:tc>
        <w:tc>
          <w:tcPr>
            <w:tcW w:w="260" w:type="dxa"/>
            <w:vAlign w:val="bottom"/>
          </w:tcPr>
          <w:p>
            <w:pPr>
              <w:spacing w:after="0"/>
              <w:rPr>
                <w:sz w:val="19"/>
                <w:szCs w:val="19"/>
                <w:color w:val="auto"/>
              </w:rPr>
            </w:pP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167,000</w:t>
            </w:r>
          </w:p>
        </w:tc>
        <w:tc>
          <w:tcPr>
            <w:tcW w:w="1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19"/>
                <w:szCs w:val="19"/>
                <w:color w:val="auto"/>
              </w:rPr>
            </w:pPr>
          </w:p>
        </w:tc>
        <w:tc>
          <w:tcPr>
            <w:tcW w:w="15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1460" w:type="dxa"/>
            <w:vAlign w:val="bottom"/>
          </w:tcPr>
          <w:p>
            <w:pPr>
              <w:jc w:val="center"/>
              <w:ind w:left="75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7"/>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Base-rate scenario</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544,100</w:t>
            </w:r>
          </w:p>
        </w:tc>
        <w:tc>
          <w:tcPr>
            <w:tcW w:w="1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167,300</w:t>
            </w:r>
          </w:p>
        </w:tc>
        <w:tc>
          <w:tcPr>
            <w:tcW w:w="14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751"/>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7"/>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 decline</w:t>
            </w:r>
          </w:p>
        </w:tc>
        <w:tc>
          <w:tcPr>
            <w:tcW w:w="220" w:type="dxa"/>
            <w:vAlign w:val="bottom"/>
          </w:tcPr>
          <w:p>
            <w:pPr>
              <w:spacing w:after="0"/>
              <w:rPr>
                <w:sz w:val="19"/>
                <w:szCs w:val="19"/>
                <w:color w:val="auto"/>
              </w:rPr>
            </w:pP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586,400</w:t>
            </w:r>
          </w:p>
        </w:tc>
        <w:tc>
          <w:tcPr>
            <w:tcW w:w="1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7.77</w:t>
            </w:r>
          </w:p>
        </w:tc>
        <w:tc>
          <w:tcPr>
            <w:tcW w:w="260" w:type="dxa"/>
            <w:vAlign w:val="bottom"/>
          </w:tcPr>
          <w:p>
            <w:pPr>
              <w:spacing w:after="0"/>
              <w:rPr>
                <w:sz w:val="19"/>
                <w:szCs w:val="19"/>
                <w:color w:val="auto"/>
              </w:rPr>
            </w:pP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166,600</w:t>
            </w:r>
          </w:p>
        </w:tc>
        <w:tc>
          <w:tcPr>
            <w:tcW w:w="1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tcPr>
          <w:p>
            <w:pPr>
              <w:spacing w:after="0"/>
              <w:rPr>
                <w:sz w:val="19"/>
                <w:szCs w:val="19"/>
                <w:color w:val="auto"/>
              </w:rPr>
            </w:pPr>
          </w:p>
        </w:tc>
        <w:tc>
          <w:tcPr>
            <w:tcW w:w="15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1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27"/>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basis point decline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608,800</w:t>
            </w:r>
          </w:p>
        </w:tc>
        <w:tc>
          <w:tcPr>
            <w:tcW w:w="1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11.89</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164,000</w:t>
            </w:r>
          </w:p>
        </w:tc>
        <w:tc>
          <w:tcPr>
            <w:tcW w:w="1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9" w:lineRule="exact"/>
        <w:rPr>
          <w:sz w:val="20"/>
          <w:szCs w:val="20"/>
          <w:color w:val="auto"/>
        </w:rPr>
      </w:pPr>
    </w:p>
    <w:p>
      <w:pPr>
        <w:jc w:val="both"/>
        <w:ind w:left="320" w:hanging="313"/>
        <w:spacing w:after="0" w:line="247" w:lineRule="auto"/>
        <w:tabs>
          <w:tab w:leader="none" w:pos="3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spacing w:after="0" w:line="1" w:lineRule="exact"/>
        <w:rPr>
          <w:rFonts w:ascii="Times New Roman" w:cs="Times New Roman" w:eastAsia="Times New Roman" w:hAnsi="Times New Roman"/>
          <w:sz w:val="18"/>
          <w:szCs w:val="18"/>
          <w:color w:val="auto"/>
        </w:rPr>
      </w:pPr>
    </w:p>
    <w:p>
      <w:pPr>
        <w:jc w:val="both"/>
        <w:ind w:left="320" w:hanging="313"/>
        <w:spacing w:after="0" w:line="247" w:lineRule="auto"/>
        <w:tabs>
          <w:tab w:leader="none" w:pos="3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Simulation analyses calculate the change in net interest income under immediate parallel shifts in interest rates over the next twelve months, based upon a static Consolidated Statement of Financial Condition, which includes debt and related financial derivative instruments, and do not consider loan fees or loan origination costs.</w:t>
      </w:r>
    </w:p>
    <w:p>
      <w:pPr>
        <w:spacing w:after="0" w:line="1" w:lineRule="exact"/>
        <w:rPr>
          <w:rFonts w:ascii="Times New Roman" w:cs="Times New Roman" w:eastAsia="Times New Roman" w:hAnsi="Times New Roman"/>
          <w:sz w:val="18"/>
          <w:szCs w:val="18"/>
          <w:color w:val="auto"/>
        </w:rPr>
      </w:pPr>
    </w:p>
    <w:p>
      <w:pPr>
        <w:jc w:val="both"/>
        <w:ind w:left="320" w:hanging="313"/>
        <w:spacing w:after="0" w:line="251" w:lineRule="auto"/>
        <w:tabs>
          <w:tab w:leader="none" w:pos="3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Simulation analyses calculate the change in tax equivalent net interest income as a percent of average interest-earning assets (the “net interest margin”) under immediate parallel shifts in interest rates over the next twelve months, based upon a static statement of financial condition, which includes debt and related financial derivative instruments, and do not consider loan fees or loan origination costs.</w:t>
      </w:r>
    </w:p>
    <w:p>
      <w:pPr>
        <w:spacing w:after="0" w:line="184"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Accounting Standards Update. </w:t>
      </w:r>
      <w:r>
        <w:rPr>
          <w:rFonts w:ascii="Times New Roman" w:cs="Times New Roman" w:eastAsia="Times New Roman" w:hAnsi="Times New Roman"/>
          <w:sz w:val="18"/>
          <w:szCs w:val="18"/>
          <w:color w:val="auto"/>
        </w:rPr>
        <w:t>See note #1 to the Consolidated Financial Statements included elsewhere in this report for details on recently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pronouncements and their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VALUATION OF FINANCIAL INSTRUMENTS</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Financial Accounting Standards Board (“FASB”) Accounting Standards Codification (“ASC”) topic 820 - “Fair 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76"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Securities AFS, loans held for sale, carried at fair value,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fair value accounting or write-downs of individual assets. See note #21 to the Consolidated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for a complete discussion on our use of fair valuation of financial instruments and the related measurement techniques.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LITIGATION MATTERS</w:t>
      </w:r>
    </w:p>
    <w:p>
      <w:pPr>
        <w:spacing w:after="0" w:line="22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8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accounting and reporting policies are in accordance with accounting principles generally accepted in the United States of America and conform to general practices within the banking industry. Accounting and reporting policies for the ACL and capitalized mortgage loan servicing rights are deemed critical since they involve the use of estimates and require significant management judgments. Application of assumptions different than those that we have used could result in material changes in our financial position or results of operations.</w:t>
      </w:r>
    </w:p>
    <w:p>
      <w:pPr>
        <w:spacing w:after="0" w:line="181"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Our methodology for determining the ACL and related provision for credit losses is described above in “Portfolio Loans and asset quality.” In particular, this area of accounting requires a significant amount of judgment because a multitude of factors can influence the ultimate collection of a loan or other type of credit. It is extremely difficult to precisely measure the amount of expected credit losses in our loan portfolio. We use a rigorous process to attempt to accurately quantify the necessary ACL and related provision for credit losses, but there can be no assurance that our modeling process will successfully identify all of the expected credit losses in our loan portfolio. As a result, we could record future provisions for credit losses that may be significantly different than the levels that we recorded in prior periods. See also notes #1 and #4 to the Consolidated Financial Statements included within this report for further discussion on CECL.</w:t>
      </w:r>
    </w:p>
    <w:p>
      <w:pPr>
        <w:spacing w:after="0" w:line="187"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At December 31, 2023 and 2022, we had approximately $42.2 million and $42.5 million, respectively, of mortgage loan servicing rights capitalized on our Consolidated Statements of Financial Condition. The fair value of our mortgage loan servicing rights has been determined based on a valuation model used by an independent third party. There are several critical assumptions involved in establishing the value of this asset including estimated future prepayment speeds on the underlying mortgage loans, the interest rate used to discount the net cash flows from the mortgage loan servicing, the estimated amount of ancillary income that will be received in the future (such as late fees) and the estimated cost to service the mortgage loans. We believe the assumptions that we utilize in our valuation are reasonable based upon accepted industry practices for valuing mortgage loan servicing rights and represent neither the most conservative or aggressive assumptions.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REPORTING</w:t>
      </w:r>
    </w:p>
    <w:p>
      <w:pPr>
        <w:spacing w:after="0" w:line="20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management of Independent Bank Corporation is responsible for establishing and maintaining adequate internal control over financial reporting. Our internal control system was designed to provide reasonable assurance to us and the board of directors regarding the preparation and fair presentation of published financial statements.</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63"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assessed the effectiveness of our internal control over financial reporting as of December 31, 2023. In making this assessment, we used the criteria established in the 2013 Internal Control — Integrated Framework issued by the Committee of Sponsoring Organizations of the Treadway Commission (COSO). Based on our assessment, management has concluded that as of December 31, 2023, the Company’s internal control over financial reporting was effective to provide reasonable assurance regarding the reliability of financial reporting and the preparation of financial statements for external purposes in accordance with generally accepted accounting principles.</w:t>
      </w:r>
    </w:p>
    <w:p>
      <w:pPr>
        <w:spacing w:after="0" w:line="18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2023, that have materially affected, or are reasonably likely to materially affect, our internal control over financial reporting.</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Our independent registered public accounting firm has issued an audit report on the effectiveness of the Company’s internal control over financial reporting as of December 31, 2023. Their report immediately follows our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157480</wp:posOffset>
            </wp:positionV>
            <wp:extent cx="1931670" cy="550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1931670" cy="55054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157480</wp:posOffset>
            </wp:positionV>
            <wp:extent cx="677545" cy="550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677545" cy="550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B. Kessel</w:t>
            </w:r>
          </w:p>
        </w:tc>
        <w:tc>
          <w:tcPr>
            <w:tcW w:w="73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Gavin A. Mohr</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w:t>
            </w:r>
          </w:p>
        </w:tc>
        <w:tc>
          <w:tcPr>
            <w:tcW w:w="73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2"/>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73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and Chief Financial Officer</w:t>
            </w:r>
          </w:p>
        </w:tc>
      </w:tr>
      <w:tr>
        <w:trPr>
          <w:trHeight w:val="515"/>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Bank Corporation</w:t>
            </w:r>
          </w:p>
        </w:tc>
        <w:tc>
          <w:tcPr>
            <w:tcW w:w="7360" w:type="dxa"/>
            <w:vAlign w:val="bottom"/>
          </w:tcPr>
          <w:p>
            <w:pPr>
              <w:spacing w:after="0"/>
              <w:rPr>
                <w:sz w:val="24"/>
                <w:szCs w:val="24"/>
                <w:color w:val="auto"/>
              </w:rPr>
            </w:pPr>
          </w:p>
        </w:tc>
      </w:tr>
      <w:tr>
        <w:trPr>
          <w:trHeight w:val="232"/>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8, 2024</w:t>
            </w:r>
          </w:p>
        </w:tc>
        <w:tc>
          <w:tcPr>
            <w:tcW w:w="7360" w:type="dxa"/>
            <w:vAlign w:val="bottom"/>
          </w:tcPr>
          <w:p>
            <w:pPr>
              <w:spacing w:after="0"/>
              <w:rPr>
                <w:sz w:val="20"/>
                <w:szCs w:val="20"/>
                <w:color w:val="auto"/>
              </w:rPr>
            </w:pPr>
          </w:p>
        </w:tc>
      </w:tr>
      <w:tr>
        <w:trPr>
          <w:trHeight w:val="921"/>
        </w:trPr>
        <w:tc>
          <w:tcPr>
            <w:tcW w:w="3880" w:type="dxa"/>
            <w:vAlign w:val="bottom"/>
          </w:tcPr>
          <w:p>
            <w:pPr>
              <w:spacing w:after="0"/>
              <w:rPr>
                <w:sz w:val="24"/>
                <w:szCs w:val="24"/>
                <w:color w:val="auto"/>
              </w:rPr>
            </w:pPr>
          </w:p>
        </w:tc>
        <w:tc>
          <w:tcPr>
            <w:tcW w:w="7360" w:type="dxa"/>
            <w:vAlign w:val="bottom"/>
          </w:tcPr>
          <w:p>
            <w:pPr>
              <w:jc w:val="right"/>
              <w:ind w:right="5431"/>
              <w:spacing w:after="0"/>
              <w:rPr>
                <w:sz w:val="20"/>
                <w:szCs w:val="20"/>
                <w:color w:val="auto"/>
              </w:rPr>
            </w:pPr>
            <w:r>
              <w:rPr>
                <w:rFonts w:ascii="Times New Roman" w:cs="Times New Roman" w:eastAsia="Times New Roman" w:hAnsi="Times New Roman"/>
                <w:sz w:val="18"/>
                <w:szCs w:val="18"/>
                <w:color w:val="auto"/>
              </w:rPr>
              <w:t>54</w:t>
            </w:r>
          </w:p>
        </w:tc>
      </w:tr>
      <w:tr>
        <w:trPr>
          <w:trHeight w:val="113"/>
        </w:trPr>
        <w:tc>
          <w:tcPr>
            <w:tcW w:w="3880" w:type="dxa"/>
            <w:vAlign w:val="bottom"/>
            <w:tcBorders>
              <w:bottom w:val="single" w:sz="8" w:color="9A9A9A"/>
            </w:tcBorders>
          </w:tcPr>
          <w:p>
            <w:pPr>
              <w:spacing w:after="0"/>
              <w:rPr>
                <w:sz w:val="9"/>
                <w:szCs w:val="9"/>
                <w:color w:val="auto"/>
              </w:rPr>
            </w:pPr>
          </w:p>
        </w:tc>
        <w:tc>
          <w:tcPr>
            <w:tcW w:w="73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the Board of Directors of Independent Bank Corporation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condition of Independent Bank Corporation (the “Corporation”) as of December 31, 2023 and 2022, the related consolidated statements of operations, comprehensive income (loss), shareholders’ equity, and cash flows for each of the years in the three-year period ended December 31, 2023, and the related notes (collectively referred to as the "financial statements"). We also have audited the Corporation’s internal control over financial reporting as of December 31, 2023, based on criteria established in Internal Control – Integrated Framework: (2013) issued by the Committee of Sponsoring Organizations of the Treadway Commission (COSO).</w:t>
      </w:r>
    </w:p>
    <w:p>
      <w:pPr>
        <w:spacing w:after="0" w:line="212" w:lineRule="exact"/>
        <w:rPr>
          <w:sz w:val="20"/>
          <w:szCs w:val="20"/>
          <w:color w:val="auto"/>
        </w:rPr>
      </w:pPr>
    </w:p>
    <w:p>
      <w:pPr>
        <w:ind w:right="100" w:firstLine="320"/>
        <w:spacing w:after="0" w:line="254"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the Corporation as of December 31, 2023 and 2022, and the results of its operations and its cash flows for each of the years in the three-year period ended December 31, 2023 in conformity with accounting principles generally accepted in the United States of America. Also in our opinion, the Corporation maintained, in all material respects, effective internal control over financial reporting as of December 31, 2023, based on criteria established in Internal Control – Integrated Framework: (2013) issued by COSO.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157" w:lineRule="exact"/>
        <w:rPr>
          <w:sz w:val="20"/>
          <w:szCs w:val="20"/>
          <w:color w:val="auto"/>
        </w:rPr>
      </w:pPr>
    </w:p>
    <w:p>
      <w:pPr>
        <w:jc w:val="both"/>
        <w:ind w:firstLine="320"/>
        <w:spacing w:after="0" w:line="239" w:lineRule="auto"/>
        <w:rPr>
          <w:sz w:val="20"/>
          <w:szCs w:val="20"/>
          <w:color w:val="auto"/>
        </w:rPr>
      </w:pPr>
      <w:r>
        <w:rPr>
          <w:rFonts w:ascii="Times New Roman" w:cs="Times New Roman" w:eastAsia="Times New Roman" w:hAnsi="Times New Roman"/>
          <w:sz w:val="18"/>
          <w:szCs w:val="18"/>
          <w:color w:val="auto"/>
        </w:rPr>
        <w:t>As discussed in Note 1 to the financial statements, the Corporation has changed its method of accounting for credit losses effective January 1, 2021 due to the adoption of Financial Accounting Standards Board (“FASB”) Accounting Standards Codification No. 326, Financial Instruments - Credit Losses (“ASC 326”). The Corporation adopted the new credit loss standard using the modified retrospective method such that prior period amounts are not adjusted and continue to be reported in accordance with previously applicable generally accepted accounting principles. Certain aspects of the application of the new credit loss standard are communicated as a critical audit matter below.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22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Corporation’s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Corporation’s financial statements and an opinion on the Corporation’s internal control over financial reporting based on our audits. We are a public accounting firm registered with the Public Company Accounting Oversight Board (United States) ("PCAOB") and are required to be independent with respect to the Corporation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4"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A corporations’s internal control over financial reporting is a process designed to provide reasonable assurance regarding the reliability of financial reporting and the preparation of financial statements for external purposes in accordance with generally accepted accounting principles. A corporation’s internal control over financial reporting includes those policies and procedures that (1) pertain to the maintenance of records that, in reasonable detail, accurately and fairly reflect the transactions and dispositions of the assets of the corporation; (2) provide reasonable assurance that transactions are recorded as necessary to permit preparation of financial statements in accordance with generally accepted accounting principles, and that receipts and expenditures of the corporation are being made only in accordance with authorizations of management and directors of the corporation; and (3) provide reasonable assurance regarding prevention or timely detection of unauthorized acquisition, use, or disposition of the corporation’s assets that could have a material effect on the financial statements.</w:t>
      </w:r>
    </w:p>
    <w:p>
      <w:pPr>
        <w:spacing w:after="0" w:line="21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(ACL) for loans – Subjective Factors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Notes 1 and 4 to the Consolidated Financial Statements.</w:t>
      </w:r>
    </w:p>
    <w:p>
      <w:pPr>
        <w:spacing w:after="0" w:line="247"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On January 1, 2021 (“adoption date”), the Corporation adopted ASU 2016-13, Financial Instruments – Credit Losses (Topic 326) under a modified retrospective approach, which required the Corporation to estimate expected credit losses for its financial assets carried at amortized cost utilizing the current expected credit loss (“CECL”) methodology. The ACL under the CECL methodology is a significant estimate recorded within the Corporation’s financial statements with a reported balance for loans of $54.7 million as of December 31, 2023. The ACL model for loans consists of three components: 1) the specific analysis of individually evaluated loans; 2) pooled analysis of loans with similar risk characteristics based on historical experience using a discounted cash flow model, adjusted for current conditions, reasonable and supportable forecasts and expected prepayments; and 3) additional allowances based on subjective factors.</w:t>
      </w:r>
    </w:p>
    <w:p>
      <w:pPr>
        <w:spacing w:after="0" w:line="21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subjective factors include consideration of the following: local and general economic business factors and trends, portfolio concentrations and changes in the size, and/or the general terms of the overall loan portfolio. Due to the significant judgment applied by management to determine the effect of the subjective factors, we identified the effect of the subjective factors on the ACL for loans as a critical audit matter as it involved a high degree of auditor judgment and required significant audit effort, including the need to involve more experienced audit personnel.</w:t>
      </w:r>
    </w:p>
    <w:p>
      <w:pPr>
        <w:spacing w:after="0" w:line="3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3" w:lineRule="exact"/>
        <w:rPr>
          <w:sz w:val="20"/>
          <w:szCs w:val="20"/>
          <w:color w:val="auto"/>
        </w:rPr>
      </w:pPr>
    </w:p>
    <w:p>
      <w:pPr>
        <w:ind w:left="640" w:hanging="313"/>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effectiveness of controls over the subjective factors used in the ACL calculation including controls addressing:</w:t>
      </w:r>
    </w:p>
    <w:p>
      <w:pPr>
        <w:spacing w:after="0" w:line="113" w:lineRule="exact"/>
        <w:rPr>
          <w:rFonts w:ascii="Times New Roman" w:cs="Times New Roman" w:eastAsia="Times New Roman" w:hAnsi="Times New Roman"/>
          <w:sz w:val="18"/>
          <w:szCs w:val="18"/>
          <w:color w:val="auto"/>
        </w:rPr>
      </w:pPr>
    </w:p>
    <w:p>
      <w:pPr>
        <w:ind w:left="1280" w:hanging="313"/>
        <w:spacing w:after="0" w:line="277" w:lineRule="auto"/>
        <w:tabs>
          <w:tab w:leader="none" w:pos="129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review of the reasonableness of the significant assumptions applied in the development of the subjective factors and the relevance to the loan segment to which they are applied.</w:t>
      </w:r>
    </w:p>
    <w:p>
      <w:pPr>
        <w:spacing w:after="0" w:line="55"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Mathematical accuracy of the subjective factors applied to the loan segments in the ACL calculation.</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Substantively testing management’s determination of the subjective factors used in the ACL estimate, including:</w:t>
      </w:r>
    </w:p>
    <w:p>
      <w:pPr>
        <w:spacing w:after="0" w:line="113" w:lineRule="exact"/>
        <w:rPr>
          <w:rFonts w:ascii="Times New Roman" w:cs="Times New Roman" w:eastAsia="Times New Roman" w:hAnsi="Times New Roman"/>
          <w:sz w:val="18"/>
          <w:szCs w:val="18"/>
          <w:color w:val="auto"/>
        </w:rPr>
      </w:pPr>
    </w:p>
    <w:p>
      <w:pPr>
        <w:ind w:left="1280" w:hanging="313"/>
        <w:spacing w:after="0" w:line="277" w:lineRule="auto"/>
        <w:tabs>
          <w:tab w:leader="none" w:pos="127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management’s process for developing the subjective factors, which included assessing the relevance and reliability of data used to develop the subjective factors, including evaluating their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80"/>
        <w:spacing w:after="0" w:line="277" w:lineRule="auto"/>
        <w:rPr>
          <w:sz w:val="20"/>
          <w:szCs w:val="20"/>
          <w:color w:val="auto"/>
        </w:rPr>
      </w:pPr>
      <w:r>
        <w:rPr>
          <w:rFonts w:ascii="Times New Roman" w:cs="Times New Roman" w:eastAsia="Times New Roman" w:hAnsi="Times New Roman"/>
          <w:sz w:val="18"/>
          <w:szCs w:val="18"/>
          <w:color w:val="auto"/>
        </w:rPr>
        <w:t>judgments and assumptions for reasonableness. Among other procedures, our evaluation considered evidence from internal and external sources.</w:t>
      </w:r>
    </w:p>
    <w:p>
      <w:pPr>
        <w:spacing w:after="0" w:line="56" w:lineRule="exact"/>
        <w:rPr>
          <w:sz w:val="20"/>
          <w:szCs w:val="20"/>
          <w:color w:val="auto"/>
        </w:rPr>
      </w:pPr>
    </w:p>
    <w:p>
      <w:pPr>
        <w:ind w:left="1280" w:hanging="313"/>
        <w:spacing w:after="0" w:line="277" w:lineRule="auto"/>
        <w:tabs>
          <w:tab w:leader="none" w:pos="127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Analytically evaluating the subjective factors for directional consistency, testing for reasonableness, and obtaining evidence for significant changes.</w:t>
      </w:r>
    </w:p>
    <w:p>
      <w:pPr>
        <w:spacing w:after="0" w:line="55"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mathematical accuracy of the subjective factors applied to the loan segments in the ACL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227330</wp:posOffset>
            </wp:positionV>
            <wp:extent cx="1270635" cy="5930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1270635" cy="593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Crowe LLP</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Corporation’s auditor since 2005.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Bend, Indiana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CONDITION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4"/>
          </w:tcPr>
          <w:p>
            <w:pPr>
              <w:jc w:val="center"/>
              <w:ind w:right="269"/>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share</w:t>
            </w:r>
          </w:p>
        </w:tc>
        <w:tc>
          <w:tcPr>
            <w:tcW w:w="0" w:type="dxa"/>
            <w:vAlign w:val="bottom"/>
          </w:tcPr>
          <w:p>
            <w:pPr>
              <w:spacing w:after="0"/>
              <w:rPr>
                <w:sz w:val="1"/>
                <w:szCs w:val="1"/>
                <w:color w:val="auto"/>
              </w:rPr>
            </w:pPr>
          </w:p>
        </w:tc>
      </w:tr>
      <w:tr>
        <w:trPr>
          <w:trHeight w:val="187"/>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68,208</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70,180</w:t>
            </w:r>
          </w:p>
        </w:tc>
        <w:tc>
          <w:tcPr>
            <w:tcW w:w="0" w:type="dxa"/>
            <w:vAlign w:val="bottom"/>
          </w:tcPr>
          <w:p>
            <w:pPr>
              <w:spacing w:after="0"/>
              <w:rPr>
                <w:sz w:val="1"/>
                <w:szCs w:val="1"/>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bearing deposits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101,573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4,191</w:t>
            </w:r>
          </w:p>
        </w:tc>
        <w:tc>
          <w:tcPr>
            <w:tcW w:w="0" w:type="dxa"/>
            <w:vAlign w:val="bottom"/>
          </w:tcPr>
          <w:p>
            <w:pPr>
              <w:spacing w:after="0"/>
              <w:rPr>
                <w:sz w:val="1"/>
                <w:szCs w:val="1"/>
                <w:color w:val="auto"/>
              </w:rPr>
            </w:pPr>
          </w:p>
        </w:tc>
      </w:tr>
      <w:tr>
        <w:trPr>
          <w:trHeight w:val="25"/>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169,781</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74,371</w:t>
            </w:r>
          </w:p>
        </w:tc>
        <w:tc>
          <w:tcPr>
            <w:tcW w:w="0" w:type="dxa"/>
            <w:vAlign w:val="bottom"/>
          </w:tcPr>
          <w:p>
            <w:pPr>
              <w:spacing w:after="0"/>
              <w:rPr>
                <w:sz w:val="1"/>
                <w:szCs w:val="1"/>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679,350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779,347</w:t>
            </w: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held to maturity (fair value of $318,606 at December 31, 2023 and $335,418 at December 31, 2022)</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353,988</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374,818</w:t>
            </w:r>
          </w:p>
        </w:tc>
        <w:tc>
          <w:tcPr>
            <w:tcW w:w="0" w:type="dxa"/>
            <w:vAlign w:val="bottom"/>
          </w:tcPr>
          <w:p>
            <w:pPr>
              <w:spacing w:after="0"/>
              <w:rPr>
                <w:sz w:val="1"/>
                <w:szCs w:val="1"/>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 Home Loan Bank and Federal Reserve Bank stock, at cost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17,653</w:t>
            </w: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 carried at fair value</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12,063</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26,518</w:t>
            </w:r>
          </w:p>
        </w:tc>
        <w:tc>
          <w:tcPr>
            <w:tcW w:w="0" w:type="dxa"/>
            <w:vAlign w:val="bottom"/>
          </w:tcPr>
          <w:p>
            <w:pPr>
              <w:spacing w:after="0"/>
              <w:rPr>
                <w:sz w:val="1"/>
                <w:szCs w:val="1"/>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sale, carried at lower of cost or fair value</w:t>
            </w: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20,367</w:t>
            </w: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1,679,731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1,466,853</w:t>
            </w: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Mortgage</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1,485,872</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1,368,409</w:t>
            </w:r>
          </w:p>
        </w:tc>
        <w:tc>
          <w:tcPr>
            <w:tcW w:w="0" w:type="dxa"/>
            <w:vAlign w:val="bottom"/>
          </w:tcPr>
          <w:p>
            <w:pPr>
              <w:spacing w:after="0"/>
              <w:rPr>
                <w:sz w:val="1"/>
                <w:szCs w:val="1"/>
                <w:color w:val="auto"/>
              </w:rPr>
            </w:pPr>
          </w:p>
        </w:tc>
      </w:tr>
      <w:tr>
        <w:trPr>
          <w:trHeight w:val="189"/>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Installment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625,298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630,090</w:t>
            </w:r>
          </w:p>
        </w:tc>
        <w:tc>
          <w:tcPr>
            <w:tcW w:w="0" w:type="dxa"/>
            <w:vAlign w:val="bottom"/>
          </w:tcPr>
          <w:p>
            <w:pPr>
              <w:spacing w:after="0"/>
              <w:rPr>
                <w:sz w:val="1"/>
                <w:szCs w:val="1"/>
                <w:color w:val="auto"/>
              </w:rPr>
            </w:pPr>
          </w:p>
        </w:tc>
      </w:tr>
      <w:tr>
        <w:trPr>
          <w:trHeight w:val="25"/>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Loans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3,790,901</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3,465,352</w:t>
            </w:r>
          </w:p>
        </w:tc>
        <w:tc>
          <w:tcPr>
            <w:tcW w:w="0" w:type="dxa"/>
            <w:vAlign w:val="bottom"/>
          </w:tcPr>
          <w:p>
            <w:pPr>
              <w:spacing w:after="0"/>
              <w:rPr>
                <w:sz w:val="1"/>
                <w:szCs w:val="1"/>
                <w:color w:val="auto"/>
              </w:rPr>
            </w:pPr>
          </w:p>
        </w:tc>
      </w:tr>
      <w:tr>
        <w:trPr>
          <w:trHeight w:val="21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(54,658)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(52,435)</w:t>
            </w:r>
          </w:p>
        </w:tc>
        <w:tc>
          <w:tcPr>
            <w:tcW w:w="0" w:type="dxa"/>
            <w:vAlign w:val="bottom"/>
          </w:tcPr>
          <w:p>
            <w:pPr>
              <w:spacing w:after="0"/>
              <w:rPr>
                <w:sz w:val="1"/>
                <w:szCs w:val="1"/>
                <w:color w:val="auto"/>
              </w:rPr>
            </w:pPr>
          </w:p>
        </w:tc>
      </w:tr>
      <w:tr>
        <w:trPr>
          <w:trHeight w:val="25"/>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Loans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3,736,243</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3,412,917</w:t>
            </w:r>
          </w:p>
        </w:tc>
        <w:tc>
          <w:tcPr>
            <w:tcW w:w="0" w:type="dxa"/>
            <w:vAlign w:val="bottom"/>
          </w:tcPr>
          <w:p>
            <w:pPr>
              <w:spacing w:after="0"/>
              <w:rPr>
                <w:sz w:val="1"/>
                <w:szCs w:val="1"/>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real estate and repossessed assets, net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35,523</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35,893</w:t>
            </w:r>
          </w:p>
        </w:tc>
        <w:tc>
          <w:tcPr>
            <w:tcW w:w="0" w:type="dxa"/>
            <w:vAlign w:val="bottom"/>
          </w:tcPr>
          <w:p>
            <w:pPr>
              <w:spacing w:after="0"/>
              <w:rPr>
                <w:sz w:val="1"/>
                <w:szCs w:val="1"/>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Bank-owned life insurance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54,341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55,204</w:t>
            </w: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Capitalized mortgage loan servicing rights, carried at fair value</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42,243</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42,489</w:t>
            </w:r>
          </w:p>
        </w:tc>
        <w:tc>
          <w:tcPr>
            <w:tcW w:w="0" w:type="dxa"/>
            <w:vAlign w:val="bottom"/>
          </w:tcPr>
          <w:p>
            <w:pPr>
              <w:spacing w:after="0"/>
              <w:rPr>
                <w:sz w:val="1"/>
                <w:szCs w:val="1"/>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2,551</w:t>
            </w: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28,300</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28,300</w:t>
            </w:r>
          </w:p>
        </w:tc>
        <w:tc>
          <w:tcPr>
            <w:tcW w:w="0" w:type="dxa"/>
            <w:vAlign w:val="bottom"/>
          </w:tcPr>
          <w:p>
            <w:pPr>
              <w:spacing w:after="0"/>
              <w:rPr>
                <w:sz w:val="1"/>
                <w:szCs w:val="1"/>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income and other assets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128,904</w:t>
            </w:r>
          </w:p>
        </w:tc>
        <w:tc>
          <w:tcPr>
            <w:tcW w:w="0" w:type="dxa"/>
            <w:vAlign w:val="bottom"/>
          </w:tcPr>
          <w:p>
            <w:pPr>
              <w:spacing w:after="0"/>
              <w:rPr>
                <w:sz w:val="1"/>
                <w:szCs w:val="1"/>
                <w:color w:val="auto"/>
              </w:rPr>
            </w:pPr>
          </w:p>
        </w:tc>
      </w:tr>
      <w:tr>
        <w:trPr>
          <w:trHeight w:val="25"/>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Assets</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5,263,726</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4,999,787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 and Shareholders’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1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Non-interest bearing</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1,076,093</w:t>
            </w:r>
          </w:p>
        </w:tc>
        <w:tc>
          <w:tcPr>
            <w:tcW w:w="100" w:type="dxa"/>
            <w:vAlign w:val="bottom"/>
          </w:tcPr>
          <w:p>
            <w:pPr>
              <w:spacing w:after="0"/>
              <w:rPr>
                <w:sz w:val="16"/>
                <w:szCs w:val="16"/>
                <w:color w:val="auto"/>
              </w:rPr>
            </w:pP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1,269,759</w:t>
            </w: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Savings and interest-bearing checking</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1,905,701</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1,973,308</w:t>
            </w:r>
          </w:p>
        </w:tc>
        <w:tc>
          <w:tcPr>
            <w:tcW w:w="0" w:type="dxa"/>
            <w:vAlign w:val="bottom"/>
          </w:tcPr>
          <w:p>
            <w:pPr>
              <w:spacing w:after="0"/>
              <w:rPr>
                <w:sz w:val="1"/>
                <w:szCs w:val="1"/>
                <w:color w:val="auto"/>
              </w:rPr>
            </w:pPr>
          </w:p>
        </w:tc>
      </w:tr>
      <w:tr>
        <w:trPr>
          <w:trHeight w:val="189"/>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Reciprocal</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832,020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602,575</w:t>
            </w: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Time</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524,325</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321,492</w:t>
            </w:r>
          </w:p>
        </w:tc>
        <w:tc>
          <w:tcPr>
            <w:tcW w:w="0" w:type="dxa"/>
            <w:vAlign w:val="bottom"/>
          </w:tcPr>
          <w:p>
            <w:pPr>
              <w:spacing w:after="0"/>
              <w:rPr>
                <w:sz w:val="1"/>
                <w:szCs w:val="1"/>
                <w:color w:val="auto"/>
              </w:rPr>
            </w:pPr>
          </w:p>
        </w:tc>
      </w:tr>
      <w:tr>
        <w:trPr>
          <w:trHeight w:val="189"/>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Brokered time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284,740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211,935</w:t>
            </w:r>
          </w:p>
        </w:tc>
        <w:tc>
          <w:tcPr>
            <w:tcW w:w="0" w:type="dxa"/>
            <w:vAlign w:val="bottom"/>
          </w:tcPr>
          <w:p>
            <w:pPr>
              <w:spacing w:after="0"/>
              <w:rPr>
                <w:sz w:val="1"/>
                <w:szCs w:val="1"/>
                <w:color w:val="auto"/>
              </w:rPr>
            </w:pPr>
          </w:p>
        </w:tc>
      </w:tr>
      <w:tr>
        <w:trPr>
          <w:trHeight w:val="25"/>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Deposits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4,622,879</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4,379,069</w:t>
            </w:r>
          </w:p>
        </w:tc>
        <w:tc>
          <w:tcPr>
            <w:tcW w:w="0" w:type="dxa"/>
            <w:vAlign w:val="bottom"/>
          </w:tcPr>
          <w:p>
            <w:pPr>
              <w:spacing w:after="0"/>
              <w:rPr>
                <w:sz w:val="1"/>
                <w:szCs w:val="1"/>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borrowings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50,026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86,006</w:t>
            </w: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39,510</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39,433</w:t>
            </w:r>
          </w:p>
        </w:tc>
        <w:tc>
          <w:tcPr>
            <w:tcW w:w="0" w:type="dxa"/>
            <w:vAlign w:val="bottom"/>
          </w:tcPr>
          <w:p>
            <w:pPr>
              <w:spacing w:after="0"/>
              <w:rPr>
                <w:sz w:val="1"/>
                <w:szCs w:val="1"/>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Subordinated debentures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39,728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39,660</w:t>
            </w: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107,134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108,023</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Liabilities</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4,859,277</w:t>
            </w: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4,652,191</w:t>
            </w:r>
          </w:p>
        </w:tc>
        <w:tc>
          <w:tcPr>
            <w:tcW w:w="0" w:type="dxa"/>
            <w:vAlign w:val="bottom"/>
          </w:tcPr>
          <w:p>
            <w:pPr>
              <w:spacing w:after="0"/>
              <w:rPr>
                <w:sz w:val="1"/>
                <w:szCs w:val="1"/>
                <w:color w:val="auto"/>
              </w:rPr>
            </w:pPr>
          </w:p>
        </w:tc>
      </w:tr>
      <w:tr>
        <w:trPr>
          <w:trHeight w:val="25"/>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contingent liabilities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Preferred stock, no par value, 200,000 shares authorized; none issued or outstanding</w:t>
            </w: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 no par value, 500,000,000 shares authorized; issued and outstanding: 20,835,633 shares at December 31, 2023 and</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21,063,971 shares at December 31, 2022</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317,483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320,991</w:t>
            </w: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Retained earnings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159,108</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119,368</w:t>
            </w:r>
          </w:p>
        </w:tc>
        <w:tc>
          <w:tcPr>
            <w:tcW w:w="0" w:type="dxa"/>
            <w:vAlign w:val="bottom"/>
          </w:tcPr>
          <w:p>
            <w:pPr>
              <w:spacing w:after="0"/>
              <w:rPr>
                <w:sz w:val="1"/>
                <w:szCs w:val="1"/>
                <w:color w:val="auto"/>
              </w:rPr>
            </w:pPr>
          </w:p>
        </w:tc>
      </w:tr>
      <w:tr>
        <w:trPr>
          <w:trHeight w:val="21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(72,142)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(92,763)</w:t>
            </w:r>
          </w:p>
        </w:tc>
        <w:tc>
          <w:tcPr>
            <w:tcW w:w="0" w:type="dxa"/>
            <w:vAlign w:val="bottom"/>
          </w:tcPr>
          <w:p>
            <w:pPr>
              <w:spacing w:after="0"/>
              <w:rPr>
                <w:sz w:val="1"/>
                <w:szCs w:val="1"/>
                <w:color w:val="auto"/>
              </w:rPr>
            </w:pPr>
          </w:p>
        </w:tc>
      </w:tr>
      <w:tr>
        <w:trPr>
          <w:trHeight w:val="25"/>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404,449</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347,596</w:t>
            </w:r>
          </w:p>
        </w:tc>
        <w:tc>
          <w:tcPr>
            <w:tcW w:w="0" w:type="dxa"/>
            <w:vAlign w:val="bottom"/>
          </w:tcPr>
          <w:p>
            <w:pPr>
              <w:spacing w:after="0"/>
              <w:rPr>
                <w:sz w:val="1"/>
                <w:szCs w:val="1"/>
                <w:color w:val="auto"/>
              </w:rPr>
            </w:pPr>
          </w:p>
        </w:tc>
      </w:tr>
      <w:tr>
        <w:trPr>
          <w:trHeight w:val="207"/>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5,263,726</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4,999,787</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gridSpan w:val="4"/>
          </w:tcPr>
          <w:p>
            <w:pPr>
              <w:ind w:left="35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66"/>
        </w:trPr>
        <w:tc>
          <w:tcPr>
            <w:tcW w:w="6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711"/>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20" w:type="dxa"/>
            <w:vAlign w:val="bottom"/>
            <w:tcBorders>
              <w:bottom w:val="single" w:sz="8" w:color="auto"/>
            </w:tcBorders>
          </w:tcPr>
          <w:p>
            <w:pPr>
              <w:spacing w:after="0"/>
              <w:rPr>
                <w:sz w:val="24"/>
                <w:szCs w:val="24"/>
                <w:color w:val="auto"/>
              </w:rPr>
            </w:pPr>
          </w:p>
        </w:tc>
      </w:tr>
      <w:tr>
        <w:trPr>
          <w:trHeight w:val="240"/>
        </w:trPr>
        <w:tc>
          <w:tcPr>
            <w:tcW w:w="6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5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40"/>
        </w:trPr>
        <w:tc>
          <w:tcPr>
            <w:tcW w:w="6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300" w:type="dxa"/>
            <w:vAlign w:val="bottom"/>
            <w:gridSpan w:val="7"/>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r>
      <w:tr>
        <w:trPr>
          <w:trHeight w:val="26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197,725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139,057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116,644</w:t>
            </w:r>
          </w:p>
        </w:tc>
      </w:tr>
      <w:tr>
        <w:trPr>
          <w:trHeight w:val="24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securities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Taxable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23,314</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14,488</w:t>
            </w:r>
          </w:p>
        </w:tc>
      </w:tr>
      <w:tr>
        <w:trPr>
          <w:trHeight w:val="247"/>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Tax-exempt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w:t>
            </w:r>
          </w:p>
        </w:tc>
      </w:tr>
      <w:tr>
        <w:trPr>
          <w:trHeight w:val="254"/>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47"/>
        </w:trPr>
        <w:tc>
          <w:tcPr>
            <w:tcW w:w="6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Interest Income</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239,677</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169,008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138,080</w:t>
            </w:r>
          </w:p>
        </w:tc>
      </w:tr>
      <w:tr>
        <w:trPr>
          <w:trHeight w:val="25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75,075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w:t>
            </w:r>
          </w:p>
        </w:tc>
      </w:tr>
      <w:tr>
        <w:trPr>
          <w:trHeight w:val="254"/>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borrowings and subordinated debt and debentures</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r>
      <w:tr>
        <w:trPr>
          <w:trHeight w:val="247"/>
        </w:trPr>
        <w:tc>
          <w:tcPr>
            <w:tcW w:w="6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Interest Expense</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83,348</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8,315</w:t>
            </w:r>
          </w:p>
        </w:tc>
      </w:tr>
      <w:tr>
        <w:trPr>
          <w:trHeight w:val="253"/>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Interest Income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156,329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149,561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129,765</w:t>
            </w:r>
          </w:p>
        </w:tc>
      </w:tr>
      <w:tr>
        <w:trPr>
          <w:trHeight w:val="247"/>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w:t>
            </w:r>
          </w:p>
        </w:tc>
      </w:tr>
      <w:tr>
        <w:trPr>
          <w:trHeight w:val="253"/>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150,119</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144,220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131,693</w:t>
            </w:r>
          </w:p>
        </w:tc>
      </w:tr>
      <w:tr>
        <w:trPr>
          <w:trHeight w:val="24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Interchange income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14,045</w:t>
            </w:r>
          </w:p>
        </w:tc>
      </w:tr>
      <w:tr>
        <w:trPr>
          <w:trHeight w:val="24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10,170</w:t>
            </w: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gains (losses) on assets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7"/>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Mortgage loans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35,880</w:t>
            </w:r>
          </w:p>
        </w:tc>
      </w:tr>
      <w:tr>
        <w:trPr>
          <w:trHeight w:val="26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4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loan servicing, net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w:t>
            </w:r>
          </w:p>
        </w:tc>
      </w:tr>
      <w:tr>
        <w:trPr>
          <w:trHeight w:val="254"/>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10,737</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w:t>
            </w:r>
          </w:p>
        </w:tc>
      </w:tr>
      <w:tr>
        <w:trPr>
          <w:trHeight w:val="247"/>
        </w:trPr>
        <w:tc>
          <w:tcPr>
            <w:tcW w:w="6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50,676</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61,909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76,643</w:t>
            </w:r>
          </w:p>
        </w:tc>
      </w:tr>
      <w:tr>
        <w:trPr>
          <w:trHeight w:val="25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79,969</w:t>
            </w: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Data processing</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10,823</w:t>
            </w:r>
          </w:p>
        </w:tc>
      </w:tr>
      <w:tr>
        <w:trPr>
          <w:trHeight w:val="24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net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8,794</w:t>
            </w: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Interchange expense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r>
      <w:tr>
        <w:trPr>
          <w:trHeight w:val="24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FDIC deposit insurance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4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Communications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and professional</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r>
      <w:tr>
        <w:trPr>
          <w:trHeight w:val="24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and collection</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r>
      <w:tr>
        <w:trPr>
          <w:trHeight w:val="24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related to unfunded lending commitments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related expense</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r>
      <w:tr>
        <w:trPr>
          <w:trHeight w:val="247"/>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8,163</w:t>
            </w:r>
          </w:p>
        </w:tc>
      </w:tr>
      <w:tr>
        <w:trPr>
          <w:trHeight w:val="247"/>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127,119</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128,341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131,023</w:t>
            </w:r>
          </w:p>
        </w:tc>
      </w:tr>
      <w:tr>
        <w:trPr>
          <w:trHeight w:val="247"/>
        </w:trPr>
        <w:tc>
          <w:tcPr>
            <w:tcW w:w="6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Before Income Tax</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77,313</w:t>
            </w:r>
          </w:p>
        </w:tc>
      </w:tr>
      <w:tr>
        <w:trPr>
          <w:trHeight w:val="254"/>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14,609</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14,418</w:t>
            </w:r>
          </w:p>
        </w:tc>
      </w:tr>
      <w:tr>
        <w:trPr>
          <w:trHeight w:val="253"/>
        </w:trPr>
        <w:tc>
          <w:tcPr>
            <w:tcW w:w="6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59,067</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63,351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62,895</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4"/>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2"/>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21" w:right="339" w:bottom="695"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695"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760" w:type="dxa"/>
            <w:vAlign w:val="bottom"/>
            <w:gridSpan w:val="7"/>
          </w:tcPr>
          <w:p>
            <w:pPr>
              <w:ind w:left="26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66"/>
        </w:trPr>
        <w:tc>
          <w:tcPr>
            <w:tcW w:w="66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20" w:type="dxa"/>
            <w:vAlign w:val="bottom"/>
            <w:tcBorders>
              <w:bottom w:val="single" w:sz="8" w:color="auto"/>
            </w:tcBorders>
          </w:tcPr>
          <w:p>
            <w:pPr>
              <w:spacing w:after="0"/>
              <w:rPr>
                <w:sz w:val="24"/>
                <w:szCs w:val="24"/>
                <w:color w:val="auto"/>
              </w:rPr>
            </w:pPr>
          </w:p>
        </w:tc>
      </w:tr>
      <w:tr>
        <w:trPr>
          <w:trHeight w:val="240"/>
        </w:trPr>
        <w:tc>
          <w:tcPr>
            <w:tcW w:w="66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47"/>
        </w:trPr>
        <w:tc>
          <w:tcPr>
            <w:tcW w:w="6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59,067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62,895</w:t>
            </w:r>
          </w:p>
        </w:tc>
      </w:tr>
      <w:tr>
        <w:trPr>
          <w:trHeight w:val="24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7"/>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 (loss) arising during period</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22,094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(10,644)</w:t>
            </w:r>
          </w:p>
        </w:tc>
      </w:tr>
      <w:tr>
        <w:trPr>
          <w:trHeight w:val="215"/>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Net unrealized loss at time of transfer on securities available for sale transferred to held</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5"/>
        </w:trPr>
        <w:tc>
          <w:tcPr>
            <w:tcW w:w="6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 maturity</w:t>
            </w:r>
          </w:p>
        </w:tc>
        <w:tc>
          <w:tcPr>
            <w:tcW w:w="9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Accretion of net unrealized losses on securities transferred to held to maturity</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 adjustments for (gains) losses included in earnings</w:t>
            </w:r>
          </w:p>
        </w:tc>
        <w:tc>
          <w:tcPr>
            <w:tcW w:w="9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188"/>
        </w:trPr>
        <w:tc>
          <w:tcPr>
            <w:tcW w:w="662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Unrealized gains (losses) recognized in other comprehensive income (loss) on</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9"/>
        </w:trPr>
        <w:tc>
          <w:tcPr>
            <w:tcW w:w="6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25,879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(12,055)</w:t>
            </w:r>
          </w:p>
        </w:tc>
      </w:tr>
      <w:tr>
        <w:trPr>
          <w:trHeight w:val="260"/>
        </w:trPr>
        <w:tc>
          <w:tcPr>
            <w:tcW w:w="6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r>
      <w:tr>
        <w:trPr>
          <w:trHeight w:val="188"/>
        </w:trPr>
        <w:tc>
          <w:tcPr>
            <w:tcW w:w="662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Unrealized gains (losses) recognized in other comprehensive income (loss) on</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9"/>
        </w:trPr>
        <w:tc>
          <w:tcPr>
            <w:tcW w:w="66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securities available for sale, net of tax</w:t>
            </w: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20,444</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(93,264)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(9,523)</w:t>
            </w:r>
          </w:p>
        </w:tc>
      </w:tr>
      <w:tr>
        <w:trPr>
          <w:trHeight w:val="24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7"/>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losses arising during period</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 adjustment for expense recognized in earnings</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8"/>
        </w:trPr>
        <w:tc>
          <w:tcPr>
            <w:tcW w:w="662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Unrealized gains recognized in other comprehensive income (loss) on derivative</w:t>
            </w:r>
          </w:p>
        </w:tc>
        <w:tc>
          <w:tcPr>
            <w:tcW w:w="9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39"/>
        </w:trPr>
        <w:tc>
          <w:tcPr>
            <w:tcW w:w="6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instruments</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0"/>
        </w:trPr>
        <w:tc>
          <w:tcPr>
            <w:tcW w:w="6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8"/>
        </w:trPr>
        <w:tc>
          <w:tcPr>
            <w:tcW w:w="662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Unrealized gains recognized in other comprehensive income (loss) on derivative</w:t>
            </w:r>
          </w:p>
        </w:tc>
        <w:tc>
          <w:tcPr>
            <w:tcW w:w="9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39"/>
        </w:trPr>
        <w:tc>
          <w:tcPr>
            <w:tcW w:w="6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instruments, net of tax</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2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20,621</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(93,264)</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w:t>
            </w:r>
          </w:p>
        </w:tc>
      </w:tr>
      <w:tr>
        <w:trPr>
          <w:trHeight w:val="253"/>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79,688</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(29,913)</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53,372</w:t>
            </w:r>
          </w:p>
        </w:tc>
      </w:tr>
      <w:tr>
        <w:trPr>
          <w:trHeight w:val="20"/>
        </w:trPr>
        <w:tc>
          <w:tcPr>
            <w:tcW w:w="6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620" w:type="dxa"/>
            <w:vAlign w:val="bottom"/>
            <w:gridSpan w:val="10"/>
          </w:tcPr>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44"/>
        </w:trPr>
        <w:tc>
          <w:tcPr>
            <w:tcW w:w="4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0"/>
        </w:trPr>
        <w:tc>
          <w:tcPr>
            <w:tcW w:w="4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line="201" w:lineRule="exact"/>
              <w:rPr>
                <w:sz w:val="20"/>
                <w:szCs w:val="20"/>
                <w:color w:val="auto"/>
              </w:rPr>
            </w:pPr>
            <w:r>
              <w:rPr>
                <w:rFonts w:ascii="Times New Roman" w:cs="Times New Roman" w:eastAsia="Times New Roman" w:hAnsi="Times New Roman"/>
                <w:sz w:val="18"/>
                <w:szCs w:val="18"/>
                <w:b w:val="1"/>
                <w:bCs w:val="1"/>
                <w:color w:val="auto"/>
                <w:w w:val="95"/>
              </w:rPr>
              <w:t>Other</w:t>
            </w:r>
          </w:p>
        </w:tc>
        <w:tc>
          <w:tcPr>
            <w:tcW w:w="180" w:type="dxa"/>
            <w:vAlign w:val="bottom"/>
          </w:tcPr>
          <w:p>
            <w:pPr>
              <w:spacing w:after="0"/>
              <w:rPr>
                <w:sz w:val="17"/>
                <w:szCs w:val="17"/>
                <w:color w:val="auto"/>
              </w:rPr>
            </w:pPr>
          </w:p>
        </w:tc>
        <w:tc>
          <w:tcPr>
            <w:tcW w:w="1400" w:type="dxa"/>
            <w:vAlign w:val="bottom"/>
          </w:tcPr>
          <w:p>
            <w:pPr>
              <w:jc w:val="center"/>
              <w:ind w:right="91"/>
              <w:spacing w:after="0" w:line="201" w:lineRule="exact"/>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00"/>
        </w:trPr>
        <w:tc>
          <w:tcPr>
            <w:tcW w:w="4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2"/>
          </w:tcPr>
          <w:p>
            <w:pPr>
              <w:jc w:val="center"/>
              <w:ind w:right="380"/>
              <w:spacing w:after="0" w:line="201" w:lineRule="exact"/>
              <w:rPr>
                <w:sz w:val="20"/>
                <w:szCs w:val="20"/>
                <w:color w:val="auto"/>
              </w:rPr>
            </w:pPr>
            <w:r>
              <w:rPr>
                <w:rFonts w:ascii="Times New Roman" w:cs="Times New Roman" w:eastAsia="Times New Roman" w:hAnsi="Times New Roman"/>
                <w:sz w:val="18"/>
                <w:szCs w:val="18"/>
                <w:b w:val="1"/>
                <w:bCs w:val="1"/>
                <w:color w:val="auto"/>
                <w:w w:val="98"/>
              </w:rPr>
              <w:t>Common</w:t>
            </w:r>
          </w:p>
        </w:tc>
        <w:tc>
          <w:tcPr>
            <w:tcW w:w="260" w:type="dxa"/>
            <w:vAlign w:val="bottom"/>
          </w:tcPr>
          <w:p>
            <w:pPr>
              <w:spacing w:after="0"/>
              <w:rPr>
                <w:sz w:val="17"/>
                <w:szCs w:val="17"/>
                <w:color w:val="auto"/>
              </w:rPr>
            </w:pPr>
          </w:p>
        </w:tc>
        <w:tc>
          <w:tcPr>
            <w:tcW w:w="1400" w:type="dxa"/>
            <w:vAlign w:val="bottom"/>
            <w:gridSpan w:val="2"/>
          </w:tcPr>
          <w:p>
            <w:pPr>
              <w:ind w:left="180"/>
              <w:spacing w:after="0" w:line="201"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7"/>
                <w:szCs w:val="17"/>
                <w:color w:val="auto"/>
              </w:rPr>
            </w:pPr>
          </w:p>
        </w:tc>
        <w:tc>
          <w:tcPr>
            <w:tcW w:w="1580" w:type="dxa"/>
            <w:vAlign w:val="bottom"/>
            <w:gridSpan w:val="2"/>
          </w:tcPr>
          <w:p>
            <w:pPr>
              <w:jc w:val="center"/>
              <w:ind w:right="2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80" w:type="dxa"/>
            <w:vAlign w:val="bottom"/>
          </w:tcPr>
          <w:p>
            <w:pPr>
              <w:spacing w:after="0"/>
              <w:rPr>
                <w:sz w:val="17"/>
                <w:szCs w:val="17"/>
                <w:color w:val="auto"/>
              </w:rPr>
            </w:pPr>
          </w:p>
        </w:tc>
        <w:tc>
          <w:tcPr>
            <w:tcW w:w="1400" w:type="dxa"/>
            <w:vAlign w:val="bottom"/>
          </w:tcPr>
          <w:p>
            <w:pPr>
              <w:jc w:val="center"/>
              <w:ind w:right="91"/>
              <w:spacing w:after="0" w:line="201" w:lineRule="exact"/>
              <w:rPr>
                <w:sz w:val="20"/>
                <w:szCs w:val="20"/>
                <w:color w:val="auto"/>
              </w:rPr>
            </w:pPr>
            <w:r>
              <w:rPr>
                <w:rFonts w:ascii="Times New Roman" w:cs="Times New Roman" w:eastAsia="Times New Roman" w:hAnsi="Times New Roman"/>
                <w:sz w:val="18"/>
                <w:szCs w:val="18"/>
                <w:b w:val="1"/>
                <w:bCs w:val="1"/>
                <w:color w:val="auto"/>
                <w:w w:val="98"/>
              </w:rPr>
              <w:t>Shareholders’</w:t>
            </w:r>
          </w:p>
        </w:tc>
      </w:tr>
      <w:tr>
        <w:trPr>
          <w:trHeight w:val="256"/>
        </w:trPr>
        <w:tc>
          <w:tcPr>
            <w:tcW w:w="45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6"/>
              </w:rPr>
              <w:t>Equity</w:t>
            </w:r>
          </w:p>
        </w:tc>
      </w:tr>
      <w:tr>
        <w:trPr>
          <w:trHeight w:val="247"/>
        </w:trPr>
        <w:tc>
          <w:tcPr>
            <w:tcW w:w="4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98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tc>
        <w:tc>
          <w:tcPr>
            <w:tcW w:w="1400" w:type="dxa"/>
            <w:vAlign w:val="bottom"/>
          </w:tcPr>
          <w:p>
            <w:pPr>
              <w:spacing w:after="0"/>
              <w:rPr>
                <w:sz w:val="21"/>
                <w:szCs w:val="21"/>
                <w:color w:val="auto"/>
              </w:rPr>
            </w:pPr>
          </w:p>
        </w:tc>
      </w:tr>
      <w:tr>
        <w:trPr>
          <w:trHeight w:val="26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2020</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339,353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389,522</w:t>
            </w:r>
          </w:p>
        </w:tc>
      </w:tr>
      <w:tr>
        <w:trPr>
          <w:trHeight w:val="24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Adoption of ASU 2016-13</w:t>
            </w:r>
          </w:p>
        </w:tc>
        <w:tc>
          <w:tcPr>
            <w:tcW w:w="2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r>
      <w:tr>
        <w:trPr>
          <w:trHeight w:val="253"/>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2020, as adjusted</w:t>
            </w:r>
          </w:p>
        </w:tc>
        <w:tc>
          <w:tcPr>
            <w:tcW w:w="2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339,353</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379,219</w:t>
            </w:r>
          </w:p>
        </w:tc>
      </w:tr>
      <w:tr>
        <w:trPr>
          <w:trHeight w:val="24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for 2021</w:t>
            </w:r>
          </w:p>
        </w:tc>
        <w:tc>
          <w:tcPr>
            <w:tcW w:w="2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62,895</w:t>
            </w:r>
          </w:p>
        </w:tc>
      </w:tr>
      <w:tr>
        <w:trPr>
          <w:trHeight w:val="26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$0.84 per share</w:t>
            </w:r>
          </w:p>
        </w:tc>
        <w:tc>
          <w:tcPr>
            <w:tcW w:w="2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(18,155)</w:t>
            </w:r>
          </w:p>
        </w:tc>
      </w:tr>
      <w:tr>
        <w:trPr>
          <w:trHeight w:val="24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814,910 shares of common stock</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(17,269)</w:t>
            </w:r>
          </w:p>
        </w:tc>
      </w:tr>
      <w:tr>
        <w:trPr>
          <w:trHeight w:val="26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40,350 shares of common stock</w:t>
            </w: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based compensation (issuance of 128,018 shares of</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r>
      <w:tr>
        <w:trPr>
          <w:trHeight w:val="21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based compensation withholding obligation</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45"/>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(withholding of 36,222 shares of common stock)</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4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w:t>
            </w:r>
          </w:p>
        </w:tc>
      </w:tr>
      <w:tr>
        <w:trPr>
          <w:trHeight w:val="253"/>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2021</w:t>
            </w:r>
          </w:p>
        </w:tc>
        <w:tc>
          <w:tcPr>
            <w:tcW w:w="2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323,401</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398,484</w:t>
            </w:r>
          </w:p>
        </w:tc>
      </w:tr>
      <w:tr>
        <w:trPr>
          <w:trHeight w:val="24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for 2022</w:t>
            </w:r>
          </w:p>
        </w:tc>
        <w:tc>
          <w:tcPr>
            <w:tcW w:w="2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63,351</w:t>
            </w:r>
          </w:p>
        </w:tc>
      </w:tr>
      <w:tr>
        <w:trPr>
          <w:trHeight w:val="26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$0.88 per share</w:t>
            </w:r>
          </w:p>
        </w:tc>
        <w:tc>
          <w:tcPr>
            <w:tcW w:w="2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(18,565)</w:t>
            </w:r>
          </w:p>
        </w:tc>
      </w:tr>
      <w:tr>
        <w:trPr>
          <w:trHeight w:val="24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181,586 shares of common stock</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r>
      <w:tr>
        <w:trPr>
          <w:trHeight w:val="26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40,532 shares of common stock</w:t>
            </w: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based compensation (issuance of 62,114 shares of</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r>
      <w:tr>
        <w:trPr>
          <w:trHeight w:val="21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based compensation withholding obligation</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4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 of 28,125 shares of common stock)</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4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(93,264)</w:t>
            </w:r>
          </w:p>
        </w:tc>
      </w:tr>
      <w:tr>
        <w:trPr>
          <w:trHeight w:val="253"/>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2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320,991</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119,368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347,596</w:t>
            </w:r>
          </w:p>
        </w:tc>
      </w:tr>
      <w:tr>
        <w:trPr>
          <w:trHeight w:val="24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for 2023</w:t>
            </w:r>
          </w:p>
        </w:tc>
        <w:tc>
          <w:tcPr>
            <w:tcW w:w="2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59,067</w:t>
            </w:r>
          </w:p>
        </w:tc>
      </w:tr>
      <w:tr>
        <w:trPr>
          <w:trHeight w:val="26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$0.92 per share</w:t>
            </w:r>
          </w:p>
        </w:tc>
        <w:tc>
          <w:tcPr>
            <w:tcW w:w="2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(19,327)</w:t>
            </w:r>
          </w:p>
        </w:tc>
      </w:tr>
      <w:tr>
        <w:trPr>
          <w:trHeight w:val="24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298,601 shares of common stock</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w:t>
            </w:r>
          </w:p>
        </w:tc>
      </w:tr>
      <w:tr>
        <w:trPr>
          <w:trHeight w:val="26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28,583 shares of common stock</w:t>
            </w: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based compensation (issuance of 77,211 shares of</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r>
      <w:tr>
        <w:trPr>
          <w:trHeight w:val="21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based compensation withholding obligation</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45"/>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(withholding of 35,531 shares of common stock)</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4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20,621</w:t>
            </w:r>
          </w:p>
        </w:tc>
      </w:tr>
      <w:tr>
        <w:trPr>
          <w:trHeight w:val="27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317,483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159,108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404,449</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6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59,067</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63,351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62,895</w:t>
            </w:r>
          </w:p>
        </w:tc>
        <w:tc>
          <w:tcPr>
            <w:tcW w:w="0" w:type="dxa"/>
            <w:vAlign w:val="bottom"/>
          </w:tcPr>
          <w:p>
            <w:pPr>
              <w:spacing w:after="0"/>
              <w:rPr>
                <w:sz w:val="1"/>
                <w:szCs w:val="1"/>
                <w:color w:val="auto"/>
              </w:rPr>
            </w:pPr>
          </w:p>
        </w:tc>
      </w:tr>
      <w:tr>
        <w:trPr>
          <w:trHeight w:val="182"/>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FROM OPERATING ACTIVITIES</w:t>
            </w:r>
          </w:p>
        </w:tc>
        <w:tc>
          <w:tcPr>
            <w:tcW w:w="8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sales of loans held for sale</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356,207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549,079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1,283,741</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Disbursements for loans held for 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(334,174)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(514,244)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(1,210,897)</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 (benefit) expense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1,912</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deferred loan fees (costs)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(7,857)</w:t>
            </w:r>
          </w:p>
        </w:tc>
        <w:tc>
          <w:tcPr>
            <w:tcW w:w="0" w:type="dxa"/>
            <w:vAlign w:val="bottom"/>
          </w:tcPr>
          <w:p>
            <w:pPr>
              <w:spacing w:after="0"/>
              <w:rPr>
                <w:sz w:val="1"/>
                <w:szCs w:val="1"/>
                <w:color w:val="auto"/>
              </w:rPr>
            </w:pPr>
          </w:p>
        </w:tc>
      </w:tr>
      <w:tr>
        <w:trPr>
          <w:trHeight w:val="164"/>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depreciation, amortization of intangible assets and premiums and accretion of discounts on securities, loans</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and interest bearing deposits - time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12,130</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gains on mortgage loans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(35,880)</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(gains) losses on securities available for 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based compensation</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Increase in accrued income and other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(11,669)</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Increase (decrease) in accrued expenses and other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17,171</w:t>
            </w:r>
          </w:p>
        </w:tc>
        <w:tc>
          <w:tcPr>
            <w:tcW w:w="0" w:type="dxa"/>
            <w:vAlign w:val="bottom"/>
          </w:tcPr>
          <w:p>
            <w:pPr>
              <w:spacing w:after="0"/>
              <w:rPr>
                <w:sz w:val="1"/>
                <w:szCs w:val="1"/>
                <w:color w:val="auto"/>
              </w:rPr>
            </w:pPr>
          </w:p>
        </w:tc>
      </w:tr>
      <w:tr>
        <w:trPr>
          <w:trHeight w:val="182"/>
        </w:trPr>
        <w:tc>
          <w:tcPr>
            <w:tcW w:w="6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Adjustments</w:t>
            </w:r>
          </w:p>
        </w:tc>
        <w:tc>
          <w:tcPr>
            <w:tcW w:w="8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16,522</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31,281</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47,259</w:t>
            </w:r>
          </w:p>
        </w:tc>
        <w:tc>
          <w:tcPr>
            <w:tcW w:w="0" w:type="dxa"/>
            <w:vAlign w:val="bottom"/>
          </w:tcPr>
          <w:p>
            <w:pPr>
              <w:spacing w:after="0"/>
              <w:rPr>
                <w:sz w:val="1"/>
                <w:szCs w:val="1"/>
                <w:color w:val="auto"/>
              </w:rPr>
            </w:pPr>
          </w:p>
        </w:tc>
      </w:tr>
      <w:tr>
        <w:trPr>
          <w:trHeight w:val="25"/>
        </w:trPr>
        <w:tc>
          <w:tcPr>
            <w:tcW w:w="6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6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From Operating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75,589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94,632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110,154</w:t>
            </w:r>
          </w:p>
        </w:tc>
        <w:tc>
          <w:tcPr>
            <w:tcW w:w="0" w:type="dxa"/>
            <w:vAlign w:val="bottom"/>
          </w:tcPr>
          <w:p>
            <w:pPr>
              <w:spacing w:after="0"/>
              <w:rPr>
                <w:sz w:val="1"/>
                <w:szCs w:val="1"/>
                <w:color w:val="auto"/>
              </w:rPr>
            </w:pPr>
          </w:p>
        </w:tc>
      </w:tr>
      <w:tr>
        <w:trPr>
          <w:trHeight w:val="182"/>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USED IN INVESTING ACTIVITIES</w:t>
            </w:r>
          </w:p>
        </w:tc>
        <w:tc>
          <w:tcPr>
            <w:tcW w:w="8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securities available for sale</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70,523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85,371</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available for 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375,723</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held to maturity</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22,317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21,964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securities available for 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(824,348)</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securities held to maturity</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redemption of Federal Home Loan Bank stock</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of Federal Home Loan Bank stock</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increase in portfolio loans (loans originated, net of principal payments)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(361,609)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(606,069)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(205,539)</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portfolio loans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56,561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63,564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10,032</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other real estate and repossessed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bank-owned life insurance</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property and equipment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 expenditures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(5,837)</w:t>
            </w:r>
          </w:p>
        </w:tc>
        <w:tc>
          <w:tcPr>
            <w:tcW w:w="0" w:type="dxa"/>
            <w:vAlign w:val="bottom"/>
          </w:tcPr>
          <w:p>
            <w:pPr>
              <w:spacing w:after="0"/>
              <w:rPr>
                <w:sz w:val="1"/>
                <w:szCs w:val="1"/>
                <w:color w:val="auto"/>
              </w:rPr>
            </w:pPr>
          </w:p>
        </w:tc>
      </w:tr>
      <w:tr>
        <w:trPr>
          <w:trHeight w:val="182"/>
        </w:trPr>
        <w:tc>
          <w:tcPr>
            <w:tcW w:w="6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(162,945)</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(424,592)</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(563,064)</w:t>
            </w:r>
          </w:p>
        </w:tc>
        <w:tc>
          <w:tcPr>
            <w:tcW w:w="0" w:type="dxa"/>
            <w:vAlign w:val="bottom"/>
          </w:tcPr>
          <w:p>
            <w:pPr>
              <w:spacing w:after="0"/>
              <w:rPr>
                <w:sz w:val="1"/>
                <w:szCs w:val="1"/>
                <w:color w:val="auto"/>
              </w:rPr>
            </w:pPr>
          </w:p>
        </w:tc>
      </w:tr>
      <w:tr>
        <w:trPr>
          <w:trHeight w:val="25"/>
        </w:trPr>
        <w:tc>
          <w:tcPr>
            <w:tcW w:w="6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FROM FINANCING ACTIVITIES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increase in total deposits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243,810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261,979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479,735</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increase (decrease) in other borrowings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(60,980)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60,997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Federal Home Loan Bank advances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of Federal Home Loan Bank advances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(110,000)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(295,000)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paid</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(18,155)</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(17,269)</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based compensation withholding obligation</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0" w:type="dxa"/>
            <w:vAlign w:val="bottom"/>
          </w:tcPr>
          <w:p>
            <w:pPr>
              <w:spacing w:after="0"/>
              <w:rPr>
                <w:sz w:val="1"/>
                <w:szCs w:val="1"/>
                <w:color w:val="auto"/>
              </w:rPr>
            </w:pPr>
          </w:p>
        </w:tc>
      </w:tr>
      <w:tr>
        <w:trPr>
          <w:trHeight w:val="182"/>
        </w:trPr>
        <w:tc>
          <w:tcPr>
            <w:tcW w:w="6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Net Cash From Financing Activities</w:t>
            </w:r>
          </w:p>
        </w:tc>
        <w:tc>
          <w:tcPr>
            <w:tcW w:w="8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182,766</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294,858</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443,678</w:t>
            </w:r>
          </w:p>
        </w:tc>
        <w:tc>
          <w:tcPr>
            <w:tcW w:w="0" w:type="dxa"/>
            <w:vAlign w:val="bottom"/>
          </w:tcPr>
          <w:p>
            <w:pPr>
              <w:spacing w:after="0"/>
              <w:rPr>
                <w:sz w:val="1"/>
                <w:szCs w:val="1"/>
                <w:color w:val="auto"/>
              </w:rPr>
            </w:pPr>
          </w:p>
        </w:tc>
      </w:tr>
      <w:tr>
        <w:trPr>
          <w:trHeight w:val="25"/>
        </w:trPr>
        <w:tc>
          <w:tcPr>
            <w:tcW w:w="6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95,410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(35,102)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(9,232)</w:t>
            </w:r>
          </w:p>
        </w:tc>
        <w:tc>
          <w:tcPr>
            <w:tcW w:w="0" w:type="dxa"/>
            <w:vAlign w:val="bottom"/>
          </w:tcPr>
          <w:p>
            <w:pPr>
              <w:spacing w:after="0"/>
              <w:rPr>
                <w:sz w:val="1"/>
                <w:szCs w:val="1"/>
                <w:color w:val="auto"/>
              </w:rPr>
            </w:pPr>
          </w:p>
        </w:tc>
      </w:tr>
      <w:tr>
        <w:trPr>
          <w:trHeight w:val="189"/>
        </w:trPr>
        <w:tc>
          <w:tcPr>
            <w:tcW w:w="6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74,371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109,473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118,705</w:t>
            </w:r>
          </w:p>
        </w:tc>
        <w:tc>
          <w:tcPr>
            <w:tcW w:w="0" w:type="dxa"/>
            <w:vAlign w:val="bottom"/>
          </w:tcPr>
          <w:p>
            <w:pPr>
              <w:spacing w:after="0"/>
              <w:rPr>
                <w:sz w:val="1"/>
                <w:szCs w:val="1"/>
                <w:color w:val="auto"/>
              </w:rPr>
            </w:pPr>
          </w:p>
        </w:tc>
      </w:tr>
      <w:tr>
        <w:trPr>
          <w:trHeight w:val="25"/>
        </w:trPr>
        <w:tc>
          <w:tcPr>
            <w:tcW w:w="6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169,781</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109,473</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Cash paid during the year for</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6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w:t>
            </w:r>
          </w:p>
        </w:tc>
        <w:tc>
          <w:tcPr>
            <w:tcW w:w="880" w:type="dxa"/>
            <w:vAlign w:val="bottom"/>
            <w:tcBorders>
              <w:bottom w:val="single" w:sz="8" w:color="CCEEFF"/>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79,101</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8,419</w:t>
            </w:r>
          </w:p>
        </w:tc>
        <w:tc>
          <w:tcPr>
            <w:tcW w:w="0" w:type="dxa"/>
            <w:vAlign w:val="bottom"/>
          </w:tcPr>
          <w:p>
            <w:pPr>
              <w:spacing w:after="0"/>
              <w:rPr>
                <w:sz w:val="1"/>
                <w:szCs w:val="1"/>
                <w:color w:val="auto"/>
              </w:rPr>
            </w:pPr>
          </w:p>
        </w:tc>
      </w:tr>
      <w:tr>
        <w:trPr>
          <w:trHeight w:val="189"/>
        </w:trPr>
        <w:tc>
          <w:tcPr>
            <w:tcW w:w="6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14,059</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Transfers to other real estate and repossessed assets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89"/>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 of use assets obtained in exchange for lease obligations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Transfer of securities available for sale to held to maturity</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391,618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Transfer of mortgage loans to held for 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ACCOUNTING POLICIES</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accounting and reporting policies and practices of Independent Bank Corporation and subsidiaries (‘‘IBCP’’) conform to accounting principles generally accepted in the United States of America and prevailing practices within the banking industry. Our critical accounting policies include the determination of the allowance for credit losses and the valuation of capitalized mortgage loan servicing rights. We are required to make material estimates and assumptions that are particularly susceptible to changes in the near term as we prepare the consolidated financial statements and report amounts for each of these items. Actual results may vary from these estimates.</w:t>
      </w:r>
    </w:p>
    <w:p>
      <w:pPr>
        <w:spacing w:after="0" w:line="18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Our subsidiary, Independent Bank (‘‘Bank’’), transacts business in the single industry of commercial banking. Our Bank’s activities cover traditional phases of commercial banking, including checking and savings accounts, commercial lending, direct and indirect consumer financing and mortgage lending. Our principal markets are the rural and suburban communities across Lower Michigan that are served by our Bank’s branches and loan production offices as well as one loan production facility in Ohio. At December 31, 2023, 70.8% of our Bank’s loan portfolio was secured by real estate.</w:t>
      </w:r>
    </w:p>
    <w:p>
      <w:pPr>
        <w:spacing w:after="0" w:line="179"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 consolidated financial statements include the accounts of Independent Bank Corporation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The income, expenses, assets and liabilities of the subsidiaries are included in the respective accounts of the consolidated financial statements, after elimination of all intercompany accounts and transactions.</w:t>
      </w:r>
    </w:p>
    <w:p>
      <w:pPr>
        <w:spacing w:after="0" w:line="173"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STATEMENTS OF CASH FLOWS </w:t>
      </w:r>
      <w:r>
        <w:rPr>
          <w:rFonts w:ascii="Times New Roman" w:cs="Times New Roman" w:eastAsia="Times New Roman" w:hAnsi="Times New Roman"/>
          <w:sz w:val="18"/>
          <w:szCs w:val="18"/>
          <w:color w:val="auto"/>
        </w:rPr>
        <w:t>— For purposes of reporting cash flows, cash and cash equivalents include cash on hand, amounts due from banks,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bearing deposits and federal funds sold. Generally, federal funds are sold for one-day periods. We report net cash flows for customer loan and deposit transactions and for short-term borrowings.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INTEREST BEARING DEPOSITS </w:t>
      </w:r>
      <w:r>
        <w:rPr>
          <w:rFonts w:ascii="Times New Roman" w:cs="Times New Roman" w:eastAsia="Times New Roman" w:hAnsi="Times New Roman"/>
          <w:sz w:val="18"/>
          <w:szCs w:val="18"/>
          <w:color w:val="auto"/>
        </w:rPr>
        <w:t>— Interest bearing deposits consist of overnight deposits with the Federal Reserve Bank.</w:t>
      </w:r>
    </w:p>
    <w:p>
      <w:pPr>
        <w:spacing w:after="0" w:line="220"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LOANS HELD FOR SALE </w:t>
      </w:r>
      <w:r>
        <w:rPr>
          <w:rFonts w:ascii="Times New Roman" w:cs="Times New Roman" w:eastAsia="Times New Roman" w:hAnsi="Times New Roman"/>
          <w:sz w:val="18"/>
          <w:szCs w:val="18"/>
          <w:color w:val="auto"/>
        </w:rPr>
        <w:t>— Mortgage loans originated and intended for sale in the secondary market are carried at fair value. Fair value adjustments,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realized gains and losses, are recorded in current earnings. Certain portfolio loans were reclassified to held for sale as of December 31, 2022, were carried at the lower of cost or fair value on an aggregate loan basis and were sold during the first quarter of 2023.</w:t>
      </w:r>
    </w:p>
    <w:p>
      <w:pPr>
        <w:spacing w:after="0" w:line="173"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OPERATING SEGMENTS </w:t>
      </w:r>
      <w:r>
        <w:rPr>
          <w:rFonts w:ascii="Times New Roman" w:cs="Times New Roman" w:eastAsia="Times New Roman" w:hAnsi="Times New Roman"/>
          <w:sz w:val="18"/>
          <w:szCs w:val="18"/>
          <w:color w:val="auto"/>
        </w:rPr>
        <w:t>— While chief decision-makers monitor the revenue streams of our various products and services, operations are managed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financial performance is evaluated as one single unit. Discrete financial information is not available other than on a consolidated basis for material lines of business.</w:t>
      </w:r>
    </w:p>
    <w:p>
      <w:pPr>
        <w:spacing w:after="0" w:line="173" w:lineRule="exact"/>
        <w:rPr>
          <w:sz w:val="20"/>
          <w:szCs w:val="20"/>
          <w:color w:val="auto"/>
        </w:rPr>
      </w:pPr>
    </w:p>
    <w:p>
      <w:pPr>
        <w:jc w:val="both"/>
        <w:ind w:firstLine="32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CAPITALIZED MORTGAGE LOAN SERVICING RIGHTS </w:t>
      </w:r>
      <w:r>
        <w:rPr>
          <w:rFonts w:ascii="Times New Roman" w:cs="Times New Roman" w:eastAsia="Times New Roman" w:hAnsi="Times New Roman"/>
          <w:sz w:val="17"/>
          <w:szCs w:val="17"/>
          <w:color w:val="auto"/>
        </w:rPr>
        <w:t>— We account for our capitalized mortgage loan servicing rights under the fair value method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accounting. We recognize as separate assets the rights to service mortgage loans for others. The fair value of capitalized mortgage loan servicing rights has been determined based upon fair value indications for similar servicing. Under the fair value method we measure capitalized mortgage loan servicing rights at fair value at each reporting date and report changes in fair value of capitalized mortgage loan servicing rights in earnings in the period in which the changes occur and are included in mortgage loan servicing, net in the Consolidated Statements of Operations. The fair value of capitalized mortgage loan servicing rights are subject to significant fluctuations as a result of changes in estimated and actual prepayment speeds and default rates and losses.</w:t>
      </w:r>
    </w:p>
    <w:p>
      <w:pPr>
        <w:spacing w:after="0" w:line="17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Mortgage loan servicing income is recorded for fees earned for servicing loans previously sold. The fees are generally based on a contractual percentage of the outstanding principal and are recorded as income when earned. Mortgage loan servicing fees, excluding fair value changes of capitalized mortgage loan servicing rights, totaled $8.8 million, $8.6 million and $7.9 million for the years ended December 31, 2023, 2022 and 2021, respectively. Late fees and ancillary fees related to loan servicing are not material.</w:t>
      </w:r>
    </w:p>
    <w:p>
      <w:pPr>
        <w:spacing w:after="0" w:line="179"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TRANSFERS OF FINANCIAL ASSETS </w:t>
      </w:r>
      <w:r>
        <w:rPr>
          <w:rFonts w:ascii="Times New Roman" w:cs="Times New Roman" w:eastAsia="Times New Roman" w:hAnsi="Times New Roman"/>
          <w:sz w:val="18"/>
          <w:szCs w:val="18"/>
          <w:color w:val="auto"/>
        </w:rPr>
        <w:t>— Transfers of financial assets are accounted for as sales when control over the assets has been relinquished.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over transferred assets is deemed to be surrendered when the assets have been isolated from us, the transferee obtains the right (free of conditions that constrain it from taking advantage of that right) to</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pledge or exchange the transferred assets, and we do not maintain effective control over the transferred assets through an agreement to repurchase them before their maturity.</w:t>
      </w:r>
    </w:p>
    <w:p>
      <w:pPr>
        <w:spacing w:after="0" w:line="161"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SECURITIES </w:t>
      </w:r>
      <w:r>
        <w:rPr>
          <w:rFonts w:ascii="Times New Roman" w:cs="Times New Roman" w:eastAsia="Times New Roman" w:hAnsi="Times New Roman"/>
          <w:sz w:val="18"/>
          <w:szCs w:val="18"/>
          <w:color w:val="auto"/>
        </w:rPr>
        <w:t>— We classify our securities as equity, trading, held to maturity ("HTM") or available for sale ("AFS"). Equity securities are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certain equity stocks and are reported at fair value with realized and unrealized gains and losses included in earnings. Trading securities are bought and held principally for the purpose of selling them in the near term and are reported at fair value with realized and unrealized gains and losses included in earnings. Securities HTM represent those securities for which we have the positive intent and ability to hold until maturity and are reported at cost, adjusted for amortization of premiums and accretion of discounts computed on the level-yield method. During 2022 we transferred certain securities AFS with an amortized cost and unrealized loss at the date of transfer of $418.1 million and $26.5 million, respectively to HTM. See note #3 for further discussion of this transfer. We did not have any equity securities or trading securities at December 31, 2023 and 2022. Securities AFS represent those securities not classified as equity, trading or held to maturity and are reported at fair value with unrealized gains and losses, net of applicable income taxes reported in other comprehensive income (loss).</w:t>
      </w:r>
    </w:p>
    <w:p>
      <w:pPr>
        <w:spacing w:after="0" w:line="18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allowance for credit losses ("ACL") is recorded, limited to the amount that the fair value of the security is less than its amortized cost basis. Any impairment that has not been recorded through an ACL is recognized in other comprehensive income (loss), net of applicable taxes.</w:t>
      </w:r>
    </w:p>
    <w:p>
      <w:pPr>
        <w:spacing w:after="0" w:line="152" w:lineRule="exact"/>
        <w:rPr>
          <w:sz w:val="20"/>
          <w:szCs w:val="20"/>
          <w:color w:val="auto"/>
        </w:rPr>
      </w:pPr>
    </w:p>
    <w:p>
      <w:pPr>
        <w:jc w:val="both"/>
        <w:ind w:firstLine="320"/>
        <w:spacing w:after="0" w:line="267" w:lineRule="auto"/>
        <w:rPr>
          <w:sz w:val="20"/>
          <w:szCs w:val="20"/>
          <w:color w:val="auto"/>
        </w:rPr>
      </w:pPr>
      <w:r>
        <w:rPr>
          <w:rFonts w:ascii="Times New Roman" w:cs="Times New Roman" w:eastAsia="Times New Roman" w:hAnsi="Times New Roman"/>
          <w:sz w:val="17"/>
          <w:szCs w:val="17"/>
          <w:color w:val="auto"/>
        </w:rPr>
        <w:t>The ACL on securities HTM is a contra asset valuation account that is deducted from the carrying amount of securities HTM to present the net amount expected to be collected. Securities HTM are charged off against the ACL when deemed uncollectible. Adjustments to the ACL are reported in our Consolidated Statements of Operations in provision for credit losses. We measure expected credit losses on securities HTM on a collective basis by major security type with each type sharing similar risk characteristics and consider historical credit loss information. Accrued interest receivable on securities HTM is excluded from the estimate of credit losses.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long-term historical loss rates for given bond ratings, (3) the financial condition of the issuer, and (4) whether issuers continue to make timely principal and interest payments under the contractual terms of the securities.</w:t>
      </w:r>
    </w:p>
    <w:p>
      <w:pPr>
        <w:spacing w:after="0" w:line="178"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Gains and losses realized on the sale of securities available for sale are determined using the specific identification method and are recognized on a trade-date basis.</w:t>
      </w:r>
    </w:p>
    <w:p>
      <w:pPr>
        <w:spacing w:after="0" w:line="161"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FEDERAL HOME LOAN BANK (‘‘FHLB’’) STOCK </w:t>
      </w:r>
      <w:r>
        <w:rPr>
          <w:rFonts w:ascii="Times New Roman" w:cs="Times New Roman" w:eastAsia="Times New Roman" w:hAnsi="Times New Roman"/>
          <w:sz w:val="18"/>
          <w:szCs w:val="18"/>
          <w:color w:val="auto"/>
        </w:rPr>
        <w:t>— Our Bank subsidiary is a member of the FHLB system. Members are required to own a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stock based on the level of borrowings and other factors, and may invest in additional amounts. FHLB stock is carried at cost, classified as a restricted security, and periodically evaluated for impairment based on ultimate recovery of par value. Both cash and stock dividends are reported as income in interest income-other investments on the Consolidated Statements of Operations.</w:t>
      </w:r>
    </w:p>
    <w:p>
      <w:pPr>
        <w:spacing w:after="0" w:line="177"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FEDERAL RESERVE BANK (‘‘FRB’’) STOCK </w:t>
      </w:r>
      <w:r>
        <w:rPr>
          <w:rFonts w:ascii="Times New Roman" w:cs="Times New Roman" w:eastAsia="Times New Roman" w:hAnsi="Times New Roman"/>
          <w:sz w:val="18"/>
          <w:szCs w:val="18"/>
          <w:color w:val="auto"/>
        </w:rPr>
        <w:t>— Our Bank subsidiary is a member of its regional Federal Reserve Bank. FRB stock is carried at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a restricted security, and periodically evaluated for impairment based on ultimate recovery of par value. Both cash and stock dividends are reported as income in interest income-other investments on the Consolidated Statements of Operations.</w:t>
      </w:r>
    </w:p>
    <w:p>
      <w:pPr>
        <w:spacing w:after="0" w:line="173"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LOAN REVENUE RECOGNITION </w:t>
      </w:r>
      <w:r>
        <w:rPr>
          <w:rFonts w:ascii="Times New Roman" w:cs="Times New Roman" w:eastAsia="Times New Roman" w:hAnsi="Times New Roman"/>
          <w:sz w:val="18"/>
          <w:szCs w:val="18"/>
          <w:color w:val="auto"/>
        </w:rPr>
        <w:t>— Interest on loans is accrued based on the principal amounts outstanding. In general, the accrual of interest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discontinued when a loan becomes 90 days past due for commercial loans and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installment loans and when a loan misses four consecutive payments for mortgage loans and the borrower’s capacity to repay the loan and collateral values appear insufficient for each loan class. However, loans may be placed on non-accrual status regardless of whether or not such loans are considered past due if, in management’s opinion, the borrower is unable to meet payment obligations as they become due or as required by regulatory provisions. All interest accrued but not received for all loans placed on non-accrual is reversed from interest income. Payments on such loans are generally applied to the principal balance until qualifying to be returned to accrual status. A non-accrual loan may be restored to accrual status when interest and principal payments are current and the loan appears otherwise collectible. Delinquency status for all classes in the commercial and installment loan portfolio segments is based on the actual number of days past due as required by the contractual terms of the loan agreement while delinquency status for mortgage loan portfolio segment classes is based on the number of payments past due.</w:t>
      </w:r>
    </w:p>
    <w:p>
      <w:pPr>
        <w:spacing w:after="0" w:line="19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Certain loan fees and direct loan origination costs are deferred and recognized as an adjustment of yield generally over the contractual life of the related loan. Fees received in connection with loan commitments are deferred until the loan is advanced and are then recognized generally over the contractual life of the loan as an adjustment of yield. Fees on commitments that expire unused are recognized at expiration. Fees received for letters of credit are recognized as revenue over the life of the commitment.</w:t>
      </w:r>
    </w:p>
    <w:p>
      <w:pPr>
        <w:spacing w:after="0" w:line="17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w:t>
      </w:r>
      <w:r>
        <w:rPr>
          <w:rFonts w:ascii="Times New Roman" w:cs="Times New Roman" w:eastAsia="Times New Roman" w:hAnsi="Times New Roman"/>
          <w:sz w:val="18"/>
          <w:szCs w:val="18"/>
          <w:color w:val="auto"/>
        </w:rPr>
        <w:t>— Our loan portfolio is disaggregated into segments for purposes of determining the ACL which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mortgage and installment loans. These segments are further disaggregated into classes for purposes of monitoring and assessing credit quality based on certain risk characteristics. Classes within the commercial loan segment include (i) commercial and industrial and (ii) commercial real estate. Classes within the mortgage loan segment include (i) 1-4 family owner occupied - jumbo, (ii) 1-4 family owner occupied - non-jumbo, (iii) 1-4 family non-owner occupied (iv) 1-4 family - 2nd lien and (v) resort lending. Classes within the installment loan segment include (i) boat lending, (ii) recreational vehicle lending, and (iii) other. Commercial loans are subject to adverse market conditions which may impact the borrower’s ability to make repayment on the loan or could cause a decline in the value of the collateral that secures the loan. Mortgage and installment loans are subject to adverse employment conditions in the local economy which could increase default rates. In addition, mortgage loans and real estate based installment loans are subject to adverse market conditions which could cause a decline in the value of collateral that secures the loan. For an analysis of the ACL by portfolio segment and credit quality information by class, see note #4.</w:t>
      </w:r>
    </w:p>
    <w:p>
      <w:pPr>
        <w:spacing w:after="0" w:line="186" w:lineRule="exact"/>
        <w:rPr>
          <w:sz w:val="20"/>
          <w:szCs w:val="20"/>
          <w:color w:val="auto"/>
        </w:rPr>
      </w:pPr>
    </w:p>
    <w:p>
      <w:pPr>
        <w:jc w:val="both"/>
        <w:ind w:firstLine="320"/>
        <w:spacing w:after="0" w:line="265" w:lineRule="auto"/>
        <w:rPr>
          <w:sz w:val="20"/>
          <w:szCs w:val="20"/>
          <w:color w:val="auto"/>
        </w:rPr>
      </w:pPr>
      <w:r>
        <w:rPr>
          <w:rFonts w:ascii="Times New Roman" w:cs="Times New Roman" w:eastAsia="Times New Roman" w:hAnsi="Times New Roman"/>
          <w:sz w:val="17"/>
          <w:szCs w:val="17"/>
          <w:color w:val="auto"/>
        </w:rPr>
        <w:t>We estimate the ACL based on relevant available information from both internal and external sources, including historical loss trends, current conditions and forecasts, specific analysis of individual loans, and other relevant and appropriate factors. The allowance process is designed to provide for expected future losses based on our reasonable and supportable (“R&amp;S”) forecast as of the reporting date. Our ACL process is administered by our Risk Management group utilizing a third party software solution, with significant input and ultimate approval from our Executive Enterprise Risk Committee. Further, we have established a current expected credit loss (“CECL”) Forecast Committee, which includes a cross discipline structure with membership from Executive Management, Risk Management, and Accounting, which approves ACL model assumptions each quarter. Our ACL is comprised of three principal elements:</w:t>
      </w:r>
    </w:p>
    <w:p>
      <w:pPr>
        <w:spacing w:after="0" w:line="5" w:lineRule="exact"/>
        <w:rPr>
          <w:sz w:val="20"/>
          <w:szCs w:val="20"/>
          <w:color w:val="auto"/>
        </w:rPr>
      </w:pPr>
    </w:p>
    <w:p>
      <w:pPr>
        <w:jc w:val="both"/>
        <w:ind w:firstLine="7"/>
        <w:spacing w:after="0" w:line="250" w:lineRule="auto"/>
        <w:tabs>
          <w:tab w:leader="none" w:pos="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analysis of individual loans identified during the review of the loan portfolio, (ii) pooled analysis of loans with similar risk characteristics based on historical experience, adjusted for current conditions, R&amp;S forecasts, and expected prepayments, and (iii) additional allowances based on subjective factors, including local and general economic business factors and trends, portfolio concentrations and changes in the size and/or the general terms of the loan portfolio.</w:t>
      </w:r>
    </w:p>
    <w:p>
      <w:pPr>
        <w:spacing w:after="0" w:line="186"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first ACL element (specific allocations) includes loans that do not share similar risk characteristics and are evaluated on an individual basis. We will typically evaluate on an individual basis loans that are on nonaccrual; commercial loans that have been modified resulting in a concession, for which the borrower is experiencing financial difficulties, and which are considered troubled loan modifications; and severely delinquent mortgage and installment loans. When we determine that foreclosure is probable or when repayment is expected to be provided substantially through the operation or sale of underlying collateral, expected credit losses are based on the fair value of the collateral at the reporting date, adjusted for estimated selling costs. For loans evaluated on an individual basis that are not determined to be collateral dependent, a discounted cash flow analysis is performed to determine expected credit losses.</w:t>
      </w:r>
    </w:p>
    <w:p>
      <w:pPr>
        <w:spacing w:after="0" w:line="187"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second ACL element (pooled analysis) includes loans with similar risk characteristics, which are broken down by segment, class, and risk metric. The Bank’s primary segments of commercial, mortgage, and installment loans are further classified by other relevant attributes, such as collateral type, lien position, occupancy status, amortization method, and balance size. Commercial classes are additionally segmented by risk rating, and mortgage and installment loan classes by credit score tier, which are updated at least semi-annually.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utilize a discounted cash flow (“DCF”) model to estimate expected future losses for pooled loans. Expected future cash flows are developed from payment schedules over the contractual term, adjusted for forecasted default (probability of default), loss, and prepayment assumptions. We are not required to develop forecasts over the full contractual term of the financial asset or group of financial assets. Rather, for periods beyond which we are able to make or obtain R&amp;S forecasts of expected credit losses, we revert to the long term average on a straight line or immediate basis, as determined by our CECL Forecast Committee, and which may vary depending on the economic outlook and uncertainty.</w:t>
      </w:r>
    </w:p>
    <w:p>
      <w:pPr>
        <w:spacing w:after="0" w:line="186"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The DCF model for the mortgage and installment pooled loan segments includes using probability of default (“PD”) assumptions that are derived through regression analysis with forecasted US unemployment levels by credit score tier. We review a composite forecast of approximately 50 analysts as well as the Federal Open Market Committee (“FOMC”) projections in setting the unemployment forecast for the R&amp;S period. The current ACL utilizes a one year R&amp;S forecast followed by immediate reversion to the 30 year average unemployment rate. PD assumptions for the remaining segments are based primarily on historical rates by risk metric as defaults were not strongly correlated with any economic indicator. Loss given default (“LGD”) assumptions for the mortgage loan segment are based on a two year forecast followed by a two year straight line reversion period to the longer term average, while LGD rates for the remaining segments are the historical average for the entire period. Prepayment assumptions represent average rates per segment for a period determined by the CECL Forecast Committee and as calculated through the Bank’s Asset and Liability Management program.</w:t>
      </w:r>
    </w:p>
    <w:p>
      <w:pPr>
        <w:spacing w:after="0" w:line="190"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Pooled reserves for the commercial loan segment are calculated using the DCF model with assumptions generally based on historical averages by class and risk rating. Effective risk rating practices allow for strong predictability of defaults and losses over the portfolio’s expected shorter duration, relative to mortgage and installment loans. Our rating system is similar to those employed by state and federal banking regulators.</w:t>
      </w:r>
    </w:p>
    <w:p>
      <w:pPr>
        <w:spacing w:after="0" w:line="176"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The third ACL element (additional allocations based on subjective factors) is based on factors that cannot be associated with a specific credit or loan category and reflects our attempt to ensure that the overall ACL appropriately reflects a margin for the imprecision necessarily inherent in the estimates of expected credit losses. We adjust our quantitative model for certain qualitative factors to reflect the extent to which management expects current conditions and R&amp;S forecasts to differ from the conditions that existed for the period over which historical information was evaluated. The qualitative framework reflects changes related to relevant data, such as changes in asset quality trends, portfolio growth and composition, national and local economic factors, credit policy and administration and other factors not considered in the base quantitative model. We utilize a survey completed by business unit management throughout the Bank, as well as discussion with the CECL Forecast Committee to establish reserves under the qualitative framework.</w:t>
      </w:r>
    </w:p>
    <w:p>
      <w:pPr>
        <w:spacing w:after="0" w:line="187"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On January 1, 2021 we adopted Accounting Standards Update 2016-13, ‘‘Financial Instruments — Credit Losses (Topic 326), Measurement of Credit Losses on Financial Instruments’’ using the modified retrospective method for all financial assets measured at amortized cost and unfunded lending commitments. Prior to January 1, 2021, the calculation of the allowance was based on the probable incurred loss methodology.</w:t>
      </w:r>
    </w:p>
    <w:p>
      <w:pPr>
        <w:spacing w:after="0" w:line="176"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Increases in the ACL are recorded by a provision for credit losses charged to expense. Although we periodically allocate portions of the ACL to specific loans and loan portfolios, the entire ACL is available for losses.</w:t>
      </w:r>
    </w:p>
    <w:p>
      <w:pPr>
        <w:spacing w:after="0" w:line="16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generally charge-off commercial, homogenous residential mortgage and installment loans when they are deemed uncollectible or reach a predetermined number of days past due based on loan product, industry practice and other factors. Collection efforts may continue and recoveries may occur after a loan is charged against the ACL.</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161"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 Property and equipment is stated at cost less accumulated depreciation and amortization.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is computed using the straight-line method over the estimated useful lives of the related assets. Buildings are generally depreciated over a period not exceeding 39 years and equipment is generally depreciated over periods not exceeding 7 years. Leasehold improvements are depreciated over the shorter of their estimated useful life or lease period.</w:t>
      </w:r>
    </w:p>
    <w:p>
      <w:pPr>
        <w:spacing w:after="0" w:line="177" w:lineRule="exact"/>
        <w:rPr>
          <w:sz w:val="20"/>
          <w:szCs w:val="20"/>
          <w:color w:val="auto"/>
        </w:rPr>
      </w:pPr>
    </w:p>
    <w:p>
      <w:pPr>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BANK OWNED LIFE INSURANCE </w:t>
      </w:r>
      <w:r>
        <w:rPr>
          <w:rFonts w:ascii="Times New Roman" w:cs="Times New Roman" w:eastAsia="Times New Roman" w:hAnsi="Times New Roman"/>
          <w:sz w:val="18"/>
          <w:szCs w:val="18"/>
          <w:color w:val="auto"/>
        </w:rPr>
        <w:t>— We have purchased a group flexible premium non-participating variable life insurance contract on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256 lives (who were salaried employees at the time we purchased the contract) in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order to recover the cost of providing certain employee benefits. Bank owned life insurance is recorded at its cash surrender value or the amount that can be currently realized.</w:t>
      </w:r>
    </w:p>
    <w:p>
      <w:pPr>
        <w:spacing w:after="0" w:line="161"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REAL ESTATE AND REPOSSESSED ASSETS </w:t>
      </w:r>
      <w:r>
        <w:rPr>
          <w:rFonts w:ascii="Times New Roman" w:cs="Times New Roman" w:eastAsia="Times New Roman" w:hAnsi="Times New Roman"/>
          <w:sz w:val="18"/>
          <w:szCs w:val="18"/>
          <w:color w:val="auto"/>
        </w:rPr>
        <w:t>— Other real estate at the time of acquisition is recorded at fair value, less estimated costs to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becomes the property’s new basis. Fair value is typically determined by a third party appraisal of the property. Any write-downs at date of acquisition are charged to the ACL. Expense incurred in maintaining other real estate and subsequent write-downs to reflect declines in value and gains or losses on the sale of other real estate are recorded in non-interest expense in the Consolidated Statements of Operations. Non-real estate repossessed assets are treated in a similar manner.</w:t>
      </w:r>
    </w:p>
    <w:p>
      <w:pPr>
        <w:spacing w:after="0" w:line="181"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OTHER INTANGIBLES </w:t>
      </w:r>
      <w:r>
        <w:rPr>
          <w:rFonts w:ascii="Times New Roman" w:cs="Times New Roman" w:eastAsia="Times New Roman" w:hAnsi="Times New Roman"/>
          <w:sz w:val="18"/>
          <w:szCs w:val="18"/>
          <w:color w:val="auto"/>
        </w:rPr>
        <w:t>— Other intangible assets consist of core deposits. They are initially measured at fair value and then are amortized on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straight-line and accelerated methods over their estimated useful lives, which range from 10 to 15 years.</w:t>
      </w:r>
    </w:p>
    <w:p>
      <w:pPr>
        <w:spacing w:after="0" w:line="159"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 Goodwill arises from business combinations and is generally determined as the excess of the fair value of the consideration transferred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the fair value of the net assets acquired and liabilities assumed as of the acquisition date. Goodwill acquired in a purchase business combination and determined to have an indefinite useful life is not amortized, but tested for impairment at least annually or more frequently if events and circumstances exists that indicate that a goodwill impairment test should be performed. We have selected December 31 as the date to perform the annual impairment test. Goodwill is the only intangible asset with an indefinite life on our Consolidated Statements of Financial Condition.</w:t>
      </w:r>
    </w:p>
    <w:p>
      <w:pPr>
        <w:spacing w:after="0" w:line="181" w:lineRule="exact"/>
        <w:rPr>
          <w:sz w:val="20"/>
          <w:szCs w:val="20"/>
          <w:color w:val="auto"/>
        </w:rPr>
      </w:pPr>
    </w:p>
    <w:p>
      <w:pPr>
        <w:jc w:val="both"/>
        <w:ind w:firstLine="320"/>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INCOME TAXES </w:t>
      </w:r>
      <w:r>
        <w:rPr>
          <w:rFonts w:ascii="Times New Roman" w:cs="Times New Roman" w:eastAsia="Times New Roman" w:hAnsi="Times New Roman"/>
          <w:sz w:val="17"/>
          <w:szCs w:val="17"/>
          <w:color w:val="auto"/>
        </w:rPr>
        <w:t>— We employ the asset and liability method of accounting for income taxes. This method establishes deferred tax assets and liabilities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the temporary differences between the financial reporting basis and the tax basis of our assets and liabilities at tax rates expected to be in effect when such amounts are realized or settled. Under this method, the effect of a change in tax rates is recognized in the period that includes the enactment date. The deferred tax asset is subject to a valuation allowance for that portion of the asset for which it is more likely than not that it will not be realized.</w:t>
      </w:r>
    </w:p>
    <w:p>
      <w:pPr>
        <w:spacing w:after="0" w:line="16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recognize interest and/or penalties related to income tax matters in income tax expense in the Consolidated Statements of Operations.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file a consolidated federal income tax return. Intercompany tax liabilities are settled as if each subsidiary filed a separate return.</w:t>
      </w:r>
    </w:p>
    <w:p>
      <w:pPr>
        <w:spacing w:after="0" w:line="218"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COMMITMENTS TO EXTEND CREDIT AND RELATED FINANCIAL INSTRUMENTS </w:t>
      </w:r>
      <w:r>
        <w:rPr>
          <w:rFonts w:ascii="Times New Roman" w:cs="Times New Roman" w:eastAsia="Times New Roman" w:hAnsi="Times New Roman"/>
          <w:sz w:val="18"/>
          <w:szCs w:val="18"/>
          <w:color w:val="auto"/>
        </w:rPr>
        <w:t>— Financial instruments may include commitments to extend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and standby letters of credit. Financial instruments involve varying degrees of credit and interest-rate risk in excess of amounts reflected in the Consolidated Statements of Financial Condition. Exposure to credit risk in the event of non-performance by the counterparties to the financial instruments for loan commitments to extend credit and letters of credit is represented by the contractual amounts of those instruments. In general, we use a similar methodology to estimate our liability for these off-balance sheet credit exposures as we do for our ACL. For commercial related commitments, we estimate liability using our loan rating system and for mortgage and installment commitments we estimate liability principally upon historical loss experience. Our estimated liability for off balance sheet commitments is included in accrued expenses and other liabilities in our Consolidated Statements of Financial Condition and any charge or recovery is recorded in non-interest expense – costs related to unfunded lending commitments in our Consolidated Statements of Operations.</w:t>
      </w:r>
    </w:p>
    <w:p>
      <w:pPr>
        <w:spacing w:after="0" w:line="187"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 We record derivatives on our Consolidated Statements of Financial Condition as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at their fair value. The accounting for increases and decreases in the value of derivatives depends upon the use of derivatives and whether the derivatives qualify for hedge accounting.</w:t>
      </w:r>
    </w:p>
    <w:p>
      <w:pPr>
        <w:spacing w:after="0" w:line="175"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At the inception of the derivative we designate the derivative as one of three types based on our intention and belief as to likely effectiveness as a hedge. These three types are (1) a hedge of the fair value of a recognized asset or liability or of</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an unrecognized firm commitment (‘‘Fair Value Hedge’’), (2) a hedge of a forecasted transaction or the variability of cash flows to be received or paid related to a recognized asset or liability (‘‘Cash Flow Hedge’’), or (3) an instrument with no hedging designation. For a Fair Value Hedge, the gain or loss on the derivative, as well as the offsetting loss or gain on the hedged item, are recognized in interest income in our Consolidated Statements of Operations. For a Cash Flow Hedge, the gain or loss on the derivative is reported in other comprehensive income (loss) and is reclassified into earnings in the same periods during which the hedged transaction affects earnings. For instruments with no hedging designation, the gain or loss on the derivative is reported in earnings. These free standing instruments primarily consist of (i) mortgage banking related derivatives and include rate-lock loan commitments to fund mortgage loans (interest rate locks) to be sold into the secondary market and mandatory forward commitments for the future delivery of these mortgage loans and (ii) certain pay-fixed and pay-variable interest rate swap agreements related to commercial loan customers. The fair value of rate-lock mortgage loan commitments is based on agency cash window loan pricing for comparable assets and the fair value of mandatory commitments to sell mortgage loans is based on mortgage backed security pricing for comparable assets. We enter into mandatory forward commitments for the future delivery of mortgage loans generally when interest rate locks are entered into in order to hedge the change in interest rates resulting from our commitments to fund the loans. Changes in the fair values of these derivatives are included in net gains on mortgage loans in the Consolidated Statements of Operations. Fair values of the pay-fixed and pay-variable interest rate swap agreements are derived from proprietary models which utilize current market data and are included in net interest income in the Consolidated Statements of Operations.</w:t>
      </w:r>
    </w:p>
    <w:p>
      <w:pPr>
        <w:spacing w:after="0" w:line="19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Net cash settlements on derivatives that qualify for hedge accounting are recorded in net interest income in the Consolidated Statements of Operations. Net cash settlements on derivatives that do not qualify for hedge accounting are reported in non-interest income (mortgage banking related derivatives) or net interest income (interest rate swap agreements) in the Consolidated Statements of Operations. Cash flows on hedges are classified in the cash flow statement the same as the cash flows of the items being hedged.</w:t>
      </w:r>
    </w:p>
    <w:p>
      <w:pPr>
        <w:spacing w:after="0" w:line="18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formally document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Consolidated Statements of Financial Condition or to specific firm commitments or forecasted transactions. We discontinue hedge accounting when it is determined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spacing w:after="0" w:line="18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When hedge accounting is discontinued, subsequent changes in fair value of the derivative are recorded in earnings.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expected to occur, gains or losses that were accumulated in other comprehensive income (loss) are amortized into earnings over the same periods which the hedged transactions will affect earnings.</w:t>
      </w:r>
    </w:p>
    <w:p>
      <w:pPr>
        <w:spacing w:after="0" w:line="184"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COMPREHENSIVE INCOME (LOSS) </w:t>
      </w:r>
      <w:r>
        <w:rPr>
          <w:rFonts w:ascii="Times New Roman" w:cs="Times New Roman" w:eastAsia="Times New Roman" w:hAnsi="Times New Roman"/>
          <w:sz w:val="18"/>
          <w:szCs w:val="18"/>
          <w:color w:val="auto"/>
        </w:rPr>
        <w:t>— Comprehensive income (loss) consists of net income and unrealized gains and losses, net of tax, on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for sale and derivative instruments classified as cash flow hedges.</w:t>
      </w:r>
    </w:p>
    <w:p>
      <w:pPr>
        <w:spacing w:after="0" w:line="159"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INCOME PER COMMON SHARE </w:t>
      </w:r>
      <w:r>
        <w:rPr>
          <w:rFonts w:ascii="Times New Roman" w:cs="Times New Roman" w:eastAsia="Times New Roman" w:hAnsi="Times New Roman"/>
          <w:sz w:val="18"/>
          <w:szCs w:val="18"/>
          <w:color w:val="auto"/>
        </w:rPr>
        <w:t>— Basic net income per common share is computed by dividing net income by the weighted average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shares outstanding during the period and participating share awards. All outstanding unvested share-based payment awards that contain rights to nonforfeitable dividends are considered participating securities for this calculation. For diluted net income per common share, net income is divided by the weighted average number of common shares outstanding during the period plus the assumed exercise of stock options, performance share units and stock units for a deferred compensation plan for non-employee directors.</w:t>
      </w:r>
    </w:p>
    <w:p>
      <w:pPr>
        <w:spacing w:after="0" w:line="181"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SHARE BASED COMPENSATION </w:t>
      </w:r>
      <w:r>
        <w:rPr>
          <w:rFonts w:ascii="Times New Roman" w:cs="Times New Roman" w:eastAsia="Times New Roman" w:hAnsi="Times New Roman"/>
          <w:sz w:val="18"/>
          <w:szCs w:val="18"/>
          <w:color w:val="auto"/>
        </w:rPr>
        <w:t>— Cost is recognized for non-vested share awards issued to employees based on the fair value of these awards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grant. A simulation analysis which considers potential outcomes for a large number of independent scenarios is utilized to estimate the fair value of performance share units and the market price of our common stock at the date of grant is used for other non-vested share awards. Cost is recognized over the required service period, generally defined as the vesting period. Forfeitures are recognized as they occur. Cost is also recognized for stock issued to non-employee directors. These shares vest immediately and cost is recognized during the period they are issued.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 At December 31, 2023, 0.1 million shares of common stock were reserved for issuance under the dividend reinvestment plan, 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shares of common stock were reserved for issuance under our long-term incentive plan and 0.2 million shares of common stock were reserved for issuance under our non-employee director stock purchase plan.</w:t>
      </w:r>
    </w:p>
    <w:p>
      <w:pPr>
        <w:spacing w:after="0" w:line="173"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RECLASSIFICATION </w:t>
      </w:r>
      <w:r>
        <w:rPr>
          <w:rFonts w:ascii="Times New Roman" w:cs="Times New Roman" w:eastAsia="Times New Roman" w:hAnsi="Times New Roman"/>
          <w:sz w:val="18"/>
          <w:szCs w:val="18"/>
          <w:color w:val="auto"/>
        </w:rPr>
        <w:t>— Certain amounts in the 2022 and 2021 consolidated financial statements have been reclassified to conform to the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presentation.</w:t>
      </w:r>
    </w:p>
    <w:p>
      <w:pPr>
        <w:spacing w:after="0" w:line="159" w:lineRule="exact"/>
        <w:rPr>
          <w:sz w:val="20"/>
          <w:szCs w:val="20"/>
          <w:color w:val="auto"/>
        </w:rPr>
      </w:pPr>
    </w:p>
    <w:p>
      <w:pPr>
        <w:jc w:val="both"/>
        <w:ind w:firstLine="32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ADOPTION OF NEW ACCOUNTING STANDARDS </w:t>
      </w:r>
      <w:r>
        <w:rPr>
          <w:rFonts w:ascii="Times New Roman" w:cs="Times New Roman" w:eastAsia="Times New Roman" w:hAnsi="Times New Roman"/>
          <w:sz w:val="17"/>
          <w:szCs w:val="17"/>
          <w:color w:val="auto"/>
        </w:rPr>
        <w:t>— In March, 2022, the Financial Accounting Standards Board ("FASB") issued Accounting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Standards Update ("ASU") 2022-02, “Financial Instruments – Credit Losses (Topic 326): Troubled Debt Restructuring and Vintage Disclosures”. This ASU eliminates the troubled debt restructuring (“TDR”) accounting model for creditors that have already adopted Topic 326, which is commonly referred to as the current expected credit loss (“CECL”) model. In lieu of the TDR accounting model, creditors now will apply the general loan modification guidance in Subtopic 310-20 to all loan modifications, including modifications made for borrowers experiencing financial difficulty. Under the general loan modification guidance, a modification is treated as a new loan only if the terms of the new loan are at least as favorable to the lender as the terms for comparable loans to other customers with similar collection risks, and modifications to the terms of the original loan are more than minor. If either condition is not met, the modification is accounted for as the continuation of the old loan with any effect of the modification treated as a prospective adjustment to the loan’s effective interest rate. In addition, this ASU requires the disclosure of gross charge-offs recorded in the current period for financing receivables by origination year. For entities that have adopted Topic 326, ASU 2022-02 takes effect in reporting periods beginning after December 15, 2022, with early adoption permitted. The adoption of this ASU on January 1, 2023, did not have a material impact on our Condensed Consolidated Financial Statements.</w:t>
      </w:r>
    </w:p>
    <w:p>
      <w:pPr>
        <w:spacing w:after="0" w:line="181" w:lineRule="exact"/>
        <w:rPr>
          <w:sz w:val="20"/>
          <w:szCs w:val="20"/>
          <w:color w:val="auto"/>
        </w:rPr>
      </w:pPr>
    </w:p>
    <w:p>
      <w:pPr>
        <w:jc w:val="both"/>
        <w:ind w:firstLine="320"/>
        <w:spacing w:after="0" w:line="269" w:lineRule="auto"/>
        <w:rPr>
          <w:sz w:val="20"/>
          <w:szCs w:val="20"/>
          <w:color w:val="auto"/>
        </w:rPr>
      </w:pPr>
      <w:r>
        <w:rPr>
          <w:rFonts w:ascii="Times New Roman" w:cs="Times New Roman" w:eastAsia="Times New Roman" w:hAnsi="Times New Roman"/>
          <w:sz w:val="17"/>
          <w:szCs w:val="17"/>
          <w:color w:val="auto"/>
        </w:rPr>
        <w:t>In March 2020, the FASB issued ASU 2020-04, ‘‘Reference Rate Reform (Topic 848), Facilitation of the Effects of Reference Rate Reform on Financial Reporting’’ and in December 2022 the FASB issued ASU 2022-06, "Reference Rate Reform (Topic 848), Deferral of the Sunset Date of Topic 848". These new ASUs provide temporary optional expedients and exceptions to GAAP guidance on contract modifications and hedge accounting to ease the financial reporting burdens of the expected market transition from LIBOR and other interbank offered rates to alternative reference rates. Entities can elect not to apply certain modification accounting requirements to contracts affected by reference rate reform, if certain criteria are met. Entities that make such elections would not have to remeasure contracts at the modification date or reassess a previous accounting determination. Entities can elect various optional expedients that would allow them to continue applying hedge accounting for hedging relationships affected by reference rate reform, if certain criteria are met.</w:t>
      </w:r>
    </w:p>
    <w:p>
      <w:pPr>
        <w:spacing w:after="0" w:line="13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formed a cross-functional project team to lead the transition from LIBOR to an adoption of reference rates that include Secured Overnight Financing Rate (“SOFR”). We utilized the timeline guidance published by the Alternative Reference Rates Committee to develop and achieve internal milestones during this transitional period. We discontinued the use of new LIBOR-based loans and interest rate derivatives as of December 31, 2021, according to regulatory guidelines. The amended guidance under Topic 848 and our ability to elect its temporary optional expedients and exceptions are effective for us through December 31, 2024.</w:t>
      </w:r>
    </w:p>
    <w:p>
      <w:pPr>
        <w:spacing w:after="0" w:line="159"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 March, 2023, the FASB issued ASU 2023-02, "Investments - Equity Method and Joint Ventures (Topic 323): Accounting for Investments in Tax Credit Structures Using the Proportional Amortization Method (a consensus of the Emerging Issues Task Force)". This ASU expands the use of the proportional amortization method of accounting — currently allowed only for investments in low-income housing tax credit ("LIHTC") structures — to equity investments in other tax credit structures that meet certain criteria. Common tax credit programs that investors access via tax equity structures and that may now be eligible for application of the proportional amortization method include: new markets tax credits, historic rehabilitation tax credit programs, and renewable energy tax credit programs. This ASU takes effect in reporting periods beginning after December 15, 2023, with early adoption permitted. We do not expect the adoption of this this ASU to have a material impact on our Condensed Consolidated Financial Statements.</w:t>
      </w:r>
    </w:p>
    <w:p>
      <w:pPr>
        <w:spacing w:after="0" w:line="14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323): Improvements to Reportable Segment Disclosures". This ASU enhances disclosures of significant segment expenses by requiring entities to disclose significant segment expenses regularly provided to the chief operating decision maker, extend certain annual disclosures to interim periods, and permit more than one measure of segment profit or loss to be reported under certain conditions. This ASU takes effect in reporting periods beginning after December 15, 2023, with early adoption permitted. We do not expect the adoption of this ASU to have a material impact on our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ASU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This ASU also requires entities to disclose their income tax payments to international, federal, state and local jurisdictions, among other changes. This ASU takes effect in reporting periods beginning after December 15, 2024, with early adoption permitted. We do not expect the adoption of this ASU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RESTRICTIONS ON CASH AND DUE FROM BANKS</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During March 2020 the FRB, in response to the COVID-19 pandemic, reduced our Bank’s reserve balance requirements to zero. Prior to that time our Bank was required to maintain reserve balances in the form of vault cash and balances with the FRB. The average reserve balances to be maintained during 2023 and 2022 were zero. We do not maintain compensating balances with correspondent banks. We may also be required to maintain reserve balances related to certain mortgage banking related derivatives not classified as hedges. These balances are held at unrelated financial institutions and totaled $0.3 million and $0.3 million at December 31, 2023 and 2022.</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SECURITIES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27"/>
        </w:trPr>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Securities AFS consist of the following at December 31:</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06"/>
        </w:trPr>
        <w:tc>
          <w:tcPr>
            <w:tcW w:w="5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Amortized</w:t>
            </w: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8"/>
                <w:szCs w:val="18"/>
                <w:color w:val="auto"/>
              </w:rPr>
              <w:t>Unrealized</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0"/>
        </w:trPr>
        <w:tc>
          <w:tcPr>
            <w:tcW w:w="5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Cost</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Gains</w:t>
            </w: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Losses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Fair Value</w:t>
            </w:r>
          </w:p>
        </w:tc>
      </w:tr>
      <w:tr>
        <w:trPr>
          <w:trHeight w:val="240"/>
        </w:trPr>
        <w:tc>
          <w:tcPr>
            <w:tcW w:w="5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6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w:t>
            </w:r>
          </w:p>
        </w:tc>
      </w:tr>
      <w:tr>
        <w:trPr>
          <w:trHeight w:val="24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81,217</w:t>
            </w:r>
          </w:p>
        </w:tc>
      </w:tr>
      <w:tr>
        <w:trPr>
          <w:trHeight w:val="26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13,706</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12,297</w:t>
            </w:r>
          </w:p>
        </w:tc>
      </w:tr>
      <w:tr>
        <w:trPr>
          <w:trHeight w:val="24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93,527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86,469</w:t>
            </w:r>
          </w:p>
        </w:tc>
      </w:tr>
      <w:tr>
        <w:trPr>
          <w:trHeight w:val="26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 backed</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114,867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112,931</w:t>
            </w:r>
          </w:p>
        </w:tc>
      </w:tr>
      <w:tr>
        <w:trPr>
          <w:trHeight w:val="24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341,177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302,737</w:t>
            </w:r>
          </w:p>
        </w:tc>
      </w:tr>
      <w:tr>
        <w:trPr>
          <w:trHeight w:val="26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79,296</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73,250</w:t>
            </w:r>
          </w:p>
        </w:tc>
      </w:tr>
      <w:tr>
        <w:trPr>
          <w:trHeight w:val="24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78"/>
        </w:trPr>
        <w:tc>
          <w:tcPr>
            <w:tcW w:w="50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744,050</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679,350</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4"/>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4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13,191</w:t>
            </w:r>
          </w:p>
        </w:tc>
        <w:tc>
          <w:tcPr>
            <w:tcW w:w="80" w:type="dxa"/>
            <w:vAlign w:val="bottom"/>
          </w:tcPr>
          <w:p>
            <w:pPr>
              <w:spacing w:after="0"/>
              <w:rPr>
                <w:sz w:val="21"/>
                <w:szCs w:val="21"/>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50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21"/>
                <w:szCs w:val="21"/>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12,101</w:t>
            </w:r>
          </w:p>
        </w:tc>
      </w:tr>
      <w:tr>
        <w:trPr>
          <w:trHeight w:val="26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90,458</w:t>
            </w:r>
          </w:p>
        </w:tc>
      </w:tr>
      <w:tr>
        <w:trPr>
          <w:trHeight w:val="24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13,453</w:t>
            </w:r>
          </w:p>
        </w:tc>
      </w:tr>
      <w:tr>
        <w:trPr>
          <w:trHeight w:val="26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102,196</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93,845</w:t>
            </w:r>
          </w:p>
        </w:tc>
      </w:tr>
      <w:tr>
        <w:trPr>
          <w:trHeight w:val="24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 backed</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200,755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194,725</w:t>
            </w:r>
          </w:p>
        </w:tc>
      </w:tr>
      <w:tr>
        <w:trPr>
          <w:trHeight w:val="26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346,187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295,677</w:t>
            </w:r>
          </w:p>
        </w:tc>
      </w:tr>
      <w:tr>
        <w:trPr>
          <w:trHeight w:val="24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87,308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78,157</w:t>
            </w:r>
          </w:p>
        </w:tc>
      </w:tr>
      <w:tr>
        <w:trPr>
          <w:trHeight w:val="254"/>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53"/>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866,363</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87,345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779,347</w:t>
            </w:r>
          </w:p>
        </w:tc>
      </w:tr>
      <w:tr>
        <w:trPr>
          <w:trHeight w:val="20"/>
        </w:trPr>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Securities HTM consist of the following at December 31:</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Transferred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4"/>
            <w:vMerge w:val="restart"/>
          </w:tcPr>
          <w:p>
            <w:pPr>
              <w:jc w:val="right"/>
              <w:ind w:right="711"/>
              <w:spacing w:after="0"/>
              <w:rPr>
                <w:sz w:val="20"/>
                <w:szCs w:val="20"/>
                <w:color w:val="auto"/>
              </w:rPr>
            </w:pPr>
            <w:r>
              <w:rPr>
                <w:rFonts w:ascii="Times New Roman" w:cs="Times New Roman" w:eastAsia="Times New Roman" w:hAnsi="Times New Roman"/>
                <w:sz w:val="18"/>
                <w:szCs w:val="18"/>
                <w:color w:val="auto"/>
              </w:rPr>
              <w:t>Unrealized</w:t>
            </w:r>
          </w:p>
        </w:tc>
        <w:tc>
          <w:tcPr>
            <w:tcW w:w="8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80"/>
              <w:spacing w:after="0" w:line="192" w:lineRule="exact"/>
              <w:rPr>
                <w:sz w:val="20"/>
                <w:szCs w:val="20"/>
                <w:color w:val="auto"/>
              </w:rPr>
            </w:pPr>
            <w:r>
              <w:rPr>
                <w:rFonts w:ascii="Times New Roman" w:cs="Times New Roman" w:eastAsia="Times New Roman" w:hAnsi="Times New Roman"/>
                <w:sz w:val="18"/>
                <w:szCs w:val="18"/>
                <w:color w:val="auto"/>
                <w:w w:val="99"/>
              </w:rPr>
              <w:t>Carrying</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line="192" w:lineRule="exact"/>
              <w:rPr>
                <w:sz w:val="20"/>
                <w:szCs w:val="20"/>
                <w:color w:val="auto"/>
              </w:rPr>
            </w:pPr>
            <w:r>
              <w:rPr>
                <w:rFonts w:ascii="Times New Roman" w:cs="Times New Roman" w:eastAsia="Times New Roman" w:hAnsi="Times New Roman"/>
                <w:sz w:val="18"/>
                <w:szCs w:val="18"/>
                <w:color w:val="auto"/>
                <w:w w:val="98"/>
              </w:rPr>
              <w:t>Unrealized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line="192" w:lineRule="exact"/>
              <w:rPr>
                <w:sz w:val="20"/>
                <w:szCs w:val="20"/>
                <w:color w:val="auto"/>
              </w:rPr>
            </w:pPr>
            <w:r>
              <w:rPr>
                <w:rFonts w:ascii="Times New Roman" w:cs="Times New Roman" w:eastAsia="Times New Roman" w:hAnsi="Times New Roman"/>
                <w:sz w:val="18"/>
                <w:szCs w:val="18"/>
                <w:color w:val="auto"/>
                <w:w w:val="98"/>
              </w:rPr>
              <w:t>Amortized</w:t>
            </w: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2"/>
              </w:rPr>
              <w:t>Value</w:t>
            </w:r>
          </w:p>
        </w:tc>
        <w:tc>
          <w:tcPr>
            <w:tcW w:w="18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Loss (1)</w:t>
            </w:r>
          </w:p>
        </w:tc>
        <w:tc>
          <w:tcPr>
            <w:tcW w:w="240" w:type="dxa"/>
            <w:vAlign w:val="bottom"/>
          </w:tcPr>
          <w:p>
            <w:pPr>
              <w:spacing w:after="0"/>
              <w:rPr>
                <w:sz w:val="20"/>
                <w:szCs w:val="20"/>
                <w:color w:val="auto"/>
              </w:rPr>
            </w:pPr>
          </w:p>
        </w:tc>
        <w:tc>
          <w:tcPr>
            <w:tcW w:w="8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ACL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Cost</w:t>
            </w:r>
          </w:p>
        </w:tc>
        <w:tc>
          <w:tcPr>
            <w:tcW w:w="2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Gains</w:t>
            </w:r>
          </w:p>
        </w:tc>
        <w:tc>
          <w:tcPr>
            <w:tcW w:w="22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tcPr>
          <w:p>
            <w:pPr>
              <w:spacing w:after="0"/>
              <w:rPr>
                <w:sz w:val="20"/>
                <w:szCs w:val="20"/>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99"/>
              </w:rPr>
              <w:t>Fair Value</w:t>
            </w:r>
          </w:p>
        </w:tc>
        <w:tc>
          <w:tcPr>
            <w:tcW w:w="0" w:type="dxa"/>
            <w:vAlign w:val="bottom"/>
          </w:tcPr>
          <w:p>
            <w:pPr>
              <w:spacing w:after="0"/>
              <w:rPr>
                <w:sz w:val="1"/>
                <w:szCs w:val="1"/>
                <w:color w:val="auto"/>
              </w:rPr>
            </w:pPr>
          </w:p>
        </w:tc>
      </w:tr>
      <w:tr>
        <w:trPr>
          <w:trHeight w:val="26"/>
        </w:trPr>
        <w:tc>
          <w:tcPr>
            <w:tcW w:w="2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8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27,371</w:t>
            </w:r>
          </w:p>
        </w:tc>
        <w:tc>
          <w:tcPr>
            <w:tcW w:w="8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22,479</w:t>
            </w:r>
          </w:p>
        </w:tc>
        <w:tc>
          <w:tcPr>
            <w:tcW w:w="0" w:type="dxa"/>
            <w:vAlign w:val="bottom"/>
          </w:tcPr>
          <w:p>
            <w:pPr>
              <w:spacing w:after="0"/>
              <w:rPr>
                <w:sz w:val="1"/>
                <w:szCs w:val="1"/>
                <w:color w:val="auto"/>
              </w:rPr>
            </w:pPr>
          </w:p>
        </w:tc>
      </w:tr>
      <w:tr>
        <w:trPr>
          <w:trHeight w:val="173"/>
        </w:trPr>
        <w:tc>
          <w:tcPr>
            <w:tcW w:w="2560" w:type="dxa"/>
            <w:vAlign w:val="bottom"/>
            <w:shd w:val="clear" w:color="auto" w:fill="CCEEFF"/>
          </w:tcPr>
          <w:p>
            <w:pPr>
              <w:ind w:left="180"/>
              <w:spacing w:after="0" w:line="174" w:lineRule="exact"/>
              <w:rPr>
                <w:sz w:val="20"/>
                <w:szCs w:val="20"/>
                <w:color w:val="auto"/>
              </w:rPr>
            </w:pPr>
            <w:r>
              <w:rPr>
                <w:rFonts w:ascii="Times New Roman" w:cs="Times New Roman" w:eastAsia="Times New Roman" w:hAnsi="Times New Roman"/>
                <w:sz w:val="18"/>
                <w:szCs w:val="18"/>
                <w:color w:val="auto"/>
              </w:rPr>
              <w:t>U.S. agency residential</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mortgage-backed</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108,770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118,485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94,636</w:t>
            </w:r>
          </w:p>
        </w:tc>
        <w:tc>
          <w:tcPr>
            <w:tcW w:w="0" w:type="dxa"/>
            <w:vAlign w:val="bottom"/>
          </w:tcPr>
          <w:p>
            <w:pPr>
              <w:spacing w:after="0"/>
              <w:rPr>
                <w:sz w:val="1"/>
                <w:szCs w:val="1"/>
                <w:color w:val="auto"/>
              </w:rPr>
            </w:pPr>
          </w:p>
        </w:tc>
      </w:tr>
      <w:tr>
        <w:trPr>
          <w:trHeight w:val="173"/>
        </w:trPr>
        <w:tc>
          <w:tcPr>
            <w:tcW w:w="256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color w:val="auto"/>
              </w:rPr>
              <w:t>U.S. agency commercial</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mortgage-backed</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0" w:type="dxa"/>
            <w:vAlign w:val="bottom"/>
          </w:tcPr>
          <w:p>
            <w:pPr>
              <w:spacing w:after="0"/>
              <w:rPr>
                <w:sz w:val="1"/>
                <w:szCs w:val="1"/>
                <w:color w:val="auto"/>
              </w:rPr>
            </w:pPr>
          </w:p>
        </w:tc>
      </w:tr>
      <w:tr>
        <w:trPr>
          <w:trHeight w:val="227"/>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0" w:type="dxa"/>
            <w:vAlign w:val="bottom"/>
          </w:tcPr>
          <w:p>
            <w:pPr>
              <w:spacing w:after="0"/>
              <w:rPr>
                <w:sz w:val="1"/>
                <w:szCs w:val="1"/>
                <w:color w:val="auto"/>
              </w:rPr>
            </w:pPr>
          </w:p>
        </w:tc>
      </w:tr>
      <w:tr>
        <w:trPr>
          <w:trHeight w:val="173"/>
        </w:trPr>
        <w:tc>
          <w:tcPr>
            <w:tcW w:w="256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color w:val="auto"/>
              </w:rPr>
              <w:t>Obligations of states and</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political subdivisions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168,264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149,545</w:t>
            </w:r>
          </w:p>
        </w:tc>
        <w:tc>
          <w:tcPr>
            <w:tcW w:w="0" w:type="dxa"/>
            <w:vAlign w:val="bottom"/>
          </w:tcPr>
          <w:p>
            <w:pPr>
              <w:spacing w:after="0"/>
              <w:rPr>
                <w:sz w:val="1"/>
                <w:szCs w:val="1"/>
                <w:color w:val="auto"/>
              </w:rPr>
            </w:pPr>
          </w:p>
        </w:tc>
      </w:tr>
      <w:tr>
        <w:trPr>
          <w:trHeight w:val="227"/>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40,368</w:t>
            </w:r>
          </w:p>
        </w:tc>
        <w:tc>
          <w:tcPr>
            <w:tcW w:w="0" w:type="dxa"/>
            <w:vAlign w:val="bottom"/>
          </w:tcPr>
          <w:p>
            <w:pPr>
              <w:spacing w:after="0"/>
              <w:rPr>
                <w:sz w:val="1"/>
                <w:szCs w:val="1"/>
                <w:color w:val="auto"/>
              </w:rPr>
            </w:pPr>
          </w:p>
        </w:tc>
      </w:tr>
      <w:tr>
        <w:trPr>
          <w:trHeight w:val="227"/>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45"/>
        </w:trPr>
        <w:tc>
          <w:tcPr>
            <w:tcW w:w="2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373,648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318,606</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8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29,473</w:t>
            </w:r>
          </w:p>
        </w:tc>
        <w:tc>
          <w:tcPr>
            <w:tcW w:w="8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24,407</w:t>
            </w:r>
          </w:p>
        </w:tc>
        <w:tc>
          <w:tcPr>
            <w:tcW w:w="0" w:type="dxa"/>
            <w:vAlign w:val="bottom"/>
          </w:tcPr>
          <w:p>
            <w:pPr>
              <w:spacing w:after="0"/>
              <w:rPr>
                <w:sz w:val="1"/>
                <w:szCs w:val="1"/>
                <w:color w:val="auto"/>
              </w:rPr>
            </w:pPr>
          </w:p>
        </w:tc>
      </w:tr>
      <w:tr>
        <w:trPr>
          <w:trHeight w:val="173"/>
        </w:trPr>
        <w:tc>
          <w:tcPr>
            <w:tcW w:w="2560" w:type="dxa"/>
            <w:vAlign w:val="bottom"/>
            <w:shd w:val="clear" w:color="auto" w:fill="CCEEFF"/>
          </w:tcPr>
          <w:p>
            <w:pPr>
              <w:ind w:left="180"/>
              <w:spacing w:after="0" w:line="174" w:lineRule="exact"/>
              <w:rPr>
                <w:sz w:val="20"/>
                <w:szCs w:val="20"/>
                <w:color w:val="auto"/>
              </w:rPr>
            </w:pPr>
            <w:r>
              <w:rPr>
                <w:rFonts w:ascii="Times New Roman" w:cs="Times New Roman" w:eastAsia="Times New Roman" w:hAnsi="Times New Roman"/>
                <w:sz w:val="18"/>
                <w:szCs w:val="18"/>
                <w:color w:val="auto"/>
              </w:rPr>
              <w:t>U.S. agency residential</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mortgage-backed</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128,495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103,256</w:t>
            </w:r>
          </w:p>
        </w:tc>
        <w:tc>
          <w:tcPr>
            <w:tcW w:w="0" w:type="dxa"/>
            <w:vAlign w:val="bottom"/>
          </w:tcPr>
          <w:p>
            <w:pPr>
              <w:spacing w:after="0"/>
              <w:rPr>
                <w:sz w:val="1"/>
                <w:szCs w:val="1"/>
                <w:color w:val="auto"/>
              </w:rPr>
            </w:pPr>
          </w:p>
        </w:tc>
      </w:tr>
      <w:tr>
        <w:trPr>
          <w:trHeight w:val="173"/>
        </w:trPr>
        <w:tc>
          <w:tcPr>
            <w:tcW w:w="256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color w:val="auto"/>
              </w:rPr>
              <w:t>U.S. agency commercial</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mortgage-backed</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0" w:type="dxa"/>
            <w:vAlign w:val="bottom"/>
          </w:tcPr>
          <w:p>
            <w:pPr>
              <w:spacing w:after="0"/>
              <w:rPr>
                <w:sz w:val="1"/>
                <w:szCs w:val="1"/>
                <w:color w:val="auto"/>
              </w:rPr>
            </w:pPr>
          </w:p>
        </w:tc>
      </w:tr>
      <w:tr>
        <w:trPr>
          <w:trHeight w:val="227"/>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0" w:type="dxa"/>
            <w:vAlign w:val="bottom"/>
          </w:tcPr>
          <w:p>
            <w:pPr>
              <w:spacing w:after="0"/>
              <w:rPr>
                <w:sz w:val="1"/>
                <w:szCs w:val="1"/>
                <w:color w:val="auto"/>
              </w:rPr>
            </w:pPr>
          </w:p>
        </w:tc>
      </w:tr>
      <w:tr>
        <w:trPr>
          <w:trHeight w:val="173"/>
        </w:trPr>
        <w:tc>
          <w:tcPr>
            <w:tcW w:w="2560" w:type="dxa"/>
            <w:vAlign w:val="bottom"/>
          </w:tcPr>
          <w:p>
            <w:pPr>
              <w:ind w:left="180"/>
              <w:spacing w:after="0" w:line="174" w:lineRule="exact"/>
              <w:rPr>
                <w:sz w:val="20"/>
                <w:szCs w:val="20"/>
                <w:color w:val="auto"/>
              </w:rPr>
            </w:pPr>
            <w:r>
              <w:rPr>
                <w:rFonts w:ascii="Times New Roman" w:cs="Times New Roman" w:eastAsia="Times New Roman" w:hAnsi="Times New Roman"/>
                <w:sz w:val="18"/>
                <w:szCs w:val="18"/>
                <w:color w:val="auto"/>
              </w:rPr>
              <w:t>Obligations of states and</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political subdivisions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176,728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151,148</w:t>
            </w:r>
          </w:p>
        </w:tc>
        <w:tc>
          <w:tcPr>
            <w:tcW w:w="0" w:type="dxa"/>
            <w:vAlign w:val="bottom"/>
          </w:tcPr>
          <w:p>
            <w:pPr>
              <w:spacing w:after="0"/>
              <w:rPr>
                <w:sz w:val="1"/>
                <w:szCs w:val="1"/>
                <w:color w:val="auto"/>
              </w:rPr>
            </w:pPr>
          </w:p>
        </w:tc>
      </w:tr>
      <w:tr>
        <w:trPr>
          <w:trHeight w:val="227"/>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44,515</w:t>
            </w:r>
          </w:p>
        </w:tc>
        <w:tc>
          <w:tcPr>
            <w:tcW w:w="0" w:type="dxa"/>
            <w:vAlign w:val="bottom"/>
          </w:tcPr>
          <w:p>
            <w:pPr>
              <w:spacing w:after="0"/>
              <w:rPr>
                <w:sz w:val="1"/>
                <w:szCs w:val="1"/>
                <w:color w:val="auto"/>
              </w:rPr>
            </w:pPr>
          </w:p>
        </w:tc>
      </w:tr>
      <w:tr>
        <w:trPr>
          <w:trHeight w:val="227"/>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5"/>
        </w:trPr>
        <w:tc>
          <w:tcPr>
            <w:tcW w:w="2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398,052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335,418</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the remaining unrealized loss to be accreted on securities that were transferred from AFS to HTM on April 1, 2022.</w:t>
      </w:r>
    </w:p>
    <w:p>
      <w:pPr>
        <w:spacing w:after="0" w:line="220"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On April 1, 2022, we transferred certain securities AFS with an amortized cost and unrealized loss at the date of transfer of $418.1 million and $26.5 million, respectively to HTM. The transfer was made at fair value, with the unrealized loss becoming part of the purchase discount which will be accreted over the remaining life of the securities. The other comprehensive loss component is separated from the remaining available for sale securities and is accreted over the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remaining life of the securities transferred. We have the ability and intent to hold these securities until they mature, at which time we expect to receive full value for these securities.</w:t>
      </w:r>
    </w:p>
    <w:p>
      <w:pPr>
        <w:spacing w:after="0" w:line="163"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Our investments’ gross unrealized losses and fair values for securities AFS aggregated by investment type and length of time that individual securities have been at a continuous unrealized loss position, at December 31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4"/>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Less Than Twelve Months</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Twelve Months or More</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Borders>
              <w:bottom w:val="single" w:sz="8" w:color="auto"/>
            </w:tcBorders>
          </w:tcPr>
          <w:p>
            <w:pPr>
              <w:spacing w:after="0"/>
              <w:rPr>
                <w:sz w:val="21"/>
                <w:szCs w:val="21"/>
                <w:color w:val="auto"/>
              </w:rPr>
            </w:pPr>
          </w:p>
        </w:tc>
      </w:tr>
      <w:tr>
        <w:trPr>
          <w:trHeight w:val="218"/>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56"/>
        </w:trPr>
        <w:tc>
          <w:tcPr>
            <w:tcW w:w="33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40"/>
        </w:trPr>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6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47"/>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8,981</w:t>
            </w:r>
          </w:p>
        </w:tc>
      </w:tr>
      <w:tr>
        <w:trPr>
          <w:trHeight w:val="26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247"/>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w:t>
            </w:r>
          </w:p>
        </w:tc>
      </w:tr>
      <w:tr>
        <w:trPr>
          <w:trHeight w:val="26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 backed</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97,203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r>
      <w:tr>
        <w:trPr>
          <w:trHeight w:val="208"/>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9"/>
        </w:trPr>
        <w:tc>
          <w:tcPr>
            <w:tcW w:w="3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38,644</w:t>
            </w:r>
          </w:p>
        </w:tc>
      </w:tr>
      <w:tr>
        <w:trPr>
          <w:trHeight w:val="26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w:t>
            </w:r>
          </w:p>
        </w:tc>
      </w:tr>
      <w:tr>
        <w:trPr>
          <w:trHeight w:val="247"/>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8"/>
        </w:trPr>
        <w:tc>
          <w:tcPr>
            <w:tcW w:w="3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652,697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64,719</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667,184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65,164</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4"/>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47"/>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6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88,577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10,261</w:t>
            </w:r>
          </w:p>
        </w:tc>
      </w:tr>
      <w:tr>
        <w:trPr>
          <w:trHeight w:val="247"/>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r>
      <w:tr>
        <w:trPr>
          <w:trHeight w:val="26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w:t>
            </w:r>
          </w:p>
        </w:tc>
      </w:tr>
      <w:tr>
        <w:trPr>
          <w:trHeight w:val="247"/>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 backed</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6,030</w:t>
            </w:r>
          </w:p>
        </w:tc>
      </w:tr>
      <w:tr>
        <w:trPr>
          <w:trHeight w:val="215"/>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5"/>
        </w:trPr>
        <w:tc>
          <w:tcPr>
            <w:tcW w:w="3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231,705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50,565</w:t>
            </w:r>
          </w:p>
        </w:tc>
      </w:tr>
      <w:tr>
        <w:trPr>
          <w:trHeight w:val="247"/>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w:t>
            </w:r>
          </w:p>
        </w:tc>
      </w:tr>
      <w:tr>
        <w:trPr>
          <w:trHeight w:val="254"/>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53"/>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275,781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490,301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67,361</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766,082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87,345</w:t>
            </w: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applicable taxes. No ACL for securities AFS was needed at December 31, 2023 and 2022. Accrued interest receivable on securities AFS totaled $4.6 million and $4.7 million at December 31, 2023 and 2022, respectively and is excluded from the estimate of credit losses and is included in accrued income and other assets in the Consolidated Statements of Financial Condition.</w:t>
      </w:r>
    </w:p>
    <w:p>
      <w:pPr>
        <w:spacing w:after="0" w:line="17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U.S. agency, U.S. agency residential mortgage-backed and U.S. agency commercial mortgage backed securities — at December 31, 2023, we had 31 U.S. agency, 169 U.S. agency residential mortgage-backed and 11 U.S. agency commercial mortgage-backed securities whose fair value is less than amortized cost. These securities are either explicitly or implicitly guaranteed by the U.S. government, are highly rated by major credit rating agencies, and have a long history of no credit losses. The unrealized losses are largely attributed to widening spreads to Treasury bonds and/or an increase in interest rates since acquisition.</w:t>
      </w:r>
    </w:p>
    <w:p>
      <w:pPr>
        <w:spacing w:after="0" w:line="18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Private label mortgage backed, other asset backed and corporate securities — at December 31, 2023, we had 88 private label mortgage backed, 104 other asset backed, and 76 corporate securities whose fair value is less than amortized cost. The unrealized losses are primarily due to credit spread widening and/or an increase in interest rates since acquisition.</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Obligations of states and political subdivisions — at December 31, 2023, we had 327 municipal securities whose fair value is less than amortized cost.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unrealized losses are primarily due to an increase in interest rates since acquisition.</w:t>
      </w:r>
    </w:p>
    <w:p>
      <w:pPr>
        <w:spacing w:after="0" w:line="20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Trust preferred securities — at December 31, 2023, we had one trust preferred security whose fair value is less than amortized cost. This trust preferred securities is a single issue security issued by a trust subsidiary of a bank holding company. The pricing of trust preferred securities has suffered from credit spread widening. This security is rated by a major rating agency as investment grade.</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At December 31, 2023 management does not intend to liquidate any of the securities discussed above and it is more likely than not that we will not be required to sell these securities prior to recovery of these unrealized losses.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recorded no credit related charges in our Consolidated Statements of Operations related to securities available for sale during 2023, 2022, and 2021.</w:t>
      </w:r>
    </w:p>
    <w:p>
      <w:pPr>
        <w:spacing w:after="0" w:line="191" w:lineRule="exact"/>
        <w:rPr>
          <w:sz w:val="20"/>
          <w:szCs w:val="20"/>
          <w:color w:val="auto"/>
        </w:rPr>
      </w:pPr>
    </w:p>
    <w:p>
      <w:pPr>
        <w:jc w:val="both"/>
        <w:ind w:firstLine="320"/>
        <w:spacing w:after="0" w:line="249" w:lineRule="auto"/>
        <w:rPr>
          <w:sz w:val="20"/>
          <w:szCs w:val="20"/>
          <w:color w:val="auto"/>
        </w:rPr>
      </w:pPr>
      <w:r>
        <w:rPr>
          <w:rFonts w:ascii="Times New Roman" w:cs="Times New Roman" w:eastAsia="Times New Roman" w:hAnsi="Times New Roman"/>
          <w:sz w:val="18"/>
          <w:szCs w:val="18"/>
          <w:color w:val="auto"/>
        </w:rPr>
        <w:t>The ACL on securities HTM is a contra asset valuation account that is deducted from the carrying amount of securities HTM to present the net amount expected to be collected. Securities HTM are charged off against the ACL when deemed uncollectible. Adjustments to the ACL are reported in our Consolidated Statements of Operations in provision for credit losses. We measure expected credit losses on securities HTM on a collective basis by major security type with each type sharing similar risk characteristics and consider historical credit loss information. Accrued interest receivable on securities HTM totaled $1.8 million and $1.8 million at December 31, 2023 and 2022, respectively and is excluded from the estimate of credit losses and is included in accrued income and other assets in the Consolidated Statements of Financial Condition.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historical loss rates for given bond ratings, (3) the financial condition of the issuer, and (4) whether issuers continue to make timely principal and interest payments under the contractual terms of the securities. Historical loss rates associated with securities having similar grades as those in our portfolio have been insignificant. During the first quarter of 2023, one corporate security (Signature Bank) defaulted resulting in a $3.0 million provision for credit losses and a corresponding full charge-off. Subsequent to this security's charge-off, a portion of its fair value had recovered and was subsequently sold during the first quarter of 2024 for $1.1 million during which period we expect to record that amount as a recovery to the ACL. Despite this lone security loss, the long-term historical loss rates associated with securities having similar grades as those in our portfolio have been insignificant. Furthermore, as of December 31, 2023 and 2022, there were no past due principal and interest payments associated with these securities. At those same dates an allowance for credit losses of $157,000 and $168,000, respectively was recorded on non U.S. agency securities HTM based on applying the long-term historical credit loss rate, as published by credit rating agencies, for similarly rated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a quarterly basis, we monitor the credit quality of securities HTM through the use of credit ratings. The carrying value of securities HTM at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aggregated by credit quality follow: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Private</w:t>
            </w: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Obligations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vMerge w:val="restart"/>
          </w:tcPr>
          <w:p>
            <w:pPr>
              <w:jc w:val="center"/>
              <w:ind w:right="171"/>
              <w:spacing w:after="0"/>
              <w:rPr>
                <w:sz w:val="20"/>
                <w:szCs w:val="20"/>
                <w:color w:val="auto"/>
              </w:rPr>
            </w:pPr>
            <w:r>
              <w:rPr>
                <w:rFonts w:ascii="Times New Roman" w:cs="Times New Roman" w:eastAsia="Times New Roman" w:hAnsi="Times New Roman"/>
                <w:sz w:val="18"/>
                <w:szCs w:val="18"/>
                <w:color w:val="auto"/>
                <w:w w:val="99"/>
              </w:rPr>
              <w:t>Carrying</w:t>
            </w:r>
          </w:p>
        </w:tc>
        <w:tc>
          <w:tcPr>
            <w:tcW w:w="0" w:type="dxa"/>
            <w:vAlign w:val="bottom"/>
          </w:tcPr>
          <w:p>
            <w:pPr>
              <w:spacing w:after="0"/>
              <w:rPr>
                <w:sz w:val="1"/>
                <w:szCs w:val="1"/>
                <w:color w:val="auto"/>
              </w:rPr>
            </w:pPr>
          </w:p>
        </w:tc>
      </w:tr>
      <w:tr>
        <w:trPr>
          <w:trHeight w:val="178"/>
        </w:trPr>
        <w:tc>
          <w:tcPr>
            <w:tcW w:w="3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center"/>
              <w:ind w:right="320"/>
              <w:spacing w:after="0" w:line="178" w:lineRule="exact"/>
              <w:rPr>
                <w:sz w:val="20"/>
                <w:szCs w:val="20"/>
                <w:color w:val="auto"/>
              </w:rPr>
            </w:pPr>
            <w:r>
              <w:rPr>
                <w:rFonts w:ascii="Times New Roman" w:cs="Times New Roman" w:eastAsia="Times New Roman" w:hAnsi="Times New Roman"/>
                <w:sz w:val="18"/>
                <w:szCs w:val="18"/>
                <w:color w:val="auto"/>
                <w:w w:val="97"/>
              </w:rPr>
              <w:t>Label</w:t>
            </w:r>
          </w:p>
        </w:tc>
        <w:tc>
          <w:tcPr>
            <w:tcW w:w="200" w:type="dxa"/>
            <w:vAlign w:val="bottom"/>
          </w:tcPr>
          <w:p>
            <w:pPr>
              <w:spacing w:after="0"/>
              <w:rPr>
                <w:sz w:val="15"/>
                <w:szCs w:val="15"/>
                <w:color w:val="auto"/>
              </w:rPr>
            </w:pPr>
          </w:p>
        </w:tc>
        <w:tc>
          <w:tcPr>
            <w:tcW w:w="1380" w:type="dxa"/>
            <w:vAlign w:val="bottom"/>
            <w:gridSpan w:val="2"/>
          </w:tcPr>
          <w:p>
            <w:pPr>
              <w:jc w:val="center"/>
              <w:ind w:right="280"/>
              <w:spacing w:after="0" w:line="178" w:lineRule="exact"/>
              <w:rPr>
                <w:sz w:val="20"/>
                <w:szCs w:val="20"/>
                <w:color w:val="auto"/>
              </w:rPr>
            </w:pPr>
            <w:r>
              <w:rPr>
                <w:rFonts w:ascii="Times New Roman" w:cs="Times New Roman" w:eastAsia="Times New Roman" w:hAnsi="Times New Roman"/>
                <w:sz w:val="18"/>
                <w:szCs w:val="18"/>
                <w:color w:val="auto"/>
                <w:w w:val="99"/>
              </w:rPr>
              <w:t>of States</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color w:val="auto"/>
                <w:w w:val="99"/>
              </w:rPr>
              <w:t>Trust</w:t>
            </w:r>
          </w:p>
        </w:tc>
        <w:tc>
          <w:tcPr>
            <w:tcW w:w="2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center"/>
              <w:ind w:right="320"/>
              <w:spacing w:after="0" w:line="174" w:lineRule="exact"/>
              <w:rPr>
                <w:sz w:val="20"/>
                <w:szCs w:val="20"/>
                <w:color w:val="auto"/>
              </w:rPr>
            </w:pPr>
            <w:r>
              <w:rPr>
                <w:rFonts w:ascii="Times New Roman" w:cs="Times New Roman" w:eastAsia="Times New Roman" w:hAnsi="Times New Roman"/>
                <w:sz w:val="18"/>
                <w:szCs w:val="18"/>
                <w:color w:val="auto"/>
                <w:w w:val="99"/>
              </w:rPr>
              <w:t>Mortgage-</w:t>
            </w:r>
          </w:p>
        </w:tc>
        <w:tc>
          <w:tcPr>
            <w:tcW w:w="200" w:type="dxa"/>
            <w:vAlign w:val="bottom"/>
          </w:tcPr>
          <w:p>
            <w:pPr>
              <w:spacing w:after="0"/>
              <w:rPr>
                <w:sz w:val="15"/>
                <w:szCs w:val="15"/>
                <w:color w:val="auto"/>
              </w:rPr>
            </w:pPr>
          </w:p>
        </w:tc>
        <w:tc>
          <w:tcPr>
            <w:tcW w:w="138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color w:val="auto"/>
                <w:w w:val="99"/>
              </w:rPr>
              <w:t>and Political</w:t>
            </w:r>
          </w:p>
        </w:tc>
        <w:tc>
          <w:tcPr>
            <w:tcW w:w="160" w:type="dxa"/>
            <w:vAlign w:val="bottom"/>
          </w:tcPr>
          <w:p>
            <w:pPr>
              <w:spacing w:after="0"/>
              <w:rPr>
                <w:sz w:val="15"/>
                <w:szCs w:val="15"/>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w w:val="97"/>
              </w:rPr>
              <w:t>Corporate</w:t>
            </w:r>
          </w:p>
        </w:tc>
        <w:tc>
          <w:tcPr>
            <w:tcW w:w="2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1"/>
              <w:spacing w:after="0" w:line="174" w:lineRule="exact"/>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227"/>
        </w:trPr>
        <w:tc>
          <w:tcPr>
            <w:tcW w:w="3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Backed</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Subdivisions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Preferred</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20"/>
        </w:trPr>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(In thousands)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rating:</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AAA</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43,931</w:t>
            </w:r>
          </w:p>
        </w:tc>
        <w:tc>
          <w:tcPr>
            <w:tcW w:w="0" w:type="dxa"/>
            <w:vAlign w:val="bottom"/>
          </w:tcPr>
          <w:p>
            <w:pPr>
              <w:spacing w:after="0"/>
              <w:rPr>
                <w:sz w:val="1"/>
                <w:szCs w:val="1"/>
                <w:color w:val="auto"/>
              </w:rPr>
            </w:pPr>
          </w:p>
        </w:tc>
      </w:tr>
      <w:tr>
        <w:trPr>
          <w:trHeight w:val="227"/>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AA</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102,583</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0" w:type="dxa"/>
            <w:vAlign w:val="bottom"/>
          </w:tcPr>
          <w:p>
            <w:pPr>
              <w:spacing w:after="0"/>
              <w:rPr>
                <w:sz w:val="1"/>
                <w:szCs w:val="1"/>
                <w:color w:val="auto"/>
              </w:rPr>
            </w:pPr>
          </w:p>
        </w:tc>
      </w:tr>
      <w:tr>
        <w:trPr>
          <w:trHeight w:val="227"/>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34,769</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BB</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0" w:type="dxa"/>
            <w:vAlign w:val="bottom"/>
          </w:tcPr>
          <w:p>
            <w:pPr>
              <w:spacing w:after="0"/>
              <w:rPr>
                <w:sz w:val="1"/>
                <w:szCs w:val="1"/>
                <w:color w:val="auto"/>
              </w:rPr>
            </w:pPr>
          </w:p>
        </w:tc>
      </w:tr>
      <w:tr>
        <w:trPr>
          <w:trHeight w:val="227"/>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Non-rated</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21,983</w:t>
            </w:r>
          </w:p>
        </w:tc>
        <w:tc>
          <w:tcPr>
            <w:tcW w:w="0" w:type="dxa"/>
            <w:vAlign w:val="bottom"/>
          </w:tcPr>
          <w:p>
            <w:pPr>
              <w:spacing w:after="0"/>
              <w:rPr>
                <w:sz w:val="1"/>
                <w:szCs w:val="1"/>
                <w:color w:val="auto"/>
              </w:rPr>
            </w:pPr>
          </w:p>
        </w:tc>
      </w:tr>
      <w:tr>
        <w:trPr>
          <w:trHeight w:val="245"/>
        </w:trPr>
        <w:tc>
          <w:tcPr>
            <w:tcW w:w="35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215,304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rating:</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AAA</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40,118</w:t>
            </w:r>
          </w:p>
        </w:tc>
        <w:tc>
          <w:tcPr>
            <w:tcW w:w="0" w:type="dxa"/>
            <w:vAlign w:val="bottom"/>
          </w:tcPr>
          <w:p>
            <w:pPr>
              <w:spacing w:after="0"/>
              <w:rPr>
                <w:sz w:val="1"/>
                <w:szCs w:val="1"/>
                <w:color w:val="auto"/>
              </w:rPr>
            </w:pPr>
          </w:p>
        </w:tc>
      </w:tr>
      <w:tr>
        <w:trPr>
          <w:trHeight w:val="227"/>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AA</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110,033</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10,817</w:t>
            </w:r>
          </w:p>
        </w:tc>
        <w:tc>
          <w:tcPr>
            <w:tcW w:w="0" w:type="dxa"/>
            <w:vAlign w:val="bottom"/>
          </w:tcPr>
          <w:p>
            <w:pPr>
              <w:spacing w:after="0"/>
              <w:rPr>
                <w:sz w:val="1"/>
                <w:szCs w:val="1"/>
                <w:color w:val="auto"/>
              </w:rPr>
            </w:pPr>
          </w:p>
        </w:tc>
      </w:tr>
      <w:tr>
        <w:trPr>
          <w:trHeight w:val="227"/>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39,788</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Non-rated</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23,980</w:t>
            </w:r>
          </w:p>
        </w:tc>
        <w:tc>
          <w:tcPr>
            <w:tcW w:w="0" w:type="dxa"/>
            <w:vAlign w:val="bottom"/>
          </w:tcPr>
          <w:p>
            <w:pPr>
              <w:spacing w:after="0"/>
              <w:rPr>
                <w:sz w:val="1"/>
                <w:szCs w:val="1"/>
                <w:color w:val="auto"/>
              </w:rPr>
            </w:pPr>
          </w:p>
        </w:tc>
      </w:tr>
      <w:tr>
        <w:trPr>
          <w:trHeight w:val="220"/>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168,134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224,736</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the ACL by security HTM type for the year ended December 31,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116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7"/>
              </w:rPr>
              <w:t>Private</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9"/>
              </w:rPr>
              <w:t>Obligations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160" w:type="dxa"/>
            <w:vAlign w:val="bottom"/>
          </w:tcPr>
          <w:p>
            <w:pPr>
              <w:jc w:val="center"/>
              <w:ind w:left="231"/>
              <w:spacing w:after="0" w:line="174" w:lineRule="exact"/>
              <w:rPr>
                <w:sz w:val="20"/>
                <w:szCs w:val="20"/>
                <w:color w:val="auto"/>
              </w:rPr>
            </w:pPr>
            <w:r>
              <w:rPr>
                <w:rFonts w:ascii="Times New Roman" w:cs="Times New Roman" w:eastAsia="Times New Roman" w:hAnsi="Times New Roman"/>
                <w:sz w:val="18"/>
                <w:szCs w:val="18"/>
                <w:color w:val="auto"/>
                <w:w w:val="97"/>
              </w:rPr>
              <w:t>Label</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center"/>
              <w:ind w:left="191"/>
              <w:spacing w:after="0" w:line="174" w:lineRule="exact"/>
              <w:rPr>
                <w:sz w:val="20"/>
                <w:szCs w:val="20"/>
                <w:color w:val="auto"/>
              </w:rPr>
            </w:pPr>
            <w:r>
              <w:rPr>
                <w:rFonts w:ascii="Times New Roman" w:cs="Times New Roman" w:eastAsia="Times New Roman" w:hAnsi="Times New Roman"/>
                <w:sz w:val="18"/>
                <w:szCs w:val="18"/>
                <w:color w:val="auto"/>
                <w:w w:val="99"/>
              </w:rPr>
              <w:t>of States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9"/>
              </w:rPr>
              <w:t>Trust</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160" w:type="dxa"/>
            <w:vAlign w:val="bottom"/>
          </w:tcPr>
          <w:p>
            <w:pPr>
              <w:jc w:val="center"/>
              <w:ind w:left="231"/>
              <w:spacing w:after="0" w:line="174" w:lineRule="exact"/>
              <w:rPr>
                <w:sz w:val="20"/>
                <w:szCs w:val="20"/>
                <w:color w:val="auto"/>
              </w:rPr>
            </w:pPr>
            <w:r>
              <w:rPr>
                <w:rFonts w:ascii="Times New Roman" w:cs="Times New Roman" w:eastAsia="Times New Roman" w:hAnsi="Times New Roman"/>
                <w:sz w:val="18"/>
                <w:szCs w:val="18"/>
                <w:color w:val="auto"/>
                <w:w w:val="99"/>
              </w:rPr>
              <w:t>Mortgage-</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center"/>
              <w:ind w:left="191"/>
              <w:spacing w:after="0" w:line="174" w:lineRule="exact"/>
              <w:rPr>
                <w:sz w:val="20"/>
                <w:szCs w:val="20"/>
                <w:color w:val="auto"/>
              </w:rPr>
            </w:pPr>
            <w:r>
              <w:rPr>
                <w:rFonts w:ascii="Times New Roman" w:cs="Times New Roman" w:eastAsia="Times New Roman" w:hAnsi="Times New Roman"/>
                <w:sz w:val="18"/>
                <w:szCs w:val="18"/>
                <w:color w:val="auto"/>
                <w:w w:val="99"/>
              </w:rPr>
              <w:t>and Political</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500" w:type="dxa"/>
            <w:vAlign w:val="bottom"/>
          </w:tcPr>
          <w:p>
            <w:pPr>
              <w:spacing w:after="0"/>
              <w:rPr>
                <w:sz w:val="20"/>
                <w:szCs w:val="20"/>
                <w:color w:val="auto"/>
              </w:rPr>
            </w:pPr>
          </w:p>
        </w:tc>
        <w:tc>
          <w:tcPr>
            <w:tcW w:w="1160" w:type="dxa"/>
            <w:vAlign w:val="bottom"/>
            <w:tcBorders>
              <w:bottom w:val="single" w:sz="8" w:color="auto"/>
            </w:tcBorders>
          </w:tcPr>
          <w:p>
            <w:pPr>
              <w:jc w:val="center"/>
              <w:ind w:left="211"/>
              <w:spacing w:after="0"/>
              <w:rPr>
                <w:sz w:val="20"/>
                <w:szCs w:val="20"/>
                <w:color w:val="auto"/>
              </w:rPr>
            </w:pPr>
            <w:r>
              <w:rPr>
                <w:rFonts w:ascii="Times New Roman" w:cs="Times New Roman" w:eastAsia="Times New Roman" w:hAnsi="Times New Roman"/>
                <w:sz w:val="18"/>
                <w:szCs w:val="18"/>
                <w:color w:val="auto"/>
                <w:w w:val="99"/>
              </w:rPr>
              <w:t>Backed</w:t>
            </w: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left="171"/>
              <w:spacing w:after="0"/>
              <w:rPr>
                <w:sz w:val="20"/>
                <w:szCs w:val="20"/>
                <w:color w:val="auto"/>
              </w:rPr>
            </w:pPr>
            <w:r>
              <w:rPr>
                <w:rFonts w:ascii="Times New Roman" w:cs="Times New Roman" w:eastAsia="Times New Roman" w:hAnsi="Times New Roman"/>
                <w:sz w:val="18"/>
                <w:szCs w:val="18"/>
                <w:color w:val="auto"/>
                <w:w w:val="98"/>
              </w:rPr>
              <w:t>Subdivisions</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Corporate</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Preferred</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0"/>
        </w:trPr>
        <w:tc>
          <w:tcPr>
            <w:tcW w:w="3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(In thousands)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160" w:type="dxa"/>
            <w:vAlign w:val="bottom"/>
          </w:tcPr>
          <w:p>
            <w:pPr>
              <w:jc w:val="right"/>
              <w:ind w:right="97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20" w:type="dxa"/>
            <w:vAlign w:val="bottom"/>
          </w:tcPr>
          <w:p>
            <w:pPr>
              <w:jc w:val="right"/>
              <w:ind w:right="10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Additions (deductions)</w:t>
            </w: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Recoveries credited to the allowance</w:t>
            </w:r>
          </w:p>
        </w:tc>
        <w:tc>
          <w:tcPr>
            <w:tcW w:w="11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3"/>
        </w:trPr>
        <w:tc>
          <w:tcPr>
            <w:tcW w:w="3500" w:type="dxa"/>
            <w:vAlign w:val="bottom"/>
          </w:tcPr>
          <w:p>
            <w:pPr>
              <w:ind w:left="340"/>
              <w:spacing w:after="0" w:line="174" w:lineRule="exact"/>
              <w:rPr>
                <w:sz w:val="20"/>
                <w:szCs w:val="20"/>
                <w:color w:val="auto"/>
              </w:rPr>
            </w:pPr>
            <w:r>
              <w:rPr>
                <w:rFonts w:ascii="Times New Roman" w:cs="Times New Roman" w:eastAsia="Times New Roman" w:hAnsi="Times New Roman"/>
                <w:sz w:val="18"/>
                <w:szCs w:val="18"/>
                <w:color w:val="auto"/>
              </w:rPr>
              <w:t>Securities HTM charged against the</w:t>
            </w: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allowance</w:t>
            </w:r>
          </w:p>
        </w:tc>
        <w:tc>
          <w:tcPr>
            <w:tcW w:w="116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45"/>
        </w:trPr>
        <w:tc>
          <w:tcPr>
            <w:tcW w:w="35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60" w:type="dxa"/>
            <w:vAlign w:val="bottom"/>
            <w:tcBorders>
              <w:top w:val="single" w:sz="8" w:color="auto"/>
              <w:bottom w:val="single" w:sz="8" w:color="auto"/>
            </w:tcBorders>
            <w:shd w:val="clear" w:color="auto" w:fill="CCEEFF"/>
          </w:tcPr>
          <w:p>
            <w:pPr>
              <w:jc w:val="right"/>
              <w:ind w:right="97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ind w:right="10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160" w:type="dxa"/>
            <w:vAlign w:val="bottom"/>
          </w:tcPr>
          <w:p>
            <w:pPr>
              <w:jc w:val="right"/>
              <w:ind w:right="97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Additions (deductions)</w:t>
            </w: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7"/>
        </w:trPr>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Recoveries credited to the allowance</w:t>
            </w:r>
          </w:p>
        </w:tc>
        <w:tc>
          <w:tcPr>
            <w:tcW w:w="11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3"/>
        </w:trPr>
        <w:tc>
          <w:tcPr>
            <w:tcW w:w="3500" w:type="dxa"/>
            <w:vAlign w:val="bottom"/>
          </w:tcPr>
          <w:p>
            <w:pPr>
              <w:ind w:left="340"/>
              <w:spacing w:after="0" w:line="174" w:lineRule="exact"/>
              <w:rPr>
                <w:sz w:val="20"/>
                <w:szCs w:val="20"/>
                <w:color w:val="auto"/>
              </w:rPr>
            </w:pPr>
            <w:r>
              <w:rPr>
                <w:rFonts w:ascii="Times New Roman" w:cs="Times New Roman" w:eastAsia="Times New Roman" w:hAnsi="Times New Roman"/>
                <w:sz w:val="18"/>
                <w:szCs w:val="18"/>
                <w:color w:val="auto"/>
              </w:rPr>
              <w:t>Securities HTM charged against the</w:t>
            </w: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allowance</w:t>
            </w:r>
          </w:p>
        </w:tc>
        <w:tc>
          <w:tcPr>
            <w:tcW w:w="116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35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60" w:type="dxa"/>
            <w:vAlign w:val="bottom"/>
            <w:tcBorders>
              <w:top w:val="single" w:sz="8" w:color="auto"/>
              <w:bottom w:val="single" w:sz="8" w:color="auto"/>
            </w:tcBorders>
            <w:shd w:val="clear" w:color="auto" w:fill="CCEEFF"/>
          </w:tcPr>
          <w:p>
            <w:pPr>
              <w:jc w:val="right"/>
              <w:ind w:right="97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ind w:right="10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amortized cost and fair value of securities AFS and securities HTM at December 31, 2023, by contractual maturity, follow: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Securities AFS</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Securities HTM</w:t>
            </w:r>
          </w:p>
        </w:tc>
        <w:tc>
          <w:tcPr>
            <w:tcW w:w="940" w:type="dxa"/>
            <w:vAlign w:val="bottom"/>
            <w:tcBorders>
              <w:bottom w:val="single" w:sz="8" w:color="auto"/>
            </w:tcBorders>
          </w:tcPr>
          <w:p>
            <w:pPr>
              <w:spacing w:after="0"/>
              <w:rPr>
                <w:sz w:val="20"/>
                <w:szCs w:val="20"/>
                <w:color w:val="auto"/>
              </w:rPr>
            </w:pPr>
          </w:p>
        </w:tc>
      </w:tr>
      <w:tr>
        <w:trPr>
          <w:trHeight w:val="175"/>
        </w:trPr>
        <w:tc>
          <w:tcPr>
            <w:tcW w:w="5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Amortized</w:t>
            </w:r>
          </w:p>
        </w:tc>
        <w:tc>
          <w:tcPr>
            <w:tcW w:w="500" w:type="dxa"/>
            <w:vAlign w:val="bottom"/>
          </w:tcPr>
          <w:p>
            <w:pPr>
              <w:spacing w:after="0"/>
              <w:rPr>
                <w:sz w:val="15"/>
                <w:szCs w:val="15"/>
                <w:color w:val="auto"/>
              </w:rPr>
            </w:pPr>
          </w:p>
        </w:tc>
        <w:tc>
          <w:tcPr>
            <w:tcW w:w="980" w:type="dxa"/>
            <w:vAlign w:val="bottom"/>
          </w:tcPr>
          <w:p>
            <w:pPr>
              <w:jc w:val="center"/>
              <w:ind w:right="431"/>
              <w:spacing w:after="0" w:line="176" w:lineRule="exact"/>
              <w:rPr>
                <w:sz w:val="20"/>
                <w:szCs w:val="20"/>
                <w:color w:val="auto"/>
              </w:rPr>
            </w:pPr>
            <w:r>
              <w:rPr>
                <w:rFonts w:ascii="Times New Roman" w:cs="Times New Roman" w:eastAsia="Times New Roman" w:hAnsi="Times New Roman"/>
                <w:sz w:val="18"/>
                <w:szCs w:val="18"/>
                <w:color w:val="auto"/>
              </w:rPr>
              <w:t>Fair</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Amortized</w:t>
            </w:r>
          </w:p>
        </w:tc>
        <w:tc>
          <w:tcPr>
            <w:tcW w:w="540" w:type="dxa"/>
            <w:vAlign w:val="bottom"/>
          </w:tcPr>
          <w:p>
            <w:pPr>
              <w:spacing w:after="0"/>
              <w:rPr>
                <w:sz w:val="15"/>
                <w:szCs w:val="15"/>
                <w:color w:val="auto"/>
              </w:rPr>
            </w:pPr>
          </w:p>
        </w:tc>
        <w:tc>
          <w:tcPr>
            <w:tcW w:w="940" w:type="dxa"/>
            <w:vAlign w:val="bottom"/>
          </w:tcPr>
          <w:p>
            <w:pPr>
              <w:jc w:val="right"/>
              <w:ind w:right="511"/>
              <w:spacing w:after="0" w:line="176" w:lineRule="exact"/>
              <w:rPr>
                <w:sz w:val="20"/>
                <w:szCs w:val="20"/>
                <w:color w:val="auto"/>
              </w:rPr>
            </w:pPr>
            <w:r>
              <w:rPr>
                <w:rFonts w:ascii="Times New Roman" w:cs="Times New Roman" w:eastAsia="Times New Roman" w:hAnsi="Times New Roman"/>
                <w:sz w:val="18"/>
                <w:szCs w:val="18"/>
                <w:color w:val="auto"/>
              </w:rPr>
              <w:t>Fair</w:t>
            </w:r>
          </w:p>
        </w:tc>
      </w:tr>
      <w:tr>
        <w:trPr>
          <w:trHeight w:val="232"/>
        </w:trPr>
        <w:tc>
          <w:tcPr>
            <w:tcW w:w="5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Cost</w:t>
            </w: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7"/>
              </w:rPr>
              <w:t>Value</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Cost</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w w:val="88"/>
              </w:rPr>
              <w:t>Value</w:t>
            </w:r>
          </w:p>
        </w:tc>
      </w:tr>
      <w:tr>
        <w:trPr>
          <w:trHeight w:val="240"/>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(In thousands)</w:t>
            </w: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6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Maturing within one year</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w:t>
            </w:r>
          </w:p>
        </w:tc>
      </w:tr>
      <w:tr>
        <w:trPr>
          <w:trHeight w:val="25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Maturing after one year but within five years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153,786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141,420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55,292</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50,856</w:t>
            </w:r>
          </w:p>
        </w:tc>
      </w:tr>
      <w:tr>
        <w:trPr>
          <w:trHeight w:val="25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Maturing after five years but within ten years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99,383</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85,409</w:t>
            </w:r>
          </w:p>
        </w:tc>
      </w:tr>
      <w:tr>
        <w:trPr>
          <w:trHeight w:val="254"/>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Maturing after ten years</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204,785</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179,967</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83,700</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72,238</w:t>
            </w:r>
          </w:p>
        </w:tc>
      </w:tr>
      <w:tr>
        <w:trPr>
          <w:trHeight w:val="220"/>
        </w:trPr>
        <w:tc>
          <w:tcPr>
            <w:tcW w:w="5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243,256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213,377</w:t>
            </w:r>
          </w:p>
        </w:tc>
      </w:tr>
      <w:tr>
        <w:trPr>
          <w:trHeight w:val="25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118,485</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94,636</w:t>
            </w:r>
          </w:p>
        </w:tc>
      </w:tr>
      <w:tr>
        <w:trPr>
          <w:trHeight w:val="25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r>
      <w:tr>
        <w:trPr>
          <w:trHeight w:val="25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93,527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86,469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w:t>
            </w:r>
          </w:p>
        </w:tc>
      </w:tr>
      <w:tr>
        <w:trPr>
          <w:trHeight w:val="25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 backed</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114,867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112,931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744,050</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679,350</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373,648</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318,606</w:t>
            </w: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actual maturity may differ from the contractual maturity because issuers may have the right to call or prepay obligations with or without call or prepayment penalties.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proceeds from the sale of securities available for sale and gains and losses for the years ended December 31 follow:</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Realized</w:t>
            </w:r>
          </w:p>
        </w:tc>
        <w:tc>
          <w:tcPr>
            <w:tcW w:w="1100" w:type="dxa"/>
            <w:vAlign w:val="bottom"/>
            <w:tcBorders>
              <w:bottom w:val="single" w:sz="8" w:color="auto"/>
            </w:tcBorders>
          </w:tcPr>
          <w:p>
            <w:pPr>
              <w:spacing w:after="0"/>
              <w:rPr>
                <w:sz w:val="21"/>
                <w:szCs w:val="21"/>
                <w:color w:val="auto"/>
              </w:rPr>
            </w:pPr>
          </w:p>
        </w:tc>
      </w:tr>
      <w:tr>
        <w:trPr>
          <w:trHeight w:val="247"/>
        </w:trPr>
        <w:tc>
          <w:tcPr>
            <w:tcW w:w="66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Proceeds</w:t>
            </w:r>
          </w:p>
        </w:tc>
        <w:tc>
          <w:tcPr>
            <w:tcW w:w="1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1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47"/>
        </w:trPr>
        <w:tc>
          <w:tcPr>
            <w:tcW w:w="6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00" w:type="dxa"/>
            <w:vAlign w:val="bottom"/>
          </w:tcPr>
          <w:p>
            <w:pPr>
              <w:spacing w:after="0"/>
              <w:rPr>
                <w:sz w:val="21"/>
                <w:szCs w:val="21"/>
                <w:color w:val="auto"/>
              </w:rPr>
            </w:pPr>
          </w:p>
        </w:tc>
      </w:tr>
      <w:tr>
        <w:trPr>
          <w:trHeight w:val="260"/>
        </w:trPr>
        <w:tc>
          <w:tcPr>
            <w:tcW w:w="6620" w:type="dxa"/>
            <w:vAlign w:val="bottom"/>
            <w:shd w:val="clear" w:color="auto" w:fill="CCEEFF"/>
          </w:tcPr>
          <w:p>
            <w:pPr>
              <w:jc w:val="right"/>
              <w:ind w:right="6151"/>
              <w:spacing w:after="0"/>
              <w:rPr>
                <w:sz w:val="20"/>
                <w:szCs w:val="20"/>
                <w:color w:val="auto"/>
              </w:rPr>
            </w:pPr>
            <w:r>
              <w:rPr>
                <w:rFonts w:ascii="Times New Roman" w:cs="Times New Roman" w:eastAsia="Times New Roman" w:hAnsi="Times New Roman"/>
                <w:sz w:val="18"/>
                <w:szCs w:val="18"/>
                <w:color w:val="auto"/>
                <w:w w:val="99"/>
              </w:rPr>
              <w:t>2023</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47"/>
        </w:trPr>
        <w:tc>
          <w:tcPr>
            <w:tcW w:w="6620" w:type="dxa"/>
            <w:vAlign w:val="bottom"/>
          </w:tcPr>
          <w:p>
            <w:pPr>
              <w:jc w:val="right"/>
              <w:ind w:right="6151"/>
              <w:spacing w:after="0"/>
              <w:rPr>
                <w:sz w:val="20"/>
                <w:szCs w:val="20"/>
                <w:color w:val="auto"/>
              </w:rPr>
            </w:pPr>
            <w:r>
              <w:rPr>
                <w:rFonts w:ascii="Times New Roman" w:cs="Times New Roman" w:eastAsia="Times New Roman" w:hAnsi="Times New Roman"/>
                <w:sz w:val="18"/>
                <w:szCs w:val="18"/>
                <w:color w:val="auto"/>
                <w:w w:val="99"/>
              </w:rPr>
              <w:t>2022</w:t>
            </w:r>
          </w:p>
        </w:tc>
        <w:tc>
          <w:tcPr>
            <w:tcW w:w="24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70,523</w:t>
            </w:r>
          </w:p>
        </w:tc>
        <w:tc>
          <w:tcPr>
            <w:tcW w:w="160" w:type="dxa"/>
            <w:vAlign w:val="bottom"/>
          </w:tcPr>
          <w:p>
            <w:pPr>
              <w:spacing w:after="0"/>
              <w:rPr>
                <w:sz w:val="21"/>
                <w:szCs w:val="21"/>
                <w:color w:val="auto"/>
              </w:rPr>
            </w:pPr>
          </w:p>
        </w:tc>
        <w:tc>
          <w:tcPr>
            <w:tcW w:w="180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164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60"/>
        </w:trPr>
        <w:tc>
          <w:tcPr>
            <w:tcW w:w="6620" w:type="dxa"/>
            <w:vAlign w:val="bottom"/>
            <w:shd w:val="clear" w:color="auto" w:fill="CCEEFF"/>
          </w:tcPr>
          <w:p>
            <w:pPr>
              <w:jc w:val="right"/>
              <w:ind w:right="6151"/>
              <w:spacing w:after="0"/>
              <w:rPr>
                <w:sz w:val="20"/>
                <w:szCs w:val="20"/>
                <w:color w:val="auto"/>
              </w:rPr>
            </w:pPr>
            <w:r>
              <w:rPr>
                <w:rFonts w:ascii="Times New Roman" w:cs="Times New Roman" w:eastAsia="Times New Roman" w:hAnsi="Times New Roman"/>
                <w:sz w:val="18"/>
                <w:szCs w:val="18"/>
                <w:color w:val="auto"/>
                <w:w w:val="99"/>
              </w:rPr>
              <w:t>2021</w:t>
            </w: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85,371</w:t>
            </w:r>
          </w:p>
        </w:tc>
        <w:tc>
          <w:tcPr>
            <w:tcW w:w="16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1,475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28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Securities AFS and HTM with a fair value of $103.6 million and zero at December 31, 2023 and 2022, respectively, were pledged to secure borrowings, derivatives, public deposits and for other purposes as required by law. There were no investment obligations of state and political subdivisions that were payable from or secured by the same source of revenue or taxing authority that exceeded 10% of consolidated total shareholders’ equity at December 31, 2023 or 2022.</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LOANS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27"/>
        </w:trPr>
        <w:tc>
          <w:tcPr>
            <w:tcW w:w="8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Our loan portfolios by class at December 31 follow:</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87"/>
        </w:trPr>
        <w:tc>
          <w:tcPr>
            <w:tcW w:w="8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40"/>
        </w:trPr>
        <w:tc>
          <w:tcPr>
            <w:tcW w:w="8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60" w:type="dxa"/>
            <w:vAlign w:val="bottom"/>
          </w:tcPr>
          <w:p>
            <w:pPr>
              <w:spacing w:after="0"/>
              <w:rPr>
                <w:sz w:val="20"/>
                <w:szCs w:val="20"/>
                <w:color w:val="auto"/>
              </w:rPr>
            </w:pPr>
          </w:p>
        </w:tc>
      </w:tr>
      <w:tr>
        <w:trPr>
          <w:trHeight w:val="26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6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810,145</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732,463</w:t>
            </w:r>
          </w:p>
        </w:tc>
      </w:tr>
      <w:tr>
        <w:trPr>
          <w:trHeight w:val="247"/>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869,586</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734,390</w:t>
            </w:r>
          </w:p>
        </w:tc>
      </w:tr>
      <w:tr>
        <w:trPr>
          <w:trHeight w:val="247"/>
        </w:trPr>
        <w:tc>
          <w:tcPr>
            <w:tcW w:w="8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commercial</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1,679,731</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1,466,853</w:t>
            </w:r>
          </w:p>
        </w:tc>
      </w:tr>
      <w:tr>
        <w:trPr>
          <w:trHeight w:val="253"/>
        </w:trPr>
        <w:tc>
          <w:tcPr>
            <w:tcW w:w="8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4"/>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7"/>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859,236</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752,563</w:t>
            </w:r>
          </w:p>
        </w:tc>
      </w:tr>
      <w:tr>
        <w:trPr>
          <w:trHeight w:val="26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301,172</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285,632</w:t>
            </w:r>
          </w:p>
        </w:tc>
      </w:tr>
      <w:tr>
        <w:trPr>
          <w:trHeight w:val="247"/>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173,816</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183,100</w:t>
            </w:r>
          </w:p>
        </w:tc>
      </w:tr>
      <w:tr>
        <w:trPr>
          <w:trHeight w:val="26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- 2nd lien</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116,032</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105,277</w:t>
            </w:r>
          </w:p>
        </w:tc>
      </w:tr>
      <w:tr>
        <w:trPr>
          <w:trHeight w:val="247"/>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Resort lending</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35,616</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41,837</w:t>
            </w:r>
          </w:p>
        </w:tc>
      </w:tr>
      <w:tr>
        <w:trPr>
          <w:trHeight w:val="247"/>
        </w:trPr>
        <w:tc>
          <w:tcPr>
            <w:tcW w:w="8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mortgage</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1,485,872</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1,368,409</w:t>
            </w:r>
          </w:p>
        </w:tc>
      </w:tr>
      <w:tr>
        <w:trPr>
          <w:trHeight w:val="253"/>
        </w:trPr>
        <w:tc>
          <w:tcPr>
            <w:tcW w:w="8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4"/>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Installment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7"/>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Boat lending</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268,648</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252,965</w:t>
            </w:r>
          </w:p>
        </w:tc>
      </w:tr>
      <w:tr>
        <w:trPr>
          <w:trHeight w:val="26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251,852</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270,673</w:t>
            </w:r>
          </w:p>
        </w:tc>
      </w:tr>
      <w:tr>
        <w:trPr>
          <w:trHeight w:val="247"/>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104,798</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106,452</w:t>
            </w:r>
          </w:p>
        </w:tc>
      </w:tr>
      <w:tr>
        <w:trPr>
          <w:trHeight w:val="247"/>
        </w:trPr>
        <w:tc>
          <w:tcPr>
            <w:tcW w:w="8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installment</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625,298</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630,090</w:t>
            </w:r>
          </w:p>
        </w:tc>
      </w:tr>
      <w:tr>
        <w:trPr>
          <w:trHeight w:val="253"/>
        </w:trPr>
        <w:tc>
          <w:tcPr>
            <w:tcW w:w="8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4"/>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loans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3,790,901</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3,465,352</w:t>
            </w:r>
          </w:p>
        </w:tc>
      </w:tr>
      <w:tr>
        <w:trPr>
          <w:trHeight w:val="247"/>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(54,658)</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(52,435)</w:t>
            </w:r>
          </w:p>
        </w:tc>
      </w:tr>
      <w:tr>
        <w:trPr>
          <w:trHeight w:val="278"/>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Loans</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3,736,243</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3,412,917</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Loans include net deferred loan costs of $25.3 million and $26.6 million at December 31, 2023 and 2022, respectively.</w:t>
      </w:r>
    </w:p>
    <w:p>
      <w:pPr>
        <w:spacing w:after="0" w:line="22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During 2023, we sold $56.7 million of portfolio residential fixed rate and adjustable rate mortgage loans servicing retained and recognized a loss on sale of $0.14 million. During 2022, we sold $63.0 million of portfolio residential fixed and adjustable rate mortgage loans servicing retained and recognized a gain on sale of $0.55 million. During 2021, we sold $9.6 million of portfolio residential fixed rate mortgage loans servicing retained and recognized a gain on sale of $0.45 million. These loan sale transactions were done primarily for asset/liability management purposes.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the ACL by portfolio segment for the years ended December 31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Subjective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6"/>
        </w:trPr>
        <w:tc>
          <w:tcPr>
            <w:tcW w:w="37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Mortgage</w:t>
            </w: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Installment</w:t>
            </w: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Allocation</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0"/>
        </w:trPr>
        <w:tc>
          <w:tcPr>
            <w:tcW w:w="3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6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60"/>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21,633</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52,435</w:t>
            </w:r>
          </w:p>
        </w:tc>
      </w:tr>
      <w:tr>
        <w:trPr>
          <w:trHeight w:val="247"/>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(deductions)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0"/>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r>
      <w:tr>
        <w:trPr>
          <w:trHeight w:val="247"/>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Recoveries credited to allowance</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r>
      <w:tr>
        <w:trPr>
          <w:trHeight w:val="254"/>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r>
      <w:tr>
        <w:trPr>
          <w:trHeight w:val="253"/>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16,724</w:t>
            </w:r>
          </w:p>
        </w:tc>
        <w:tc>
          <w:tcPr>
            <w:tcW w:w="2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21,386</w:t>
            </w:r>
          </w:p>
        </w:tc>
        <w:tc>
          <w:tcPr>
            <w:tcW w:w="2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2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2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54,658</w:t>
            </w: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27"/>
        </w:trPr>
        <w:tc>
          <w:tcPr>
            <w:tcW w:w="3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247"/>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0"/>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11,519</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19,221</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47,252</w:t>
            </w:r>
          </w:p>
        </w:tc>
      </w:tr>
      <w:tr>
        <w:trPr>
          <w:trHeight w:val="247"/>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(deductions)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0"/>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r>
      <w:tr>
        <w:trPr>
          <w:trHeight w:val="247"/>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Recoveries credited to allowance</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r>
      <w:tr>
        <w:trPr>
          <w:trHeight w:val="254"/>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r>
      <w:tr>
        <w:trPr>
          <w:trHeight w:val="253"/>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2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21,633</w:t>
            </w:r>
          </w:p>
        </w:tc>
        <w:tc>
          <w:tcPr>
            <w:tcW w:w="2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2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52,435</w:t>
            </w: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27"/>
        </w:trPr>
        <w:tc>
          <w:tcPr>
            <w:tcW w:w="3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247"/>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0"/>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19,918</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35,429</w:t>
            </w:r>
          </w:p>
        </w:tc>
      </w:tr>
      <w:tr>
        <w:trPr>
          <w:trHeight w:val="247"/>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(deductions)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0"/>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Impact of adoption of CECL</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w:t>
            </w:r>
          </w:p>
        </w:tc>
      </w:tr>
      <w:tr>
        <w:trPr>
          <w:trHeight w:val="247"/>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r>
      <w:tr>
        <w:trPr>
          <w:trHeight w:val="215"/>
        </w:trPr>
        <w:tc>
          <w:tcPr>
            <w:tcW w:w="3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Initial allowance on loans purchased with credit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5"/>
        </w:trPr>
        <w:tc>
          <w:tcPr>
            <w:tcW w:w="3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deterioration</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134</w:t>
            </w:r>
          </w:p>
        </w:tc>
      </w:tr>
      <w:tr>
        <w:trPr>
          <w:trHeight w:val="247"/>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Recoveries credited to allowance</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w:t>
            </w:r>
          </w:p>
        </w:tc>
      </w:tr>
      <w:tr>
        <w:trPr>
          <w:trHeight w:val="254"/>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r>
      <w:tr>
        <w:trPr>
          <w:trHeight w:val="253"/>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11,519</w:t>
            </w:r>
          </w:p>
        </w:tc>
        <w:tc>
          <w:tcPr>
            <w:tcW w:w="2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19,221</w:t>
            </w:r>
          </w:p>
        </w:tc>
        <w:tc>
          <w:tcPr>
            <w:tcW w:w="2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2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2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47,252</w:t>
            </w:r>
          </w:p>
        </w:tc>
      </w:tr>
      <w:tr>
        <w:trPr>
          <w:trHeight w:val="20"/>
        </w:trPr>
        <w:tc>
          <w:tcPr>
            <w:tcW w:w="3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allocation of the ACL by portfolio segment at December 31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1271"/>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2"/>
          </w:tcPr>
          <w:p>
            <w:pPr>
              <w:jc w:val="right"/>
              <w:ind w:right="1251"/>
              <w:spacing w:after="0"/>
              <w:rPr>
                <w:sz w:val="20"/>
                <w:szCs w:val="20"/>
                <w:color w:val="auto"/>
              </w:rPr>
            </w:pPr>
            <w:r>
              <w:rPr>
                <w:rFonts w:ascii="Times New Roman" w:cs="Times New Roman" w:eastAsia="Times New Roman" w:hAnsi="Times New Roman"/>
                <w:sz w:val="18"/>
                <w:szCs w:val="18"/>
                <w:color w:val="auto"/>
              </w:rPr>
              <w:t>2022</w:t>
            </w:r>
          </w:p>
        </w:tc>
      </w:tr>
      <w:tr>
        <w:trPr>
          <w:trHeight w:val="222"/>
        </w:trPr>
        <w:tc>
          <w:tcPr>
            <w:tcW w:w="5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7"/>
              </w:rPr>
              <w:t>Allowance</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Percent</w:t>
            </w:r>
          </w:p>
        </w:tc>
        <w:tc>
          <w:tcPr>
            <w:tcW w:w="240" w:type="dxa"/>
            <w:vAlign w:val="bottom"/>
          </w:tcPr>
          <w:p>
            <w:pPr>
              <w:spacing w:after="0"/>
              <w:rPr>
                <w:sz w:val="19"/>
                <w:szCs w:val="19"/>
                <w:color w:val="auto"/>
              </w:rPr>
            </w:pPr>
          </w:p>
        </w:tc>
        <w:tc>
          <w:tcPr>
            <w:tcW w:w="130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Allowance</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Percent</w:t>
            </w:r>
          </w:p>
        </w:tc>
      </w:tr>
      <w:tr>
        <w:trPr>
          <w:trHeight w:val="213"/>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9"/>
              </w:rPr>
              <w:t>for Credit</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of Loans</w:t>
            </w:r>
          </w:p>
        </w:tc>
        <w:tc>
          <w:tcPr>
            <w:tcW w:w="240" w:type="dxa"/>
            <w:vAlign w:val="bottom"/>
          </w:tcPr>
          <w:p>
            <w:pPr>
              <w:spacing w:after="0"/>
              <w:rPr>
                <w:sz w:val="18"/>
                <w:szCs w:val="18"/>
                <w:color w:val="auto"/>
              </w:rPr>
            </w:pPr>
          </w:p>
        </w:tc>
        <w:tc>
          <w:tcPr>
            <w:tcW w:w="130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for Credit</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Loans</w:t>
            </w:r>
          </w:p>
        </w:tc>
      </w:tr>
      <w:tr>
        <w:trPr>
          <w:trHeight w:val="213"/>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7"/>
              </w:rPr>
              <w:t>Losses</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5"/>
              </w:rPr>
              <w:t>to Total</w:t>
            </w:r>
          </w:p>
        </w:tc>
        <w:tc>
          <w:tcPr>
            <w:tcW w:w="240" w:type="dxa"/>
            <w:vAlign w:val="bottom"/>
          </w:tcPr>
          <w:p>
            <w:pPr>
              <w:spacing w:after="0"/>
              <w:rPr>
                <w:sz w:val="18"/>
                <w:szCs w:val="18"/>
                <w:color w:val="auto"/>
              </w:rPr>
            </w:pPr>
          </w:p>
        </w:tc>
        <w:tc>
          <w:tcPr>
            <w:tcW w:w="130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7"/>
              </w:rPr>
              <w:t>Losses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 Total</w:t>
            </w:r>
          </w:p>
        </w:tc>
      </w:tr>
      <w:tr>
        <w:trPr>
          <w:trHeight w:val="232"/>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8"/>
              </w:rPr>
              <w:t>Amount</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Portfolio Loans</w:t>
            </w:r>
          </w:p>
        </w:tc>
        <w:tc>
          <w:tcPr>
            <w:tcW w:w="240" w:type="dxa"/>
            <w:vAlign w:val="bottom"/>
          </w:tcPr>
          <w:p>
            <w:pPr>
              <w:spacing w:after="0"/>
              <w:rPr>
                <w:sz w:val="20"/>
                <w:szCs w:val="20"/>
                <w:color w:val="auto"/>
              </w:rPr>
            </w:pPr>
          </w:p>
        </w:tc>
        <w:tc>
          <w:tcPr>
            <w:tcW w:w="130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8"/>
              </w:rPr>
              <w:t>Amount</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Portfolio Loans</w:t>
            </w:r>
          </w:p>
        </w:tc>
      </w:tr>
      <w:tr>
        <w:trPr>
          <w:trHeight w:val="26"/>
        </w:trPr>
        <w:tc>
          <w:tcPr>
            <w:tcW w:w="5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4"/>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0"/>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140" w:type="dxa"/>
            <w:vAlign w:val="bottom"/>
            <w:gridSpan w:val="4"/>
          </w:tcPr>
          <w:p>
            <w:pPr>
              <w:jc w:val="right"/>
              <w:ind w:right="711"/>
              <w:spacing w:after="0"/>
              <w:rPr>
                <w:sz w:val="20"/>
                <w:szCs w:val="20"/>
                <w:color w:val="auto"/>
              </w:rPr>
            </w:pPr>
            <w:r>
              <w:rPr>
                <w:rFonts w:ascii="Times New Roman" w:cs="Times New Roman" w:eastAsia="Times New Roman" w:hAnsi="Times New Roman"/>
                <w:sz w:val="18"/>
                <w:szCs w:val="18"/>
                <w:color w:val="auto"/>
              </w:rPr>
              <w:t>(Dollars in thousands)</w:t>
            </w:r>
          </w:p>
        </w:tc>
        <w:tc>
          <w:tcPr>
            <w:tcW w:w="1520" w:type="dxa"/>
            <w:vAlign w:val="bottom"/>
          </w:tcPr>
          <w:p>
            <w:pPr>
              <w:spacing w:after="0"/>
              <w:rPr>
                <w:sz w:val="20"/>
                <w:szCs w:val="20"/>
                <w:color w:val="auto"/>
              </w:rPr>
            </w:pPr>
          </w:p>
        </w:tc>
      </w:tr>
      <w:tr>
        <w:trPr>
          <w:trHeight w:val="26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16,724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44.3 %</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13,817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42.3 %</w:t>
            </w:r>
          </w:p>
        </w:tc>
      </w:tr>
      <w:tr>
        <w:trPr>
          <w:trHeight w:val="24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w:t>
            </w:r>
          </w:p>
        </w:tc>
        <w:tc>
          <w:tcPr>
            <w:tcW w:w="2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21,386</w:t>
            </w: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21,633</w:t>
            </w: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39.5</w:t>
            </w:r>
          </w:p>
        </w:tc>
      </w:tr>
      <w:tr>
        <w:trPr>
          <w:trHeight w:val="26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Installment</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4,126</w:t>
            </w: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4,290</w:t>
            </w: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18.2</w:t>
            </w:r>
          </w:p>
        </w:tc>
      </w:tr>
      <w:tr>
        <w:trPr>
          <w:trHeight w:val="24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Subjective allocation</w:t>
            </w:r>
          </w:p>
        </w:tc>
        <w:tc>
          <w:tcPr>
            <w:tcW w:w="2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12,422</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12,695</w:t>
            </w: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78"/>
        </w:trPr>
        <w:tc>
          <w:tcPr>
            <w:tcW w:w="50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54,658</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52,435</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Loans on non-accrual status and past due more than 90 days (‘‘Non-performing Loans’’) at December 31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337820</wp:posOffset>
            </wp:positionV>
            <wp:extent cx="46850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468503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9"/>
              </w:rPr>
              <w:t>Non-Accrual</w:t>
            </w:r>
          </w:p>
        </w:tc>
        <w:tc>
          <w:tcPr>
            <w:tcW w:w="20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color w:val="auto"/>
                <w:w w:val="94"/>
              </w:rPr>
              <w:t>Total</w:t>
            </w: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color w:val="auto"/>
              </w:rPr>
              <w:t>90+ and</w:t>
            </w:r>
          </w:p>
        </w:tc>
        <w:tc>
          <w:tcPr>
            <w:tcW w:w="180" w:type="dxa"/>
            <w:vAlign w:val="bottom"/>
          </w:tcPr>
          <w:p>
            <w:pPr>
              <w:spacing w:after="0"/>
              <w:rPr>
                <w:sz w:val="16"/>
                <w:szCs w:val="16"/>
                <w:color w:val="auto"/>
              </w:rPr>
            </w:pPr>
          </w:p>
        </w:tc>
        <w:tc>
          <w:tcPr>
            <w:tcW w:w="1040" w:type="dxa"/>
            <w:vAlign w:val="bottom"/>
          </w:tcPr>
          <w:p>
            <w:pPr>
              <w:jc w:val="center"/>
              <w:ind w:right="104"/>
              <w:spacing w:after="0"/>
              <w:rPr>
                <w:sz w:val="20"/>
                <w:szCs w:val="20"/>
                <w:color w:val="auto"/>
              </w:rPr>
            </w:pPr>
            <w:r>
              <w:rPr>
                <w:rFonts w:ascii="Times New Roman" w:cs="Times New Roman" w:eastAsia="Times New Roman" w:hAnsi="Times New Roman"/>
                <w:sz w:val="15"/>
                <w:szCs w:val="15"/>
                <w:color w:val="auto"/>
                <w:w w:val="99"/>
              </w:rPr>
              <w:t>Total Non-</w:t>
            </w:r>
          </w:p>
        </w:tc>
      </w:t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color w:val="auto"/>
              </w:rPr>
              <w:t>Non-Accrual with no</w:t>
            </w:r>
          </w:p>
        </w:tc>
        <w:tc>
          <w:tcPr>
            <w:tcW w:w="160" w:type="dxa"/>
            <w:vAlign w:val="bottom"/>
          </w:tcPr>
          <w:p>
            <w:pPr>
              <w:spacing w:after="0"/>
              <w:rPr>
                <w:sz w:val="15"/>
                <w:szCs w:val="15"/>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with an Allowance for</w:t>
            </w:r>
          </w:p>
        </w:tc>
        <w:tc>
          <w:tcPr>
            <w:tcW w:w="20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color w:val="auto"/>
                <w:w w:val="97"/>
              </w:rPr>
              <w:t>Non-</w:t>
            </w:r>
          </w:p>
        </w:tc>
        <w:tc>
          <w:tcPr>
            <w:tcW w:w="20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color w:val="auto"/>
              </w:rPr>
              <w:t>Still</w:t>
            </w:r>
          </w:p>
        </w:tc>
        <w:tc>
          <w:tcPr>
            <w:tcW w:w="180" w:type="dxa"/>
            <w:vAlign w:val="bottom"/>
          </w:tcPr>
          <w:p>
            <w:pPr>
              <w:spacing w:after="0"/>
              <w:rPr>
                <w:sz w:val="15"/>
                <w:szCs w:val="15"/>
                <w:color w:val="auto"/>
              </w:rPr>
            </w:pPr>
          </w:p>
        </w:tc>
        <w:tc>
          <w:tcPr>
            <w:tcW w:w="1040" w:type="dxa"/>
            <w:vAlign w:val="bottom"/>
          </w:tcPr>
          <w:p>
            <w:pPr>
              <w:jc w:val="center"/>
              <w:ind w:right="84"/>
              <w:spacing w:after="0"/>
              <w:rPr>
                <w:sz w:val="20"/>
                <w:szCs w:val="20"/>
                <w:color w:val="auto"/>
              </w:rPr>
            </w:pPr>
            <w:r>
              <w:rPr>
                <w:rFonts w:ascii="Times New Roman" w:cs="Times New Roman" w:eastAsia="Times New Roman" w:hAnsi="Times New Roman"/>
                <w:sz w:val="15"/>
                <w:szCs w:val="15"/>
                <w:color w:val="auto"/>
                <w:w w:val="99"/>
              </w:rPr>
              <w:t>Performing</w:t>
            </w: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8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color w:val="auto"/>
              </w:rPr>
              <w:t>Allowance for Credit Loss</w:t>
            </w:r>
          </w:p>
        </w:tc>
        <w:tc>
          <w:tcPr>
            <w:tcW w:w="16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Credit Loss</w:t>
            </w:r>
          </w:p>
        </w:tc>
        <w:tc>
          <w:tcPr>
            <w:tcW w:w="20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color w:val="auto"/>
              </w:rPr>
              <w:t>Accrual</w:t>
            </w: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color w:val="auto"/>
              </w:rPr>
              <w:t>Accruing</w:t>
            </w:r>
          </w:p>
        </w:tc>
        <w:tc>
          <w:tcPr>
            <w:tcW w:w="180" w:type="dxa"/>
            <w:vAlign w:val="bottom"/>
          </w:tcPr>
          <w:p>
            <w:pPr>
              <w:spacing w:after="0"/>
              <w:rPr>
                <w:sz w:val="18"/>
                <w:szCs w:val="18"/>
                <w:color w:val="auto"/>
              </w:rPr>
            </w:pPr>
          </w:p>
        </w:tc>
        <w:tc>
          <w:tcPr>
            <w:tcW w:w="1040" w:type="dxa"/>
            <w:vAlign w:val="bottom"/>
          </w:tcPr>
          <w:p>
            <w:pPr>
              <w:jc w:val="center"/>
              <w:ind w:right="104"/>
              <w:spacing w:after="0"/>
              <w:rPr>
                <w:sz w:val="20"/>
                <w:szCs w:val="20"/>
                <w:color w:val="auto"/>
              </w:rPr>
            </w:pPr>
            <w:r>
              <w:rPr>
                <w:rFonts w:ascii="Times New Roman" w:cs="Times New Roman" w:eastAsia="Times New Roman" w:hAnsi="Times New Roman"/>
                <w:sz w:val="15"/>
                <w:szCs w:val="15"/>
                <w:color w:val="auto"/>
              </w:rPr>
              <w:t>Loans</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gridSpan w:val="5"/>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gridSpan w:val="5"/>
          </w:tcPr>
          <w:p>
            <w:pPr>
              <w:ind w:left="1220"/>
              <w:spacing w:after="0"/>
              <w:rPr>
                <w:sz w:val="20"/>
                <w:szCs w:val="20"/>
                <w:color w:val="auto"/>
              </w:rPr>
            </w:pPr>
            <w:r>
              <w:rPr>
                <w:rFonts w:ascii="Times New Roman" w:cs="Times New Roman" w:eastAsia="Times New Roman" w:hAnsi="Times New Roman"/>
                <w:sz w:val="15"/>
                <w:szCs w:val="15"/>
                <w:color w:val="auto"/>
              </w:rPr>
              <w:t>(In thousands)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7"/>
        </w:trPr>
        <w:tc>
          <w:tcPr>
            <w:tcW w:w="3880" w:type="dxa"/>
            <w:vAlign w:val="bottom"/>
            <w:gridSpan w:val="2"/>
          </w:tcPr>
          <w:p>
            <w:pPr>
              <w:jc w:val="right"/>
              <w:ind w:right="3464"/>
              <w:spacing w:after="0"/>
              <w:rPr>
                <w:sz w:val="20"/>
                <w:szCs w:val="20"/>
                <w:color w:val="auto"/>
              </w:rPr>
            </w:pPr>
            <w:r>
              <w:rPr>
                <w:rFonts w:ascii="Times New Roman" w:cs="Times New Roman" w:eastAsia="Times New Roman" w:hAnsi="Times New Roman"/>
                <w:sz w:val="15"/>
                <w:szCs w:val="15"/>
                <w:color w:val="auto"/>
              </w:rPr>
              <w:t>2023</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8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Commercial</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Commercial and industrial (1)</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Commercial real estate</w:t>
            </w:r>
          </w:p>
        </w:tc>
        <w:tc>
          <w:tcPr>
            <w:tcW w:w="18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Mortgage</w:t>
            </w:r>
          </w:p>
        </w:tc>
        <w:tc>
          <w:tcPr>
            <w:tcW w:w="1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1-4 family owner occupied - jumbo</w:t>
            </w:r>
          </w:p>
        </w:tc>
        <w:tc>
          <w:tcPr>
            <w:tcW w:w="18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544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544</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1-4 family owner occupied - non-jumbo (2)</w:t>
            </w:r>
          </w:p>
        </w:tc>
        <w:tc>
          <w:tcPr>
            <w:tcW w:w="1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575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432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2,662</w:t>
            </w: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1-4 family non-owner occupied</w:t>
            </w:r>
          </w:p>
        </w:tc>
        <w:tc>
          <w:tcPr>
            <w:tcW w:w="18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1-4 family - 2nd lien</w:t>
            </w:r>
          </w:p>
        </w:tc>
        <w:tc>
          <w:tcPr>
            <w:tcW w:w="18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w:t>
            </w: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Resort lending</w:t>
            </w:r>
          </w:p>
        </w:tc>
        <w:tc>
          <w:tcPr>
            <w:tcW w:w="18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Installment</w:t>
            </w:r>
          </w:p>
        </w:tc>
        <w:tc>
          <w:tcPr>
            <w:tcW w:w="1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Boat lending</w:t>
            </w:r>
          </w:p>
        </w:tc>
        <w:tc>
          <w:tcPr>
            <w:tcW w:w="18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Recreational vehicle lending</w:t>
            </w:r>
          </w:p>
        </w:tc>
        <w:tc>
          <w:tcPr>
            <w:tcW w:w="18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w:t>
            </w: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Other</w:t>
            </w:r>
          </w:p>
        </w:tc>
        <w:tc>
          <w:tcPr>
            <w:tcW w:w="18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w:t>
            </w:r>
          </w:p>
        </w:tc>
      </w:tr>
      <w:tr>
        <w:trPr>
          <w:trHeight w:val="21"/>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5"/>
        </w:trPr>
        <w:tc>
          <w:tcPr>
            <w:tcW w:w="2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1,119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432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5,232</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7"/>
        </w:trPr>
        <w:tc>
          <w:tcPr>
            <w:tcW w:w="2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Accrued interest excluded from total</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38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jc w:val="right"/>
              <w:ind w:right="3464"/>
              <w:spacing w:after="0"/>
              <w:rPr>
                <w:sz w:val="20"/>
                <w:szCs w:val="20"/>
                <w:color w:val="auto"/>
              </w:rPr>
            </w:pPr>
            <w:r>
              <w:rPr>
                <w:rFonts w:ascii="Times New Roman" w:cs="Times New Roman" w:eastAsia="Times New Roman" w:hAnsi="Times New Roman"/>
                <w:sz w:val="15"/>
                <w:szCs w:val="15"/>
                <w:color w:val="auto"/>
                <w:w w:val="99"/>
              </w:rPr>
              <w:t>2022</w:t>
            </w:r>
          </w:p>
        </w:tc>
        <w:tc>
          <w:tcPr>
            <w:tcW w:w="1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8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Commercial</w:t>
            </w: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Commercial and industrial (1)</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Commercial real estate</w:t>
            </w:r>
          </w:p>
        </w:tc>
        <w:tc>
          <w:tcPr>
            <w:tcW w:w="18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Mortgage</w:t>
            </w:r>
          </w:p>
        </w:tc>
        <w:tc>
          <w:tcPr>
            <w:tcW w:w="1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1-4 family owner occupied - jumbo</w:t>
            </w:r>
          </w:p>
        </w:tc>
        <w:tc>
          <w:tcPr>
            <w:tcW w:w="18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1-4 family owner occupied - non-jumbo (2)</w:t>
            </w:r>
          </w:p>
        </w:tc>
        <w:tc>
          <w:tcPr>
            <w:tcW w:w="1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1,077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1,929</w:t>
            </w: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1-4 family non-owner occupied</w:t>
            </w:r>
          </w:p>
        </w:tc>
        <w:tc>
          <w:tcPr>
            <w:tcW w:w="18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475</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1-4 family - 2nd lien</w:t>
            </w:r>
          </w:p>
        </w:tc>
        <w:tc>
          <w:tcPr>
            <w:tcW w:w="18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w:t>
            </w: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Resort lending</w:t>
            </w:r>
          </w:p>
        </w:tc>
        <w:tc>
          <w:tcPr>
            <w:tcW w:w="18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Installment</w:t>
            </w:r>
          </w:p>
        </w:tc>
        <w:tc>
          <w:tcPr>
            <w:tcW w:w="1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Boat lending</w:t>
            </w:r>
          </w:p>
        </w:tc>
        <w:tc>
          <w:tcPr>
            <w:tcW w:w="18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w:t>
            </w: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Recreational vehicle lending</w:t>
            </w:r>
          </w:p>
        </w:tc>
        <w:tc>
          <w:tcPr>
            <w:tcW w:w="18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206"/>
        </w:trPr>
        <w:tc>
          <w:tcPr>
            <w:tcW w:w="20" w:type="dxa"/>
            <w:vAlign w:val="bottom"/>
          </w:tcPr>
          <w:p>
            <w:pPr>
              <w:spacing w:after="0"/>
              <w:rPr>
                <w:sz w:val="17"/>
                <w:szCs w:val="17"/>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Other</w:t>
            </w:r>
          </w:p>
        </w:tc>
        <w:tc>
          <w:tcPr>
            <w:tcW w:w="18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w:t>
            </w:r>
          </w:p>
        </w:tc>
      </w:tr>
      <w:tr>
        <w:trPr>
          <w:trHeight w:val="21"/>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1,339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3,721</w:t>
            </w:r>
          </w:p>
        </w:tc>
      </w:tr>
      <w:tr>
        <w:trPr>
          <w:trHeight w:val="20"/>
        </w:trPr>
        <w:tc>
          <w:tcPr>
            <w:tcW w:w="38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40"/>
        </w:trPr>
        <w:tc>
          <w:tcPr>
            <w:tcW w:w="3880" w:type="dxa"/>
            <w:vAlign w:val="bottom"/>
            <w:gridSpan w:val="2"/>
          </w:tcPr>
          <w:p>
            <w:pPr>
              <w:jc w:val="right"/>
              <w:ind w:right="1604"/>
              <w:spacing w:after="0"/>
              <w:rPr>
                <w:sz w:val="20"/>
                <w:szCs w:val="20"/>
                <w:color w:val="auto"/>
              </w:rPr>
            </w:pPr>
            <w:r>
              <w:rPr>
                <w:rFonts w:ascii="Times New Roman" w:cs="Times New Roman" w:eastAsia="Times New Roman" w:hAnsi="Times New Roman"/>
                <w:sz w:val="15"/>
                <w:szCs w:val="15"/>
                <w:color w:val="auto"/>
                <w:w w:val="99"/>
              </w:rPr>
              <w:t>Accrued interest excluded from total</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p>
      <w:pPr>
        <w:ind w:left="500" w:right="20" w:hanging="456"/>
        <w:spacing w:after="0" w:line="277"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Non-performing commercial and industrial loans exclude $0.021 million and $0.029 million of government guaranteed loans at December 31, 2023 and 2022, respectively.</w:t>
      </w:r>
    </w:p>
    <w:p>
      <w:pPr>
        <w:spacing w:after="0" w:line="95" w:lineRule="exact"/>
        <w:rPr>
          <w:rFonts w:ascii="Times New Roman" w:cs="Times New Roman" w:eastAsia="Times New Roman" w:hAnsi="Times New Roman"/>
          <w:sz w:val="18"/>
          <w:szCs w:val="18"/>
          <w:color w:val="auto"/>
        </w:rPr>
      </w:pPr>
    </w:p>
    <w:p>
      <w:pPr>
        <w:ind w:left="500" w:right="20" w:hanging="456"/>
        <w:spacing w:after="0" w:line="261"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Non-performing 1-4 family owner occupied – non jumbo loans exclude $2.170 million and $1.631 million of government guaranteed loans at December 31, 2023 and 2022, respectively.</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If non-performing loans had continued to accrue interest in accordance with their original terms, approximately $0.3 million, $0.2 million and $0.2 million of interest income would have been recognized in each of the years ended 2023, 2022 and 2021, respectively. Interest income recorded on these loans was approximately zero during each of the years ended 2023, 2022 and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following table provides collateral information by class of loan for collateral-dependent loans with a specific reserve. A loan is considered to be collateral dependent when the borrower is experiencing financial difficulty and the repayment is expected to be provided substantially through the operation or sale of collateral.</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amortized cost of collateral-dependent loans by class at December 31,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right"/>
              <w:ind w:right="391"/>
              <w:spacing w:after="0"/>
              <w:rPr>
                <w:sz w:val="20"/>
                <w:szCs w:val="20"/>
                <w:color w:val="auto"/>
              </w:rPr>
            </w:pPr>
            <w:r>
              <w:rPr>
                <w:rFonts w:ascii="Times New Roman" w:cs="Times New Roman" w:eastAsia="Times New Roman" w:hAnsi="Times New Roman"/>
                <w:sz w:val="18"/>
                <w:szCs w:val="18"/>
                <w:color w:val="auto"/>
              </w:rPr>
              <w:t>Collateral Type</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7"/>
              </w:rPr>
              <w:t>Allowance</w:t>
            </w:r>
          </w:p>
        </w:tc>
        <w:tc>
          <w:tcPr>
            <w:tcW w:w="0" w:type="dxa"/>
            <w:vAlign w:val="bottom"/>
          </w:tcPr>
          <w:p>
            <w:pPr>
              <w:spacing w:after="0"/>
              <w:rPr>
                <w:sz w:val="1"/>
                <w:szCs w:val="1"/>
                <w:color w:val="auto"/>
              </w:rPr>
            </w:pPr>
          </w:p>
        </w:tc>
      </w:tr>
      <w:tr>
        <w:trPr>
          <w:trHeight w:val="188"/>
        </w:trPr>
        <w:tc>
          <w:tcPr>
            <w:tcW w:w="43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center"/>
              <w:ind w:right="400"/>
              <w:spacing w:after="0" w:line="189" w:lineRule="exact"/>
              <w:rPr>
                <w:sz w:val="20"/>
                <w:szCs w:val="20"/>
                <w:color w:val="auto"/>
              </w:rPr>
            </w:pPr>
            <w:r>
              <w:rPr>
                <w:rFonts w:ascii="Times New Roman" w:cs="Times New Roman" w:eastAsia="Times New Roman" w:hAnsi="Times New Roman"/>
                <w:sz w:val="18"/>
                <w:szCs w:val="18"/>
                <w:color w:val="auto"/>
              </w:rPr>
              <w:t>Real</w:t>
            </w: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91"/>
              <w:spacing w:after="0" w:line="189" w:lineRule="exact"/>
              <w:rPr>
                <w:sz w:val="20"/>
                <w:szCs w:val="20"/>
                <w:color w:val="auto"/>
              </w:rPr>
            </w:pPr>
            <w:r>
              <w:rPr>
                <w:rFonts w:ascii="Times New Roman" w:cs="Times New Roman" w:eastAsia="Times New Roman" w:hAnsi="Times New Roman"/>
                <w:sz w:val="18"/>
                <w:szCs w:val="18"/>
                <w:color w:val="auto"/>
                <w:w w:val="95"/>
              </w:rPr>
              <w:t>for</w:t>
            </w:r>
          </w:p>
        </w:tc>
        <w:tc>
          <w:tcPr>
            <w:tcW w:w="0" w:type="dxa"/>
            <w:vAlign w:val="bottom"/>
          </w:tcPr>
          <w:p>
            <w:pPr>
              <w:spacing w:after="0"/>
              <w:rPr>
                <w:sz w:val="1"/>
                <w:szCs w:val="1"/>
                <w:color w:val="auto"/>
              </w:rPr>
            </w:pPr>
          </w:p>
        </w:tc>
      </w:tr>
      <w:tr>
        <w:trPr>
          <w:trHeight w:val="252"/>
        </w:trPr>
        <w:tc>
          <w:tcPr>
            <w:tcW w:w="43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5"/>
              </w:rPr>
              <w:t>Estate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7"/>
              </w:rPr>
              <w:t>Credit Losses</w:t>
            </w:r>
          </w:p>
        </w:tc>
        <w:tc>
          <w:tcPr>
            <w:tcW w:w="0" w:type="dxa"/>
            <w:vAlign w:val="bottom"/>
          </w:tcPr>
          <w:p>
            <w:pPr>
              <w:spacing w:after="0"/>
              <w:rPr>
                <w:sz w:val="1"/>
                <w:szCs w:val="1"/>
                <w:color w:val="auto"/>
              </w:rPr>
            </w:pPr>
          </w:p>
        </w:tc>
      </w:tr>
      <w:tr>
        <w:trPr>
          <w:trHeight w:val="240"/>
        </w:trPr>
        <w:tc>
          <w:tcPr>
            <w:tcW w:w="4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47"/>
        </w:trPr>
        <w:tc>
          <w:tcPr>
            <w:tcW w:w="4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Commercial real estate</w:t>
            </w:r>
          </w:p>
        </w:tc>
        <w:tc>
          <w:tcPr>
            <w:tcW w:w="2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2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2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0"/>
        </w:trPr>
        <w:tc>
          <w:tcPr>
            <w:tcW w:w="4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2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47"/>
        </w:trPr>
        <w:tc>
          <w:tcPr>
            <w:tcW w:w="4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2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60"/>
        </w:trPr>
        <w:tc>
          <w:tcPr>
            <w:tcW w:w="4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 family - 2nd lien</w:t>
            </w:r>
          </w:p>
        </w:tc>
        <w:tc>
          <w:tcPr>
            <w:tcW w:w="2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7"/>
        </w:trPr>
        <w:tc>
          <w:tcPr>
            <w:tcW w:w="4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Resort lending</w:t>
            </w:r>
          </w:p>
        </w:tc>
        <w:tc>
          <w:tcPr>
            <w:tcW w:w="2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6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Installment</w:t>
            </w:r>
          </w:p>
        </w:tc>
        <w:tc>
          <w:tcPr>
            <w:tcW w:w="2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Boat lending</w:t>
            </w:r>
          </w:p>
        </w:tc>
        <w:tc>
          <w:tcPr>
            <w:tcW w:w="2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60"/>
        </w:trPr>
        <w:tc>
          <w:tcPr>
            <w:tcW w:w="4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2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7"/>
        </w:trPr>
        <w:tc>
          <w:tcPr>
            <w:tcW w:w="43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2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3"/>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4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2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47"/>
        </w:trPr>
        <w:tc>
          <w:tcPr>
            <w:tcW w:w="4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Commercial real estate</w:t>
            </w:r>
          </w:p>
        </w:tc>
        <w:tc>
          <w:tcPr>
            <w:tcW w:w="2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6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2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2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0"/>
        </w:trPr>
        <w:tc>
          <w:tcPr>
            <w:tcW w:w="4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2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47"/>
        </w:trPr>
        <w:tc>
          <w:tcPr>
            <w:tcW w:w="4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2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60"/>
        </w:trPr>
        <w:tc>
          <w:tcPr>
            <w:tcW w:w="4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 family - 2nd lien</w:t>
            </w:r>
          </w:p>
        </w:tc>
        <w:tc>
          <w:tcPr>
            <w:tcW w:w="2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47"/>
        </w:trPr>
        <w:tc>
          <w:tcPr>
            <w:tcW w:w="4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Resort lending</w:t>
            </w:r>
          </w:p>
        </w:tc>
        <w:tc>
          <w:tcPr>
            <w:tcW w:w="2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6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Installment</w:t>
            </w:r>
          </w:p>
        </w:tc>
        <w:tc>
          <w:tcPr>
            <w:tcW w:w="2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Boat lending</w:t>
            </w:r>
          </w:p>
        </w:tc>
        <w:tc>
          <w:tcPr>
            <w:tcW w:w="2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60"/>
        </w:trPr>
        <w:tc>
          <w:tcPr>
            <w:tcW w:w="4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2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7"/>
        </w:trPr>
        <w:tc>
          <w:tcPr>
            <w:tcW w:w="43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2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3"/>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4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2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CCEEFF"/>
            </w:tcBorders>
            <w:vMerge w:val="restart"/>
          </w:tcPr>
          <w:p>
            <w:pPr>
              <w:jc w:val="right"/>
              <w:ind w:right="811"/>
              <w:spacing w:after="0"/>
              <w:rPr>
                <w:sz w:val="20"/>
                <w:szCs w:val="20"/>
                <w:color w:val="auto"/>
              </w:rPr>
            </w:pPr>
            <w:r>
              <w:rPr>
                <w:rFonts w:ascii="Times New Roman" w:cs="Times New Roman" w:eastAsia="Times New Roman" w:hAnsi="Times New Roman"/>
                <w:sz w:val="18"/>
                <w:szCs w:val="18"/>
                <w:color w:val="auto"/>
              </w:rPr>
              <w:t>82</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3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34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aging analysis of loans by class at December 31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8"/>
                <w:szCs w:val="18"/>
                <w:color w:val="auto"/>
              </w:rPr>
              <w:t>Loans Past Due</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Loans not</w:t>
            </w:r>
          </w:p>
        </w:tc>
        <w:tc>
          <w:tcPr>
            <w:tcW w:w="260" w:type="dxa"/>
            <w:vAlign w:val="bottom"/>
          </w:tcPr>
          <w:p>
            <w:pPr>
              <w:spacing w:after="0"/>
              <w:rPr>
                <w:sz w:val="21"/>
                <w:szCs w:val="21"/>
                <w:color w:val="auto"/>
              </w:rPr>
            </w:pP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Total</w:t>
            </w:r>
          </w:p>
        </w:tc>
      </w:tr>
      <w:tr>
        <w:trPr>
          <w:trHeight w:val="240"/>
        </w:trPr>
        <w:tc>
          <w:tcPr>
            <w:tcW w:w="3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30-59 days</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60-89 days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90+ days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Past Due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Loans</w:t>
            </w:r>
          </w:p>
        </w:tc>
      </w:tr>
      <w:tr>
        <w:trPr>
          <w:trHeight w:val="240"/>
        </w:trPr>
        <w:tc>
          <w:tcPr>
            <w:tcW w:w="3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60"/>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6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810,117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810,145</w:t>
            </w:r>
          </w:p>
        </w:tc>
      </w:tr>
      <w:tr>
        <w:trPr>
          <w:trHeight w:val="247"/>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869,586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869,586</w:t>
            </w:r>
          </w:p>
        </w:tc>
      </w:tr>
      <w:tr>
        <w:trPr>
          <w:trHeight w:val="260"/>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7"/>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858,692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859,236</w:t>
            </w:r>
          </w:p>
        </w:tc>
      </w:tr>
      <w:tr>
        <w:trPr>
          <w:trHeight w:val="26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297,236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301,172</w:t>
            </w:r>
          </w:p>
        </w:tc>
      </w:tr>
      <w:tr>
        <w:trPr>
          <w:trHeight w:val="247"/>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173,816</w:t>
            </w:r>
          </w:p>
        </w:tc>
      </w:tr>
      <w:tr>
        <w:trPr>
          <w:trHeight w:val="26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- 2nd lien</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116,032</w:t>
            </w:r>
          </w:p>
        </w:tc>
      </w:tr>
      <w:tr>
        <w:trPr>
          <w:trHeight w:val="247"/>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Resort lending</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35,616</w:t>
            </w:r>
          </w:p>
        </w:tc>
      </w:tr>
      <w:tr>
        <w:trPr>
          <w:trHeight w:val="260"/>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Installment</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7"/>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Boat lending</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268,648</w:t>
            </w:r>
          </w:p>
        </w:tc>
      </w:tr>
      <w:tr>
        <w:trPr>
          <w:trHeight w:val="26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251,852</w:t>
            </w:r>
          </w:p>
        </w:tc>
      </w:tr>
      <w:tr>
        <w:trPr>
          <w:trHeight w:val="247"/>
        </w:trPr>
        <w:tc>
          <w:tcPr>
            <w:tcW w:w="3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104,345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104,798</w:t>
            </w:r>
          </w:p>
        </w:tc>
      </w:tr>
      <w:tr>
        <w:trPr>
          <w:trHeight w:val="285"/>
        </w:trPr>
        <w:tc>
          <w:tcPr>
            <w:tcW w:w="33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3,783,389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3,790,901</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33"/>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12,452</w:t>
            </w:r>
          </w:p>
        </w:tc>
        <w:tc>
          <w:tcPr>
            <w:tcW w:w="10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34"/>
        </w:trPr>
        <w:tc>
          <w:tcPr>
            <w:tcW w:w="3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47"/>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0"/>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7"/>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1"/>
                <w:szCs w:val="21"/>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732,425</w:t>
            </w:r>
          </w:p>
        </w:tc>
        <w:tc>
          <w:tcPr>
            <w:tcW w:w="100" w:type="dxa"/>
            <w:vAlign w:val="bottom"/>
          </w:tcPr>
          <w:p>
            <w:pPr>
              <w:spacing w:after="0"/>
              <w:rPr>
                <w:sz w:val="21"/>
                <w:szCs w:val="21"/>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732,463</w:t>
            </w:r>
          </w:p>
        </w:tc>
      </w:tr>
      <w:tr>
        <w:trPr>
          <w:trHeight w:val="26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734,390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734,390</w:t>
            </w:r>
          </w:p>
        </w:tc>
      </w:tr>
      <w:tr>
        <w:trPr>
          <w:trHeight w:val="247"/>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752,563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752,563</w:t>
            </w:r>
          </w:p>
        </w:tc>
      </w:tr>
      <w:tr>
        <w:trPr>
          <w:trHeight w:val="247"/>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285,632</w:t>
            </w:r>
          </w:p>
        </w:tc>
      </w:tr>
      <w:tr>
        <w:trPr>
          <w:trHeight w:val="26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182,746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183,100</w:t>
            </w:r>
          </w:p>
        </w:tc>
      </w:tr>
      <w:tr>
        <w:trPr>
          <w:trHeight w:val="247"/>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- 2nd lien</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105,277</w:t>
            </w:r>
          </w:p>
        </w:tc>
      </w:tr>
      <w:tr>
        <w:trPr>
          <w:trHeight w:val="26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Resort lending</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41,837</w:t>
            </w:r>
          </w:p>
        </w:tc>
      </w:tr>
      <w:tr>
        <w:trPr>
          <w:trHeight w:val="247"/>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Installment</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Boat lending</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252,128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252,965</w:t>
            </w:r>
          </w:p>
        </w:tc>
      </w:tr>
      <w:tr>
        <w:trPr>
          <w:trHeight w:val="247"/>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270,673</w:t>
            </w:r>
          </w:p>
        </w:tc>
      </w:tr>
      <w:tr>
        <w:trPr>
          <w:trHeight w:val="254"/>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106,068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106,452</w:t>
            </w:r>
          </w:p>
        </w:tc>
      </w:tr>
      <w:tr>
        <w:trPr>
          <w:trHeight w:val="253"/>
        </w:trPr>
        <w:tc>
          <w:tcPr>
            <w:tcW w:w="33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3,459,369</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3,465,352</w:t>
            </w: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67"/>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year ended December 31, 2023, there were no troubled loan modifications or subsequent defaults.</w:t>
      </w:r>
    </w:p>
    <w:p>
      <w:pPr>
        <w:spacing w:after="0" w:line="220"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 loan is generally considered to be in payment default once it is 90 days contractually past due under the modified terms for commercial loans and installment loans and when four consecutive payments are missed for mortgage loans.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59" w:lineRule="exact"/>
        <w:rPr>
          <w:sz w:val="20"/>
          <w:szCs w:val="20"/>
          <w:color w:val="auto"/>
        </w:rPr>
      </w:pPr>
    </w:p>
    <w:p>
      <w:pPr>
        <w:jc w:val="both"/>
        <w:ind w:firstLine="32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Credit Quality Indicators </w:t>
      </w:r>
      <w:r>
        <w:rPr>
          <w:rFonts w:ascii="Times New Roman" w:cs="Times New Roman" w:eastAsia="Times New Roman" w:hAnsi="Times New Roman"/>
          <w:sz w:val="18"/>
          <w:szCs w:val="18"/>
          <w:color w:val="auto"/>
        </w:rPr>
        <w:t>– As part of our on-going monitoring of the credit quality of our loan portfolios, we track certain credit quality indicators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 risk grade of commercial loans, (b) the level of classified commercial loans, (c) credit scores of mortgage and installment loan borrowers, and (d) delinquency history and non-performing loans.</w:t>
      </w:r>
    </w:p>
    <w:p>
      <w:pPr>
        <w:spacing w:after="0" w:line="175"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For commercial loans, we use a loan rating system that is similar to those employed by state and federal banking regulators. Loans are graded on a scale of 1 to 12. A description of the general characteristics of the ratings follows:</w:t>
      </w:r>
    </w:p>
    <w:p>
      <w:pPr>
        <w:spacing w:after="0" w:line="161"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Rating 1 through 6</w:t>
      </w:r>
      <w:r>
        <w:rPr>
          <w:rFonts w:ascii="Times New Roman" w:cs="Times New Roman" w:eastAsia="Times New Roman" w:hAnsi="Times New Roman"/>
          <w:sz w:val="18"/>
          <w:szCs w:val="18"/>
          <w:color w:val="auto"/>
        </w:rPr>
        <w:t>: These loans are generally referred to as our ‘‘non-watch’’ commercial credits that include very high or exceptional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fundamentals through acceptable credit fundamentals.</w:t>
      </w:r>
    </w:p>
    <w:p>
      <w:pPr>
        <w:spacing w:after="0" w:line="159"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Rating 7 and 8</w:t>
      </w:r>
      <w:r>
        <w:rPr>
          <w:rFonts w:ascii="Times New Roman" w:cs="Times New Roman" w:eastAsia="Times New Roman" w:hAnsi="Times New Roman"/>
          <w:sz w:val="18"/>
          <w:szCs w:val="18"/>
          <w:color w:val="auto"/>
        </w:rPr>
        <w:t>: These loans are generally referred to as our ‘‘watch’’ commercial credits. These ratings include loans to borrowers that exhibit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weakness or downward trends. If not checked or cured these trends could weaken our asset or credit position. While potentially weak, no loss of principal or interest is envisioned with these ratings.</w:t>
      </w:r>
    </w:p>
    <w:p>
      <w:pPr>
        <w:spacing w:after="0" w:line="173"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Rating 9</w:t>
      </w:r>
      <w:r>
        <w:rPr>
          <w:rFonts w:ascii="Times New Roman" w:cs="Times New Roman" w:eastAsia="Times New Roman" w:hAnsi="Times New Roman"/>
          <w:sz w:val="18"/>
          <w:szCs w:val="18"/>
          <w:color w:val="auto"/>
        </w:rPr>
        <w:t>: These loans are generally referred to as our ‘‘substandard accruing’’ commercial credits. This rating includes loans to borrowers that 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well-defined weakness where payment default is probable and loss is possible if deficiencies are not corrected. Generally, loans with this rating are considered collectible as to both principal and interest primarily due to collateral coverage.</w:t>
      </w:r>
    </w:p>
    <w:p>
      <w:pPr>
        <w:spacing w:after="0" w:line="173" w:lineRule="exact"/>
        <w:rPr>
          <w:sz w:val="20"/>
          <w:szCs w:val="20"/>
          <w:color w:val="auto"/>
        </w:rPr>
      </w:pPr>
    </w:p>
    <w:p>
      <w:pPr>
        <w:jc w:val="both"/>
        <w:ind w:right="20"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Rating 10 and 11</w:t>
      </w:r>
      <w:r>
        <w:rPr>
          <w:rFonts w:ascii="Times New Roman" w:cs="Times New Roman" w:eastAsia="Times New Roman" w:hAnsi="Times New Roman"/>
          <w:sz w:val="18"/>
          <w:szCs w:val="18"/>
          <w:color w:val="auto"/>
        </w:rPr>
        <w:t>: These loans are generally referred to as our ‘‘substandard - non-accrual’’ and ‘‘doubtful’’ commercial credits. These ratings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to borrowers with weaknesses that make collection of debt in full, on the basis of current facts, conditions and values at best questionable and at worst improbable. All of these loans are placed in non-accrual.</w:t>
      </w:r>
    </w:p>
    <w:p>
      <w:pPr>
        <w:spacing w:after="0" w:line="173" w:lineRule="exact"/>
        <w:rPr>
          <w:sz w:val="20"/>
          <w:szCs w:val="20"/>
          <w:color w:val="auto"/>
        </w:rPr>
      </w:pPr>
    </w:p>
    <w:p>
      <w:pPr>
        <w:jc w:val="both"/>
        <w:ind w:firstLine="320"/>
        <w:spacing w:after="0" w:line="279" w:lineRule="auto"/>
        <w:rPr>
          <w:sz w:val="20"/>
          <w:szCs w:val="20"/>
          <w:color w:val="auto"/>
        </w:rPr>
      </w:pPr>
      <w:r>
        <w:rPr>
          <w:rFonts w:ascii="Times New Roman" w:cs="Times New Roman" w:eastAsia="Times New Roman" w:hAnsi="Times New Roman"/>
          <w:sz w:val="18"/>
          <w:szCs w:val="18"/>
          <w:i w:val="1"/>
          <w:iCs w:val="1"/>
          <w:color w:val="auto"/>
        </w:rPr>
        <w:t>Rating 12</w:t>
      </w:r>
      <w:r>
        <w:rPr>
          <w:rFonts w:ascii="Times New Roman" w:cs="Times New Roman" w:eastAsia="Times New Roman" w:hAnsi="Times New Roman"/>
          <w:sz w:val="18"/>
          <w:szCs w:val="18"/>
          <w:color w:val="auto"/>
        </w:rPr>
        <w:t>: These loans are generally referred to as our ‘‘loss’’ commercial credits. This rating includes loans to borrowers that are deemed incapable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repayment and are charged-off.</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following tables summarize loan ratings by loan class for our commercial loan portfolio segment at December 31:</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3"/>
          </w:tcPr>
          <w:p>
            <w:pPr>
              <w:jc w:val="center"/>
              <w:ind w:left="389"/>
              <w:spacing w:after="0"/>
              <w:rPr>
                <w:sz w:val="20"/>
                <w:szCs w:val="20"/>
                <w:color w:val="auto"/>
              </w:rPr>
            </w:pPr>
            <w:r>
              <w:rPr>
                <w:rFonts w:ascii="Times New Roman" w:cs="Times New Roman" w:eastAsia="Times New Roman" w:hAnsi="Times New Roman"/>
                <w:sz w:val="14"/>
                <w:szCs w:val="14"/>
                <w:color w:val="auto"/>
              </w:rPr>
              <w:t>Commercial</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4"/>
                <w:szCs w:val="14"/>
                <w:color w:val="auto"/>
                <w:w w:val="99"/>
              </w:rPr>
              <w:t>Revolving</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140" w:type="dxa"/>
            <w:vAlign w:val="bottom"/>
            <w:gridSpan w:val="11"/>
            <w:vMerge w:val="restart"/>
          </w:tcPr>
          <w:p>
            <w:pPr>
              <w:ind w:left="34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Loans</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140" w:type="dxa"/>
            <w:vAlign w:val="bottom"/>
            <w:tcBorders>
              <w:bottom w:val="single" w:sz="8" w:color="auto"/>
            </w:tcBorders>
            <w:gridSpan w:val="11"/>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4"/>
                <w:szCs w:val="14"/>
                <w:color w:val="auto"/>
              </w:rPr>
              <w:t>Amortized</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99"/>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Prior</w:t>
            </w: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Cost Basis</w:t>
            </w:r>
          </w:p>
        </w:tc>
        <w:tc>
          <w:tcPr>
            <w:tcW w:w="22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Non-watch (1-6)</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110,472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152,715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70,081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47,644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97,960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260,634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782,082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Watch (7-8)</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5,239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27,267</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 Accrual (9)</w:t>
            </w: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Non-Accrual (10-11)</w:t>
            </w:r>
          </w:p>
        </w:tc>
        <w:tc>
          <w:tcPr>
            <w:tcW w:w="2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19"/>
                <w:szCs w:val="19"/>
                <w:color w:val="auto"/>
              </w:rPr>
            </w:pPr>
          </w:p>
        </w:tc>
        <w:tc>
          <w:tcPr>
            <w:tcW w:w="2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110,568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157,954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71,592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50,224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46,770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100,269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272,768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438</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Non-watch (1-6)</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202,576</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169,230</w:t>
            </w:r>
          </w:p>
        </w:tc>
        <w:tc>
          <w:tcPr>
            <w:tcW w:w="8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131,428</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29,684</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78,706</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176,265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73,852</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861,741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Watch (7-8)</w:t>
            </w: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Substandard Accrual (9)</w:t>
            </w:r>
          </w:p>
        </w:tc>
        <w:tc>
          <w:tcPr>
            <w:tcW w:w="2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Non-Accrual (10-11)</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202,576</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169,230</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131,428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29,684</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81,028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181,788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73,852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19"/>
                <w:szCs w:val="19"/>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685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Non-watch (1-6)</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313,048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321,945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201,509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77,328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121,282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274,225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334,486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1,643,823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Watch (7-8)</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5,239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35,112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 Accrual (9)</w:t>
            </w: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Non-Accrual (10-11)</w:t>
            </w:r>
          </w:p>
        </w:tc>
        <w:tc>
          <w:tcPr>
            <w:tcW w:w="2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19"/>
                <w:szCs w:val="19"/>
                <w:color w:val="auto"/>
              </w:rPr>
            </w:pPr>
          </w:p>
        </w:tc>
        <w:tc>
          <w:tcPr>
            <w:tcW w:w="2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313,144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327,184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203,020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79,908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127,798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282,057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346,620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1,123</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715962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3"/>
          </w:tcPr>
          <w:p>
            <w:pPr>
              <w:jc w:val="center"/>
              <w:ind w:left="349"/>
              <w:spacing w:after="0"/>
              <w:rPr>
                <w:sz w:val="20"/>
                <w:szCs w:val="20"/>
                <w:color w:val="auto"/>
              </w:rPr>
            </w:pPr>
            <w:r>
              <w:rPr>
                <w:rFonts w:ascii="Times New Roman" w:cs="Times New Roman" w:eastAsia="Times New Roman" w:hAnsi="Times New Roman"/>
                <w:sz w:val="14"/>
                <w:szCs w:val="14"/>
                <w:color w:val="auto"/>
              </w:rPr>
              <w:t>Commercial</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4"/>
                <w:szCs w:val="14"/>
                <w:color w:val="auto"/>
                <w:w w:val="99"/>
              </w:rPr>
              <w:t>Revolving</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940" w:type="dxa"/>
            <w:vAlign w:val="bottom"/>
            <w:gridSpan w:val="11"/>
            <w:vMerge w:val="restart"/>
          </w:tcPr>
          <w:p>
            <w:pPr>
              <w:ind w:left="24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Loans</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940" w:type="dxa"/>
            <w:vAlign w:val="bottom"/>
            <w:tcBorders>
              <w:bottom w:val="single" w:sz="8" w:color="auto"/>
            </w:tcBorders>
            <w:gridSpan w:val="11"/>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4"/>
                <w:szCs w:val="14"/>
                <w:color w:val="auto"/>
              </w:rPr>
              <w:t>Amortized</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92"/>
              </w:rPr>
              <w:t>2018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Cost Basis</w:t>
            </w:r>
          </w:p>
        </w:tc>
        <w:tc>
          <w:tcPr>
            <w:tcW w:w="200" w:type="dxa"/>
            <w:vAlign w:val="bottom"/>
          </w:tcPr>
          <w:p>
            <w:pPr>
              <w:spacing w:after="0"/>
              <w:rPr>
                <w:sz w:val="15"/>
                <w:szCs w:val="15"/>
                <w:color w:val="auto"/>
              </w:rPr>
            </w:pPr>
          </w:p>
        </w:tc>
        <w:tc>
          <w:tcPr>
            <w:tcW w:w="7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5"/>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Non-watch (1-6)</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157,561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89,251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58,292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45,792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95,908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237,906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715,425</w:t>
            </w:r>
          </w:p>
        </w:tc>
        <w:tc>
          <w:tcPr>
            <w:tcW w:w="0" w:type="dxa"/>
            <w:vAlign w:val="bottom"/>
          </w:tcPr>
          <w:p>
            <w:pPr>
              <w:spacing w:after="0"/>
              <w:rPr>
                <w:sz w:val="1"/>
                <w:szCs w:val="1"/>
                <w:color w:val="auto"/>
              </w:rPr>
            </w:pPr>
          </w:p>
        </w:tc>
      </w:tr>
      <w:tr>
        <w:trPr>
          <w:trHeight w:val="189"/>
        </w:trPr>
        <w:tc>
          <w:tcPr>
            <w:tcW w:w="27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Watch (7-8)</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4,539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15,062</w:t>
            </w:r>
          </w:p>
        </w:tc>
        <w:tc>
          <w:tcPr>
            <w:tcW w:w="0" w:type="dxa"/>
            <w:vAlign w:val="bottom"/>
          </w:tcPr>
          <w:p>
            <w:pPr>
              <w:spacing w:after="0"/>
              <w:rPr>
                <w:sz w:val="1"/>
                <w:szCs w:val="1"/>
                <w:color w:val="auto"/>
              </w:rPr>
            </w:pPr>
          </w:p>
        </w:tc>
      </w:tr>
      <w:tr>
        <w:trPr>
          <w:trHeight w:val="25"/>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 Accrual (9)</w:t>
            </w: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971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w:t>
            </w:r>
          </w:p>
        </w:tc>
        <w:tc>
          <w:tcPr>
            <w:tcW w:w="0" w:type="dxa"/>
            <w:vAlign w:val="bottom"/>
          </w:tcPr>
          <w:p>
            <w:pPr>
              <w:spacing w:after="0"/>
              <w:rPr>
                <w:sz w:val="1"/>
                <w:szCs w:val="1"/>
                <w:color w:val="auto"/>
              </w:rPr>
            </w:pPr>
          </w:p>
        </w:tc>
      </w:tr>
      <w:tr>
        <w:trPr>
          <w:trHeight w:val="189"/>
        </w:trPr>
        <w:tc>
          <w:tcPr>
            <w:tcW w:w="27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Non-Accrual (10-11)</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5"/>
        </w:trPr>
        <w:tc>
          <w:tcPr>
            <w:tcW w:w="2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7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158,241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94,761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59,141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47,870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30,929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100,822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240,699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732,463</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Non-watch (1-6)</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170,238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154,918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38,062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97,762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56,580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159,514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42,030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719,104</w:t>
            </w:r>
          </w:p>
        </w:tc>
        <w:tc>
          <w:tcPr>
            <w:tcW w:w="0" w:type="dxa"/>
            <w:vAlign w:val="bottom"/>
          </w:tcPr>
          <w:p>
            <w:pPr>
              <w:spacing w:after="0"/>
              <w:rPr>
                <w:sz w:val="1"/>
                <w:szCs w:val="1"/>
                <w:color w:val="auto"/>
              </w:rPr>
            </w:pPr>
          </w:p>
        </w:tc>
      </w:tr>
      <w:tr>
        <w:trPr>
          <w:trHeight w:val="189"/>
        </w:trPr>
        <w:tc>
          <w:tcPr>
            <w:tcW w:w="27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Watch (7-8)</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8,027</w:t>
            </w:r>
          </w:p>
        </w:tc>
        <w:tc>
          <w:tcPr>
            <w:tcW w:w="0" w:type="dxa"/>
            <w:vAlign w:val="bottom"/>
          </w:tcPr>
          <w:p>
            <w:pPr>
              <w:spacing w:after="0"/>
              <w:rPr>
                <w:sz w:val="1"/>
                <w:szCs w:val="1"/>
                <w:color w:val="auto"/>
              </w:rPr>
            </w:pPr>
          </w:p>
        </w:tc>
      </w:tr>
      <w:tr>
        <w:trPr>
          <w:trHeight w:val="25"/>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 Accrual (9)</w:t>
            </w: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7,259</w:t>
            </w:r>
          </w:p>
        </w:tc>
        <w:tc>
          <w:tcPr>
            <w:tcW w:w="0" w:type="dxa"/>
            <w:vAlign w:val="bottom"/>
          </w:tcPr>
          <w:p>
            <w:pPr>
              <w:spacing w:after="0"/>
              <w:rPr>
                <w:sz w:val="1"/>
                <w:szCs w:val="1"/>
                <w:color w:val="auto"/>
              </w:rPr>
            </w:pPr>
          </w:p>
        </w:tc>
      </w:tr>
      <w:tr>
        <w:trPr>
          <w:trHeight w:val="189"/>
        </w:trPr>
        <w:tc>
          <w:tcPr>
            <w:tcW w:w="27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Non-Accrual (10-11)</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2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7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170,238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155,100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38,375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102,712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59,604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166,219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42,142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734,390</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468</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2,363</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Non-watch (1-6)</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327,799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244,169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96,354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143,554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87,295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255,422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279,936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1,434,529</w:t>
            </w:r>
          </w:p>
        </w:tc>
        <w:tc>
          <w:tcPr>
            <w:tcW w:w="0" w:type="dxa"/>
            <w:vAlign w:val="bottom"/>
          </w:tcPr>
          <w:p>
            <w:pPr>
              <w:spacing w:after="0"/>
              <w:rPr>
                <w:sz w:val="1"/>
                <w:szCs w:val="1"/>
                <w:color w:val="auto"/>
              </w:rPr>
            </w:pPr>
          </w:p>
        </w:tc>
      </w:tr>
      <w:tr>
        <w:trPr>
          <w:trHeight w:val="189"/>
        </w:trPr>
        <w:tc>
          <w:tcPr>
            <w:tcW w:w="27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Watch (7-8)</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4,721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23,089</w:t>
            </w:r>
          </w:p>
        </w:tc>
        <w:tc>
          <w:tcPr>
            <w:tcW w:w="0" w:type="dxa"/>
            <w:vAlign w:val="bottom"/>
          </w:tcPr>
          <w:p>
            <w:pPr>
              <w:spacing w:after="0"/>
              <w:rPr>
                <w:sz w:val="1"/>
                <w:szCs w:val="1"/>
                <w:color w:val="auto"/>
              </w:rPr>
            </w:pPr>
          </w:p>
        </w:tc>
      </w:tr>
      <w:tr>
        <w:trPr>
          <w:trHeight w:val="25"/>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 Accrual (9)</w:t>
            </w: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971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9,197</w:t>
            </w:r>
          </w:p>
        </w:tc>
        <w:tc>
          <w:tcPr>
            <w:tcW w:w="0" w:type="dxa"/>
            <w:vAlign w:val="bottom"/>
          </w:tcPr>
          <w:p>
            <w:pPr>
              <w:spacing w:after="0"/>
              <w:rPr>
                <w:sz w:val="1"/>
                <w:szCs w:val="1"/>
                <w:color w:val="auto"/>
              </w:rPr>
            </w:pPr>
          </w:p>
        </w:tc>
      </w:tr>
      <w:tr>
        <w:trPr>
          <w:trHeight w:val="189"/>
        </w:trPr>
        <w:tc>
          <w:tcPr>
            <w:tcW w:w="27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Non-Accrual (10-11)</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5"/>
        </w:trPr>
        <w:tc>
          <w:tcPr>
            <w:tcW w:w="2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7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328,479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249,861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97,516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150,582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90,533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267,041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282,841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1,466,853</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646</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For each of our mortgage and installment portfolio segment classes we generally monitor credit quality based on the credit scores of the borrowers. These credit scores are generally updated semi-annually. The following tables summarize credit scores by loan class for our mortgage and installment loan portfolio segments at December 31:</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jc w:val="center"/>
              <w:ind w:right="200"/>
              <w:spacing w:after="0"/>
              <w:rPr>
                <w:sz w:val="20"/>
                <w:szCs w:val="20"/>
                <w:color w:val="auto"/>
              </w:rPr>
            </w:pPr>
            <w:r>
              <w:rPr>
                <w:rFonts w:ascii="Times New Roman" w:cs="Times New Roman" w:eastAsia="Times New Roman" w:hAnsi="Times New Roman"/>
                <w:sz w:val="12"/>
                <w:szCs w:val="12"/>
                <w:color w:val="auto"/>
              </w:rPr>
              <w:t>Mortgage (1)</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rPr>
              <w:t>Revolving</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120" w:type="dxa"/>
            <w:vAlign w:val="bottom"/>
            <w:gridSpan w:val="9"/>
            <w:vMerge w:val="restart"/>
          </w:tcPr>
          <w:p>
            <w:pPr>
              <w:jc w:val="right"/>
              <w:spacing w:after="0"/>
              <w:rPr>
                <w:sz w:val="20"/>
                <w:szCs w:val="20"/>
                <w:color w:val="auto"/>
              </w:rPr>
            </w:pPr>
            <w:r>
              <w:rPr>
                <w:rFonts w:ascii="Times New Roman" w:cs="Times New Roman" w:eastAsia="Times New Roman" w:hAnsi="Times New Roman"/>
                <w:sz w:val="12"/>
                <w:szCs w:val="12"/>
                <w:color w:val="auto"/>
              </w:rPr>
              <w:t>Term Loans Amortized Cost Basis by Origination Year</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2"/>
                <w:szCs w:val="12"/>
                <w:color w:val="auto"/>
              </w:rPr>
              <w:t>Loans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120" w:type="dxa"/>
            <w:vAlign w:val="bottom"/>
            <w:gridSpan w:val="9"/>
            <w:vMerge w:val="continue"/>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gridSpan w:val="2"/>
            <w:vMerge w:val="restart"/>
          </w:tcPr>
          <w:p>
            <w:pPr>
              <w:jc w:val="center"/>
              <w:ind w:right="280"/>
              <w:spacing w:after="0" w:line="105" w:lineRule="exact"/>
              <w:rPr>
                <w:sz w:val="20"/>
                <w:szCs w:val="20"/>
                <w:color w:val="auto"/>
              </w:rPr>
            </w:pPr>
            <w:r>
              <w:rPr>
                <w:rFonts w:ascii="Times New Roman" w:cs="Times New Roman" w:eastAsia="Times New Roman" w:hAnsi="Times New Roman"/>
                <w:sz w:val="12"/>
                <w:szCs w:val="12"/>
                <w:color w:val="auto"/>
              </w:rPr>
              <w:t>Amortized</w:t>
            </w: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2021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78"/>
              <w:spacing w:after="0"/>
              <w:rPr>
                <w:sz w:val="20"/>
                <w:szCs w:val="20"/>
                <w:color w:val="auto"/>
              </w:rPr>
            </w:pPr>
            <w:r>
              <w:rPr>
                <w:rFonts w:ascii="Times New Roman" w:cs="Times New Roman" w:eastAsia="Times New Roman" w:hAnsi="Times New Roman"/>
                <w:sz w:val="12"/>
                <w:szCs w:val="12"/>
                <w:color w:val="auto"/>
              </w:rPr>
              <w:t>2020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2019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Prior</w:t>
            </w:r>
          </w:p>
        </w:tc>
        <w:tc>
          <w:tcPr>
            <w:tcW w:w="2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color w:val="auto"/>
              </w:rPr>
              <w:t>Cost Basis</w:t>
            </w:r>
          </w:p>
        </w:tc>
        <w:tc>
          <w:tcPr>
            <w:tcW w:w="24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jc w:val="center"/>
              <w:ind w:right="180"/>
              <w:spacing w:after="0"/>
              <w:rPr>
                <w:sz w:val="20"/>
                <w:szCs w:val="20"/>
                <w:color w:val="auto"/>
              </w:rPr>
            </w:pPr>
            <w:r>
              <w:rPr>
                <w:rFonts w:ascii="Times New Roman" w:cs="Times New Roman" w:eastAsia="Times New Roman" w:hAnsi="Times New Roman"/>
                <w:sz w:val="12"/>
                <w:szCs w:val="12"/>
                <w:color w:val="auto"/>
              </w:rPr>
              <w:t>(In thousands)</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December 31, 2023</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1-4 family owner occupied - jumbo</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6,299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30,789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63,377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17,672</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8,813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132,537</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42,726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117,454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193,587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61,986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24,288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14,836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456,463</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14,965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51,991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66,597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25,170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4,738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11,768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176,729</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11,274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13,804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24,648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12,949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5,881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70,698</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7,815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18,234</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2,435</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923</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2,140</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76,902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222,397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351,222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121,113</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38,869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44,563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4,170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859,236</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2,375</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1-4 family owner occupied - non-jumbo</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10,083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7,780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9,130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40,529</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13,233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32,729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21,664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12,306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5,954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8,462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114,200</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11,696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18,133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11,661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8,136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20,042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77,430</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9,576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12,369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38,685</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6,415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11,592</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5,390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8,600</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998</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6,823</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3,313</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37,109</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68,931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49,273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32,199</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17,013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79,025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17,622</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301,172</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1,111</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tcPr>
          <w:p>
            <w:pPr>
              <w:spacing w:after="0"/>
              <w:rPr>
                <w:sz w:val="15"/>
                <w:szCs w:val="15"/>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1-4 family non-owner occupied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6,026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12,338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3,474</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6,030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34,435</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10,937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16,635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28,051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11,545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6,709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90,775</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7,013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8,825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6,719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33,368</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10,477</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3,496</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986</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17,377</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32,002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52,555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21,707</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10,696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32,048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7,431</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173,816</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654</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1-4 family - 2nd lien</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9,817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12,914</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38,277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52,098</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25,849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33,347</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8,945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12,527</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2,808</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1,316</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830</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5,168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4,769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5,020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3,640</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1,854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9,803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85,778</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116,032</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804</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5"/>
                <w:szCs w:val="15"/>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5"/>
          </w:tcPr>
          <w:p>
            <w:pPr>
              <w:ind w:left="200"/>
              <w:spacing w:after="0"/>
              <w:rPr>
                <w:sz w:val="20"/>
                <w:szCs w:val="20"/>
                <w:color w:val="auto"/>
              </w:rPr>
            </w:pPr>
            <w:r>
              <w:rPr>
                <w:rFonts w:ascii="Times New Roman" w:cs="Times New Roman" w:eastAsia="Times New Roman" w:hAnsi="Times New Roman"/>
                <w:sz w:val="12"/>
                <w:szCs w:val="12"/>
                <w:color w:val="auto"/>
              </w:rPr>
              <w:t>Mortgage - continued (1)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rPr>
              <w:t>Revolving</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380" w:type="dxa"/>
            <w:vAlign w:val="bottom"/>
            <w:gridSpan w:val="9"/>
            <w:vMerge w:val="restart"/>
          </w:tcPr>
          <w:p>
            <w:pPr>
              <w:jc w:val="right"/>
              <w:ind w:right="38"/>
              <w:spacing w:after="0"/>
              <w:rPr>
                <w:sz w:val="20"/>
                <w:szCs w:val="20"/>
                <w:color w:val="auto"/>
              </w:rPr>
            </w:pPr>
            <w:r>
              <w:rPr>
                <w:rFonts w:ascii="Times New Roman" w:cs="Times New Roman" w:eastAsia="Times New Roman" w:hAnsi="Times New Roman"/>
                <w:sz w:val="12"/>
                <w:szCs w:val="12"/>
                <w:color w:val="auto"/>
              </w:rPr>
              <w:t>Term Loans Amortized Cost Basis by Origination Year</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2"/>
                <w:szCs w:val="12"/>
                <w:color w:val="auto"/>
              </w:rPr>
              <w:t>Loans</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380" w:type="dxa"/>
            <w:vAlign w:val="bottom"/>
            <w:gridSpan w:val="9"/>
            <w:vMerge w:val="continue"/>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2"/>
                <w:szCs w:val="12"/>
                <w:color w:val="auto"/>
              </w:rPr>
              <w:t>Amortized</w:t>
            </w: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Prior</w:t>
            </w:r>
          </w:p>
        </w:tc>
        <w:tc>
          <w:tcPr>
            <w:tcW w:w="1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Cost Basis</w:t>
            </w:r>
          </w:p>
        </w:tc>
        <w:tc>
          <w:tcPr>
            <w:tcW w:w="22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(In thousands)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December 31, 2023</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Resort lending</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5,643</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5,742</w:t>
            </w:r>
          </w:p>
        </w:tc>
        <w:tc>
          <w:tcPr>
            <w:tcW w:w="0" w:type="dxa"/>
            <w:vAlign w:val="bottom"/>
          </w:tcPr>
          <w:p>
            <w:pPr>
              <w:spacing w:after="0"/>
              <w:rPr>
                <w:sz w:val="1"/>
                <w:szCs w:val="1"/>
                <w:color w:val="auto"/>
              </w:rPr>
            </w:pPr>
          </w:p>
        </w:tc>
      </w:tr>
      <w:tr>
        <w:trPr>
          <w:trHeight w:val="171"/>
        </w:trPr>
        <w:tc>
          <w:tcPr>
            <w:tcW w:w="26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12,649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15,454</w:t>
            </w: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6,529</w:t>
            </w:r>
          </w:p>
        </w:tc>
        <w:tc>
          <w:tcPr>
            <w:tcW w:w="0" w:type="dxa"/>
            <w:vAlign w:val="bottom"/>
          </w:tcPr>
          <w:p>
            <w:pPr>
              <w:spacing w:after="0"/>
              <w:rPr>
                <w:sz w:val="1"/>
                <w:szCs w:val="1"/>
                <w:color w:val="auto"/>
              </w:rPr>
            </w:pPr>
          </w:p>
        </w:tc>
      </w:tr>
      <w:tr>
        <w:trPr>
          <w:trHeight w:val="171"/>
        </w:trPr>
        <w:tc>
          <w:tcPr>
            <w:tcW w:w="26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6,535</w:t>
            </w: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844</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893</w:t>
            </w:r>
          </w:p>
        </w:tc>
        <w:tc>
          <w:tcPr>
            <w:tcW w:w="0" w:type="dxa"/>
            <w:vAlign w:val="bottom"/>
          </w:tcPr>
          <w:p>
            <w:pPr>
              <w:spacing w:after="0"/>
              <w:rPr>
                <w:sz w:val="1"/>
                <w:szCs w:val="1"/>
                <w:color w:val="auto"/>
              </w:rPr>
            </w:pPr>
          </w:p>
        </w:tc>
      </w:tr>
      <w:tr>
        <w:trPr>
          <w:trHeight w:val="171"/>
        </w:trPr>
        <w:tc>
          <w:tcPr>
            <w:tcW w:w="26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w:t>
            </w: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0" w:type="dxa"/>
            <w:vAlign w:val="bottom"/>
          </w:tcPr>
          <w:p>
            <w:pPr>
              <w:spacing w:after="0"/>
              <w:rPr>
                <w:sz w:val="1"/>
                <w:szCs w:val="1"/>
                <w:color w:val="auto"/>
              </w:rPr>
            </w:pPr>
          </w:p>
        </w:tc>
      </w:tr>
      <w:tr>
        <w:trPr>
          <w:trHeight w:val="171"/>
        </w:trPr>
        <w:tc>
          <w:tcPr>
            <w:tcW w:w="26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6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925</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1,880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1,334</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31,257</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35,616</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6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80" w:type="dxa"/>
            <w:vAlign w:val="bottom"/>
          </w:tcPr>
          <w:p>
            <w:pPr>
              <w:spacing w:after="0"/>
              <w:rPr>
                <w:sz w:val="15"/>
                <w:szCs w:val="15"/>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Total Mortgage</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11,436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47,054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84,297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26,960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10,512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30,769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15,129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226,157</w:t>
            </w:r>
          </w:p>
        </w:tc>
        <w:tc>
          <w:tcPr>
            <w:tcW w:w="0" w:type="dxa"/>
            <w:vAlign w:val="bottom"/>
          </w:tcPr>
          <w:p>
            <w:pPr>
              <w:spacing w:after="0"/>
              <w:rPr>
                <w:sz w:val="1"/>
                <w:szCs w:val="1"/>
                <w:color w:val="auto"/>
              </w:rPr>
            </w:pPr>
          </w:p>
        </w:tc>
      </w:tr>
      <w:tr>
        <w:trPr>
          <w:trHeight w:val="171"/>
        </w:trPr>
        <w:tc>
          <w:tcPr>
            <w:tcW w:w="26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69,197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170,514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246,571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89,036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38,028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63,821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51,823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728,990</w:t>
            </w: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32,460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78,488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89,418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37,886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8,909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46,316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33,926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327,403</w:t>
            </w:r>
          </w:p>
        </w:tc>
        <w:tc>
          <w:tcPr>
            <w:tcW w:w="0" w:type="dxa"/>
            <w:vAlign w:val="bottom"/>
          </w:tcPr>
          <w:p>
            <w:pPr>
              <w:spacing w:after="0"/>
              <w:rPr>
                <w:sz w:val="1"/>
                <w:szCs w:val="1"/>
                <w:color w:val="auto"/>
              </w:rPr>
            </w:pPr>
          </w:p>
        </w:tc>
      </w:tr>
      <w:tr>
        <w:trPr>
          <w:trHeight w:val="171"/>
        </w:trPr>
        <w:tc>
          <w:tcPr>
            <w:tcW w:w="26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21,491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21,685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31,280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18,851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5,034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29,859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138,922</w:t>
            </w: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9,644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5,722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11,640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37,023</w:t>
            </w:r>
          </w:p>
        </w:tc>
        <w:tc>
          <w:tcPr>
            <w:tcW w:w="0" w:type="dxa"/>
            <w:vAlign w:val="bottom"/>
          </w:tcPr>
          <w:p>
            <w:pPr>
              <w:spacing w:after="0"/>
              <w:rPr>
                <w:sz w:val="1"/>
                <w:szCs w:val="1"/>
                <w:color w:val="auto"/>
              </w:rPr>
            </w:pPr>
          </w:p>
        </w:tc>
      </w:tr>
      <w:tr>
        <w:trPr>
          <w:trHeight w:val="171"/>
        </w:trPr>
        <w:tc>
          <w:tcPr>
            <w:tcW w:w="26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6,768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13,604</w:t>
            </w: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9,994</w:t>
            </w:r>
          </w:p>
        </w:tc>
        <w:tc>
          <w:tcPr>
            <w:tcW w:w="0" w:type="dxa"/>
            <w:vAlign w:val="bottom"/>
          </w:tcPr>
          <w:p>
            <w:pPr>
              <w:spacing w:after="0"/>
              <w:rPr>
                <w:sz w:val="1"/>
                <w:szCs w:val="1"/>
                <w:color w:val="auto"/>
              </w:rPr>
            </w:pPr>
          </w:p>
        </w:tc>
      </w:tr>
      <w:tr>
        <w:trPr>
          <w:trHeight w:val="171"/>
        </w:trPr>
        <w:tc>
          <w:tcPr>
            <w:tcW w:w="26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3,779</w:t>
            </w:r>
          </w:p>
        </w:tc>
        <w:tc>
          <w:tcPr>
            <w:tcW w:w="0" w:type="dxa"/>
            <w:vAlign w:val="bottom"/>
          </w:tcPr>
          <w:p>
            <w:pPr>
              <w:spacing w:after="0"/>
              <w:rPr>
                <w:sz w:val="1"/>
                <w:szCs w:val="1"/>
                <w:color w:val="auto"/>
              </w:rPr>
            </w:pPr>
          </w:p>
        </w:tc>
      </w:tr>
      <w:tr>
        <w:trPr>
          <w:trHeight w:val="29"/>
        </w:trPr>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6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136,597</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329,024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459,950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179,993</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68,611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196,696</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115,001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1,485,872</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5,097</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6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80" w:type="dxa"/>
            <w:vAlign w:val="bottom"/>
          </w:tcPr>
          <w:p>
            <w:pPr>
              <w:spacing w:after="0"/>
              <w:rPr>
                <w:sz w:val="15"/>
                <w:szCs w:val="15"/>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jc w:val="center"/>
              <w:ind w:right="200"/>
              <w:spacing w:after="0"/>
              <w:rPr>
                <w:sz w:val="20"/>
                <w:szCs w:val="20"/>
                <w:color w:val="auto"/>
              </w:rPr>
            </w:pPr>
            <w:r>
              <w:rPr>
                <w:rFonts w:ascii="Times New Roman" w:cs="Times New Roman" w:eastAsia="Times New Roman" w:hAnsi="Times New Roman"/>
                <w:sz w:val="12"/>
                <w:szCs w:val="12"/>
                <w:color w:val="auto"/>
              </w:rPr>
              <w:t>Mortgage (1)</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rPr>
              <w:t>Revolving</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120" w:type="dxa"/>
            <w:vAlign w:val="bottom"/>
            <w:gridSpan w:val="9"/>
            <w:vMerge w:val="restart"/>
          </w:tcPr>
          <w:p>
            <w:pPr>
              <w:jc w:val="right"/>
              <w:spacing w:after="0"/>
              <w:rPr>
                <w:sz w:val="20"/>
                <w:szCs w:val="20"/>
                <w:color w:val="auto"/>
              </w:rPr>
            </w:pPr>
            <w:r>
              <w:rPr>
                <w:rFonts w:ascii="Times New Roman" w:cs="Times New Roman" w:eastAsia="Times New Roman" w:hAnsi="Times New Roman"/>
                <w:sz w:val="12"/>
                <w:szCs w:val="12"/>
                <w:color w:val="auto"/>
              </w:rPr>
              <w:t>Term Loans Amortized Cost Basis by Origination Year</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2"/>
                <w:szCs w:val="12"/>
                <w:color w:val="auto"/>
              </w:rPr>
              <w:t>Loans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120" w:type="dxa"/>
            <w:vAlign w:val="bottom"/>
            <w:gridSpan w:val="9"/>
            <w:vMerge w:val="continue"/>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gridSpan w:val="2"/>
            <w:vMerge w:val="restart"/>
          </w:tcPr>
          <w:p>
            <w:pPr>
              <w:jc w:val="center"/>
              <w:ind w:right="280"/>
              <w:spacing w:after="0" w:line="105" w:lineRule="exact"/>
              <w:rPr>
                <w:sz w:val="20"/>
                <w:szCs w:val="20"/>
                <w:color w:val="auto"/>
              </w:rPr>
            </w:pPr>
            <w:r>
              <w:rPr>
                <w:rFonts w:ascii="Times New Roman" w:cs="Times New Roman" w:eastAsia="Times New Roman" w:hAnsi="Times New Roman"/>
                <w:sz w:val="12"/>
                <w:szCs w:val="12"/>
                <w:color w:val="auto"/>
              </w:rPr>
              <w:t>Amortized</w:t>
            </w: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2020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78"/>
              <w:spacing w:after="0"/>
              <w:rPr>
                <w:sz w:val="20"/>
                <w:szCs w:val="20"/>
                <w:color w:val="auto"/>
              </w:rPr>
            </w:pPr>
            <w:r>
              <w:rPr>
                <w:rFonts w:ascii="Times New Roman" w:cs="Times New Roman" w:eastAsia="Times New Roman" w:hAnsi="Times New Roman"/>
                <w:sz w:val="12"/>
                <w:szCs w:val="12"/>
                <w:color w:val="auto"/>
              </w:rPr>
              <w:t>2019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rPr>
              <w:t>2018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Prior</w:t>
            </w:r>
          </w:p>
        </w:tc>
        <w:tc>
          <w:tcPr>
            <w:tcW w:w="2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color w:val="auto"/>
              </w:rPr>
              <w:t>Cost Basis</w:t>
            </w:r>
          </w:p>
        </w:tc>
        <w:tc>
          <w:tcPr>
            <w:tcW w:w="24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jc w:val="center"/>
              <w:ind w:right="180"/>
              <w:spacing w:after="0"/>
              <w:rPr>
                <w:sz w:val="20"/>
                <w:szCs w:val="20"/>
                <w:color w:val="auto"/>
              </w:rPr>
            </w:pPr>
            <w:r>
              <w:rPr>
                <w:rFonts w:ascii="Times New Roman" w:cs="Times New Roman" w:eastAsia="Times New Roman" w:hAnsi="Times New Roman"/>
                <w:sz w:val="12"/>
                <w:szCs w:val="12"/>
                <w:color w:val="auto"/>
              </w:rPr>
              <w:t>(In thousands)</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December 31, 2022</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1-4 family owner occupied - jumbo</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23,764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54,637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16,848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9,211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6,946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115,033</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97,269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189,653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71,555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16,091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16,140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393,219</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34,158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91,189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28,701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12,666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8,852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179,877</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10,905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20,743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50,515</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4,534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10,135</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2,534</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1,250</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168,357</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359,013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129,415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40,986</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12,310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38,797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3,685</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752,563</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1,892</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1-4 family owner occupied - non-jumbo</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8,894</w:t>
            </w:r>
          </w:p>
        </w:tc>
        <w:tc>
          <w:tcPr>
            <w:tcW w:w="100" w:type="dxa"/>
            <w:vAlign w:val="bottom"/>
          </w:tcPr>
          <w:p>
            <w:pPr>
              <w:spacing w:after="0"/>
              <w:rPr>
                <w:sz w:val="14"/>
                <w:szCs w:val="14"/>
                <w:color w:val="auto"/>
              </w:rPr>
            </w:pP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10,498</w:t>
            </w:r>
          </w:p>
        </w:tc>
        <w:tc>
          <w:tcPr>
            <w:tcW w:w="100" w:type="dxa"/>
            <w:vAlign w:val="bottom"/>
          </w:tcPr>
          <w:p>
            <w:pPr>
              <w:spacing w:after="0"/>
              <w:rPr>
                <w:sz w:val="14"/>
                <w:szCs w:val="14"/>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5,558</w:t>
            </w:r>
          </w:p>
        </w:tc>
        <w:tc>
          <w:tcPr>
            <w:tcW w:w="100" w:type="dxa"/>
            <w:vAlign w:val="bottom"/>
          </w:tcPr>
          <w:p>
            <w:pPr>
              <w:spacing w:after="0"/>
              <w:rPr>
                <w:sz w:val="14"/>
                <w:szCs w:val="14"/>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3,220</w:t>
            </w:r>
          </w:p>
        </w:tc>
        <w:tc>
          <w:tcPr>
            <w:tcW w:w="80" w:type="dxa"/>
            <w:vAlign w:val="bottom"/>
          </w:tcPr>
          <w:p>
            <w:pPr>
              <w:spacing w:after="0"/>
              <w:rPr>
                <w:sz w:val="14"/>
                <w:szCs w:val="14"/>
                <w:color w:val="auto"/>
              </w:rPr>
            </w:pP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2,074</w:t>
            </w:r>
          </w:p>
        </w:tc>
        <w:tc>
          <w:tcPr>
            <w:tcW w:w="100" w:type="dxa"/>
            <w:vAlign w:val="bottom"/>
          </w:tcPr>
          <w:p>
            <w:pPr>
              <w:spacing w:after="0"/>
              <w:rPr>
                <w:sz w:val="14"/>
                <w:szCs w:val="14"/>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6,074</w:t>
            </w:r>
          </w:p>
        </w:tc>
        <w:tc>
          <w:tcPr>
            <w:tcW w:w="100" w:type="dxa"/>
            <w:vAlign w:val="bottom"/>
          </w:tcPr>
          <w:p>
            <w:pPr>
              <w:spacing w:after="0"/>
              <w:rPr>
                <w:sz w:val="14"/>
                <w:szCs w:val="14"/>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1,680</w:t>
            </w:r>
          </w:p>
        </w:tc>
        <w:tc>
          <w:tcPr>
            <w:tcW w:w="80" w:type="dxa"/>
            <w:vAlign w:val="bottom"/>
          </w:tcPr>
          <w:p>
            <w:pPr>
              <w:spacing w:after="0"/>
              <w:rPr>
                <w:sz w:val="14"/>
                <w:szCs w:val="14"/>
                <w:color w:val="auto"/>
              </w:rPr>
            </w:pP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37,998</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33,833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26,239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13,956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6,018</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18,009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9,936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112,492</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17,629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13,526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7,626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22,506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71,997</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7,983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10,893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32,924</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7,044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13,202</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1,472</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8,079</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4,142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6,094</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2,846</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9"/>
        </w:trPr>
        <w:tc>
          <w:tcPr>
            <w:tcW w:w="2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69,878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56,896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33,325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19,157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14,658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75,264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16,454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285,632</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283</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953</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1-4 family non-owner occupied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9,308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5,178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5,842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31,239</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22,171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36,363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12,242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6,103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12,257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95,817</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8,739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12,423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37,957</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13,145</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3,369</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914</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462</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84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37,669</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60,722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26,725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12,003</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5,336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31,752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8,893</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183,100</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558</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1-4 family - 2nd lien</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w:t>
            </w:r>
          </w:p>
        </w:tc>
        <w:tc>
          <w:tcPr>
            <w:tcW w:w="100" w:type="dxa"/>
            <w:vAlign w:val="bottom"/>
          </w:tcPr>
          <w:p>
            <w:pPr>
              <w:spacing w:after="0"/>
              <w:rPr>
                <w:sz w:val="14"/>
                <w:szCs w:val="14"/>
                <w:color w:val="auto"/>
              </w:rPr>
            </w:pP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w:t>
            </w:r>
          </w:p>
        </w:tc>
        <w:tc>
          <w:tcPr>
            <w:tcW w:w="100" w:type="dxa"/>
            <w:vAlign w:val="bottom"/>
          </w:tcPr>
          <w:p>
            <w:pPr>
              <w:spacing w:after="0"/>
              <w:rPr>
                <w:sz w:val="14"/>
                <w:szCs w:val="14"/>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w:t>
            </w:r>
          </w:p>
        </w:tc>
        <w:tc>
          <w:tcPr>
            <w:tcW w:w="100" w:type="dxa"/>
            <w:vAlign w:val="bottom"/>
          </w:tcPr>
          <w:p>
            <w:pPr>
              <w:spacing w:after="0"/>
              <w:rPr>
                <w:sz w:val="14"/>
                <w:szCs w:val="14"/>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w:t>
            </w:r>
          </w:p>
        </w:tc>
        <w:tc>
          <w:tcPr>
            <w:tcW w:w="80" w:type="dxa"/>
            <w:vAlign w:val="bottom"/>
          </w:tcPr>
          <w:p>
            <w:pPr>
              <w:spacing w:after="0"/>
              <w:rPr>
                <w:sz w:val="14"/>
                <w:szCs w:val="14"/>
                <w:color w:val="auto"/>
              </w:rPr>
            </w:pP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100" w:type="dxa"/>
            <w:vAlign w:val="bottom"/>
          </w:tcPr>
          <w:p>
            <w:pPr>
              <w:spacing w:after="0"/>
              <w:rPr>
                <w:sz w:val="14"/>
                <w:szCs w:val="14"/>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503</w:t>
            </w:r>
          </w:p>
        </w:tc>
        <w:tc>
          <w:tcPr>
            <w:tcW w:w="100" w:type="dxa"/>
            <w:vAlign w:val="bottom"/>
          </w:tcPr>
          <w:p>
            <w:pPr>
              <w:spacing w:after="0"/>
              <w:rPr>
                <w:sz w:val="14"/>
                <w:szCs w:val="14"/>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8,000</w:t>
            </w:r>
          </w:p>
        </w:tc>
        <w:tc>
          <w:tcPr>
            <w:tcW w:w="80" w:type="dxa"/>
            <w:vAlign w:val="bottom"/>
          </w:tcPr>
          <w:p>
            <w:pPr>
              <w:spacing w:after="0"/>
              <w:rPr>
                <w:sz w:val="14"/>
                <w:szCs w:val="14"/>
                <w:color w:val="auto"/>
              </w:rPr>
            </w:pP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9,944</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38,346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50,133</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20,981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29,094</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8,188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10,770</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3,606</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885</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558</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w:t>
            </w:r>
          </w:p>
        </w:tc>
        <w:tc>
          <w:tcPr>
            <w:tcW w:w="0" w:type="dxa"/>
            <w:vAlign w:val="bottom"/>
          </w:tcPr>
          <w:p>
            <w:pPr>
              <w:spacing w:after="0"/>
              <w:rPr>
                <w:sz w:val="1"/>
                <w:szCs w:val="1"/>
                <w:color w:val="auto"/>
              </w:rPr>
            </w:pPr>
          </w:p>
        </w:tc>
      </w:tr>
      <w:tr>
        <w:trPr>
          <w:trHeight w:val="171"/>
        </w:trPr>
        <w:tc>
          <w:tcPr>
            <w:tcW w:w="28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9"/>
        </w:trPr>
        <w:tc>
          <w:tcPr>
            <w:tcW w:w="2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10,087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78,005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105,277</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511</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588</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Times New Roman" w:cs="Times New Roman" w:eastAsia="Times New Roman" w:hAnsi="Times New Roman"/>
                <w:sz w:val="12"/>
                <w:szCs w:val="12"/>
                <w:color w:val="auto"/>
              </w:rPr>
              <w:t>Mortgage - continued (1)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rPr>
              <w:t>Revolving</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40" w:type="dxa"/>
            <w:vAlign w:val="bottom"/>
            <w:gridSpan w:val="9"/>
            <w:vMerge w:val="restart"/>
          </w:tcPr>
          <w:p>
            <w:pPr>
              <w:jc w:val="right"/>
              <w:ind w:right="78"/>
              <w:spacing w:after="0"/>
              <w:rPr>
                <w:sz w:val="20"/>
                <w:szCs w:val="20"/>
                <w:color w:val="auto"/>
              </w:rPr>
            </w:pPr>
            <w:r>
              <w:rPr>
                <w:rFonts w:ascii="Times New Roman" w:cs="Times New Roman" w:eastAsia="Times New Roman" w:hAnsi="Times New Roman"/>
                <w:sz w:val="12"/>
                <w:szCs w:val="12"/>
                <w:color w:val="auto"/>
              </w:rPr>
              <w:t>Term Loans Amortized Cost Basis by Origination Year</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2"/>
                <w:szCs w:val="12"/>
                <w:color w:val="auto"/>
              </w:rPr>
              <w:t>Loans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40" w:type="dxa"/>
            <w:vAlign w:val="bottom"/>
            <w:gridSpan w:val="9"/>
            <w:vMerge w:val="continue"/>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2"/>
                <w:szCs w:val="12"/>
                <w:color w:val="auto"/>
              </w:rPr>
              <w:t>Amortized</w:t>
            </w: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38"/>
              <w:spacing w:after="0"/>
              <w:rPr>
                <w:sz w:val="20"/>
                <w:szCs w:val="20"/>
                <w:color w:val="auto"/>
              </w:rPr>
            </w:pPr>
            <w:r>
              <w:rPr>
                <w:rFonts w:ascii="Times New Roman" w:cs="Times New Roman" w:eastAsia="Times New Roman" w:hAnsi="Times New Roman"/>
                <w:sz w:val="12"/>
                <w:szCs w:val="12"/>
                <w:color w:val="auto"/>
              </w:rPr>
              <w:t>2019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2018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Prior</w:t>
            </w:r>
          </w:p>
        </w:tc>
        <w:tc>
          <w:tcPr>
            <w:tcW w:w="16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Cost Basis</w:t>
            </w:r>
          </w:p>
        </w:tc>
        <w:tc>
          <w:tcPr>
            <w:tcW w:w="240" w:type="dxa"/>
            <w:vAlign w:val="bottom"/>
          </w:tcPr>
          <w:p>
            <w:pPr>
              <w:spacing w:after="0"/>
              <w:rPr>
                <w:sz w:val="14"/>
                <w:szCs w:val="14"/>
                <w:color w:val="auto"/>
              </w:rPr>
            </w:pPr>
          </w:p>
        </w:tc>
        <w:tc>
          <w:tcPr>
            <w:tcW w:w="780" w:type="dxa"/>
            <w:vAlign w:val="bottom"/>
          </w:tcPr>
          <w:p>
            <w:pPr>
              <w:jc w:val="right"/>
              <w:ind w:right="318"/>
              <w:spacing w:after="0"/>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(In thousands)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December 31, 2022</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Resort lending</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7,031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7,728</w:t>
            </w:r>
          </w:p>
        </w:tc>
        <w:tc>
          <w:tcPr>
            <w:tcW w:w="0" w:type="dxa"/>
            <w:vAlign w:val="bottom"/>
          </w:tcPr>
          <w:p>
            <w:pPr>
              <w:spacing w:after="0"/>
              <w:rPr>
                <w:sz w:val="1"/>
                <w:szCs w:val="1"/>
                <w:color w:val="auto"/>
              </w:rPr>
            </w:pPr>
          </w:p>
        </w:tc>
      </w:tr>
      <w:tr>
        <w:trPr>
          <w:trHeight w:val="171"/>
        </w:trPr>
        <w:tc>
          <w:tcPr>
            <w:tcW w:w="24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20,142</w:t>
            </w: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6,331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7,181</w:t>
            </w:r>
          </w:p>
        </w:tc>
        <w:tc>
          <w:tcPr>
            <w:tcW w:w="0" w:type="dxa"/>
            <w:vAlign w:val="bottom"/>
          </w:tcPr>
          <w:p>
            <w:pPr>
              <w:spacing w:after="0"/>
              <w:rPr>
                <w:sz w:val="1"/>
                <w:szCs w:val="1"/>
                <w:color w:val="auto"/>
              </w:rPr>
            </w:pPr>
          </w:p>
        </w:tc>
      </w:tr>
      <w:tr>
        <w:trPr>
          <w:trHeight w:val="171"/>
        </w:trPr>
        <w:tc>
          <w:tcPr>
            <w:tcW w:w="24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5,413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5,573</w:t>
            </w: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895</w:t>
            </w:r>
          </w:p>
        </w:tc>
        <w:tc>
          <w:tcPr>
            <w:tcW w:w="0" w:type="dxa"/>
            <w:vAlign w:val="bottom"/>
          </w:tcPr>
          <w:p>
            <w:pPr>
              <w:spacing w:after="0"/>
              <w:rPr>
                <w:sz w:val="1"/>
                <w:szCs w:val="1"/>
                <w:color w:val="auto"/>
              </w:rPr>
            </w:pPr>
          </w:p>
        </w:tc>
      </w:tr>
      <w:tr>
        <w:trPr>
          <w:trHeight w:val="171"/>
        </w:trPr>
        <w:tc>
          <w:tcPr>
            <w:tcW w:w="24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0" w:type="dxa"/>
            <w:vAlign w:val="bottom"/>
          </w:tcPr>
          <w:p>
            <w:pPr>
              <w:spacing w:after="0"/>
              <w:rPr>
                <w:sz w:val="1"/>
                <w:szCs w:val="1"/>
                <w:color w:val="auto"/>
              </w:rPr>
            </w:pPr>
          </w:p>
        </w:tc>
      </w:tr>
      <w:tr>
        <w:trPr>
          <w:trHeight w:val="171"/>
        </w:trPr>
        <w:tc>
          <w:tcPr>
            <w:tcW w:w="24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2"/>
        </w:trPr>
        <w:tc>
          <w:tcPr>
            <w:tcW w:w="248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1,237</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2,352</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1,378</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35,803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41,837</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Mortgage</w:t>
            </w: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4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37,225</w:t>
            </w:r>
          </w:p>
        </w:tc>
        <w:tc>
          <w:tcPr>
            <w:tcW w:w="100" w:type="dxa"/>
            <w:vAlign w:val="bottom"/>
          </w:tcPr>
          <w:p>
            <w:pPr>
              <w:spacing w:after="0"/>
              <w:rPr>
                <w:sz w:val="14"/>
                <w:szCs w:val="14"/>
                <w:color w:val="auto"/>
              </w:rPr>
            </w:pP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75,154</w:t>
            </w:r>
          </w:p>
        </w:tc>
        <w:tc>
          <w:tcPr>
            <w:tcW w:w="100" w:type="dxa"/>
            <w:vAlign w:val="bottom"/>
          </w:tcPr>
          <w:p>
            <w:pPr>
              <w:spacing w:after="0"/>
              <w:rPr>
                <w:sz w:val="14"/>
                <w:szCs w:val="14"/>
                <w:color w:val="auto"/>
              </w:rPr>
            </w:pP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28,038</w:t>
            </w:r>
          </w:p>
        </w:tc>
        <w:tc>
          <w:tcPr>
            <w:tcW w:w="100" w:type="dxa"/>
            <w:vAlign w:val="bottom"/>
          </w:tcPr>
          <w:p>
            <w:pPr>
              <w:spacing w:after="0"/>
              <w:rPr>
                <w:sz w:val="14"/>
                <w:szCs w:val="14"/>
                <w:color w:val="auto"/>
              </w:rPr>
            </w:pP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16,845</w:t>
            </w:r>
          </w:p>
        </w:tc>
        <w:tc>
          <w:tcPr>
            <w:tcW w:w="80" w:type="dxa"/>
            <w:vAlign w:val="bottom"/>
          </w:tcPr>
          <w:p>
            <w:pPr>
              <w:spacing w:after="0"/>
              <w:rPr>
                <w:sz w:val="14"/>
                <w:szCs w:val="14"/>
                <w:color w:val="auto"/>
              </w:rPr>
            </w:pPr>
          </w:p>
        </w:tc>
        <w:tc>
          <w:tcPr>
            <w:tcW w:w="360" w:type="dxa"/>
            <w:vAlign w:val="bottom"/>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6,282</w:t>
            </w:r>
          </w:p>
        </w:tc>
        <w:tc>
          <w:tcPr>
            <w:tcW w:w="100" w:type="dxa"/>
            <w:vAlign w:val="bottom"/>
          </w:tcPr>
          <w:p>
            <w:pPr>
              <w:spacing w:after="0"/>
              <w:rPr>
                <w:sz w:val="14"/>
                <w:szCs w:val="14"/>
                <w:color w:val="auto"/>
              </w:rPr>
            </w:pP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26,396</w:t>
            </w:r>
          </w:p>
        </w:tc>
        <w:tc>
          <w:tcPr>
            <w:tcW w:w="100" w:type="dxa"/>
            <w:vAlign w:val="bottom"/>
          </w:tcPr>
          <w:p>
            <w:pPr>
              <w:spacing w:after="0"/>
              <w:rPr>
                <w:sz w:val="14"/>
                <w:szCs w:val="14"/>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12,002</w:t>
            </w:r>
          </w:p>
        </w:tc>
        <w:tc>
          <w:tcPr>
            <w:tcW w:w="80" w:type="dxa"/>
            <w:vAlign w:val="bottom"/>
          </w:tcPr>
          <w:p>
            <w:pPr>
              <w:spacing w:after="0"/>
              <w:rPr>
                <w:sz w:val="14"/>
                <w:szCs w:val="14"/>
                <w:color w:val="auto"/>
              </w:rPr>
            </w:pP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201,942</w:t>
            </w: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156,427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256,276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101,298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29,060</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9,827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65,818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53,097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671,803</w:t>
            </w:r>
          </w:p>
        </w:tc>
        <w:tc>
          <w:tcPr>
            <w:tcW w:w="0" w:type="dxa"/>
            <w:vAlign w:val="bottom"/>
          </w:tcPr>
          <w:p>
            <w:pPr>
              <w:spacing w:after="0"/>
              <w:rPr>
                <w:sz w:val="1"/>
                <w:szCs w:val="1"/>
                <w:color w:val="auto"/>
              </w:rPr>
            </w:pPr>
          </w:p>
        </w:tc>
      </w:tr>
      <w:tr>
        <w:trPr>
          <w:trHeight w:val="171"/>
        </w:trPr>
        <w:tc>
          <w:tcPr>
            <w:tcW w:w="24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62,106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119,609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42,879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18,698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7,695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47,163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27,956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326,106</w:t>
            </w: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20,663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28,648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13,836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6,251</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6,809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26,172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10,548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112,927</w:t>
            </w:r>
          </w:p>
        </w:tc>
        <w:tc>
          <w:tcPr>
            <w:tcW w:w="0" w:type="dxa"/>
            <w:vAlign w:val="bottom"/>
          </w:tcPr>
          <w:p>
            <w:pPr>
              <w:spacing w:after="0"/>
              <w:rPr>
                <w:sz w:val="1"/>
                <w:szCs w:val="1"/>
                <w:color w:val="auto"/>
              </w:rPr>
            </w:pPr>
          </w:p>
        </w:tc>
      </w:tr>
      <w:tr>
        <w:trPr>
          <w:trHeight w:val="171"/>
        </w:trPr>
        <w:tc>
          <w:tcPr>
            <w:tcW w:w="24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6,628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31,207</w:t>
            </w: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1,593</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6,348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12,480</w:t>
            </w:r>
          </w:p>
        </w:tc>
        <w:tc>
          <w:tcPr>
            <w:tcW w:w="0" w:type="dxa"/>
            <w:vAlign w:val="bottom"/>
          </w:tcPr>
          <w:p>
            <w:pPr>
              <w:spacing w:after="0"/>
              <w:rPr>
                <w:sz w:val="1"/>
                <w:szCs w:val="1"/>
                <w:color w:val="auto"/>
              </w:rPr>
            </w:pPr>
          </w:p>
        </w:tc>
      </w:tr>
      <w:tr>
        <w:trPr>
          <w:trHeight w:val="171"/>
        </w:trPr>
        <w:tc>
          <w:tcPr>
            <w:tcW w:w="24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5,791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8,504</w:t>
            </w: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3,440</w:t>
            </w:r>
          </w:p>
        </w:tc>
        <w:tc>
          <w:tcPr>
            <w:tcW w:w="0" w:type="dxa"/>
            <w:vAlign w:val="bottom"/>
          </w:tcPr>
          <w:p>
            <w:pPr>
              <w:spacing w:after="0"/>
              <w:rPr>
                <w:sz w:val="1"/>
                <w:szCs w:val="1"/>
                <w:color w:val="auto"/>
              </w:rPr>
            </w:pPr>
          </w:p>
        </w:tc>
      </w:tr>
      <w:tr>
        <w:trPr>
          <w:trHeight w:val="171"/>
        </w:trPr>
        <w:tc>
          <w:tcPr>
            <w:tcW w:w="24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9"/>
        </w:trPr>
        <w:tc>
          <w:tcPr>
            <w:tcW w:w="2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4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281,325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484,225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194,910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74,596</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34,613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191,703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107,037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1,368,409</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4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910</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1,072</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473</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209</w:t>
            </w:r>
          </w:p>
        </w:tc>
        <w:tc>
          <w:tcPr>
            <w:tcW w:w="80" w:type="dxa"/>
            <w:vAlign w:val="bottom"/>
          </w:tcPr>
          <w:p>
            <w:pPr>
              <w:spacing w:after="0"/>
              <w:rPr>
                <w:sz w:val="15"/>
                <w:szCs w:val="15"/>
                <w:color w:val="auto"/>
              </w:rPr>
            </w:pPr>
          </w:p>
        </w:tc>
        <w:tc>
          <w:tcPr>
            <w:tcW w:w="36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624</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698</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4,116</w:t>
            </w: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480" w:hanging="456"/>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scores have been updated within the last twelve months.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Installment (1)</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8"/>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5"/>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80" w:type="dxa"/>
            <w:vAlign w:val="bottom"/>
            <w:gridSpan w:val="8"/>
          </w:tcPr>
          <w:p>
            <w:pPr>
              <w:jc w:val="center"/>
              <w:ind w:right="320"/>
              <w:spacing w:after="0"/>
              <w:rPr>
                <w:sz w:val="20"/>
                <w:szCs w:val="20"/>
                <w:color w:val="auto"/>
              </w:rPr>
            </w:pPr>
            <w:r>
              <w:rPr>
                <w:rFonts w:ascii="Times New Roman" w:cs="Times New Roman" w:eastAsia="Times New Roman" w:hAnsi="Times New Roman"/>
                <w:sz w:val="12"/>
                <w:szCs w:val="12"/>
                <w:color w:val="auto"/>
              </w:rPr>
              <w:t>Term Loans Amortized Cost Basis by Origination Year</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5"/>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58"/>
              <w:spacing w:after="0"/>
              <w:rPr>
                <w:sz w:val="20"/>
                <w:szCs w:val="20"/>
                <w:color w:val="auto"/>
              </w:rPr>
            </w:pPr>
            <w:r>
              <w:rPr>
                <w:rFonts w:ascii="Times New Roman" w:cs="Times New Roman" w:eastAsia="Times New Roman" w:hAnsi="Times New Roman"/>
                <w:sz w:val="12"/>
                <w:szCs w:val="12"/>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rPr>
              <w:t>2022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2020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58"/>
              <w:spacing w:after="0"/>
              <w:rPr>
                <w:sz w:val="20"/>
                <w:szCs w:val="20"/>
                <w:color w:val="auto"/>
              </w:rPr>
            </w:pPr>
            <w:r>
              <w:rPr>
                <w:rFonts w:ascii="Times New Roman" w:cs="Times New Roman" w:eastAsia="Times New Roman" w:hAnsi="Times New Roman"/>
                <w:sz w:val="12"/>
                <w:szCs w:val="12"/>
                <w:color w:val="auto"/>
              </w:rPr>
              <w:t>2019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Prior</w:t>
            </w:r>
          </w:p>
        </w:tc>
        <w:tc>
          <w:tcPr>
            <w:tcW w:w="260" w:type="dxa"/>
            <w:vAlign w:val="bottom"/>
          </w:tcPr>
          <w:p>
            <w:pPr>
              <w:spacing w:after="0"/>
              <w:rPr>
                <w:sz w:val="14"/>
                <w:szCs w:val="14"/>
                <w:color w:val="auto"/>
              </w:rPr>
            </w:pPr>
          </w:p>
        </w:tc>
        <w:tc>
          <w:tcPr>
            <w:tcW w:w="86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rPr>
              <w:t>Total</w:t>
            </w:r>
          </w:p>
        </w:tc>
      </w:tr>
      <w:tr>
        <w:trPr>
          <w:trHeight w:val="29"/>
        </w:trPr>
        <w:tc>
          <w:tcPr>
            <w:tcW w:w="2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5"/>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(In thousands)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0"/>
        </w:trPr>
        <w:tc>
          <w:tcPr>
            <w:tcW w:w="2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December 31, 2023</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0"/>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Boat lending</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6,110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8,250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7,665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37,848</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34,174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35,921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29,665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16,329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13,173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21,432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150,694</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15,593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15,042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11,859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7,279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59,011</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16,582</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2,580</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1,240</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654</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92"/>
        </w:trPr>
        <w:tc>
          <w:tcPr>
            <w:tcW w:w="29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59,895</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63,070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55,295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26,471</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23,507</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40,410</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268,648</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9"/>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714</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80" w:type="dxa"/>
            <w:vAlign w:val="bottom"/>
          </w:tcPr>
          <w:p>
            <w:pPr>
              <w:spacing w:after="0"/>
              <w:rPr>
                <w:sz w:val="15"/>
                <w:szCs w:val="15"/>
                <w:color w:val="auto"/>
              </w:rPr>
            </w:pP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Pr>
          <w:p>
            <w:pPr>
              <w:spacing w:after="0"/>
              <w:rPr>
                <w:sz w:val="15"/>
                <w:szCs w:val="15"/>
                <w:color w:val="auto"/>
              </w:rPr>
            </w:pP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00" w:type="dxa"/>
            <w:vAlign w:val="bottom"/>
          </w:tcPr>
          <w:p>
            <w:pPr>
              <w:spacing w:after="0"/>
              <w:rPr>
                <w:sz w:val="15"/>
                <w:szCs w:val="15"/>
                <w:color w:val="auto"/>
              </w:rPr>
            </w:pP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68"/>
        </w:trPr>
        <w:tc>
          <w:tcPr>
            <w:tcW w:w="2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1"/>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Recreational vehicle lending</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10,759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11,568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38,299</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15,677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41,037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13,025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8,415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11,934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129,201</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6,481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18,630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4,460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58,664</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5,108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6,073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17,504</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4,141</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2,070</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1,649</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92"/>
        </w:trPr>
        <w:tc>
          <w:tcPr>
            <w:tcW w:w="29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28,653</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77,550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79,893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24,110</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17,641</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24,005</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251,852</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9"/>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655</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466</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8"/>
        </w:trPr>
        <w:tc>
          <w:tcPr>
            <w:tcW w:w="2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1"/>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Other</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7,140</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11,782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11,017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4,077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38,655</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16,717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3,361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34,970</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12,483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19,257</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2,170</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936</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649</w:t>
            </w:r>
          </w:p>
        </w:tc>
      </w:tr>
      <w:tr>
        <w:trPr>
          <w:trHeight w:val="192"/>
        </w:trPr>
        <w:tc>
          <w:tcPr>
            <w:tcW w:w="29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43,892</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23,542</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15,740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7,579</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3,765</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10,280</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104,798</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9"/>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1,677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2,001</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8"/>
        </w:trPr>
        <w:tc>
          <w:tcPr>
            <w:tcW w:w="2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1"/>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Total installment</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10,877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20,582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21,451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7,993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8,481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13,903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83,287</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61,633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87,975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75,378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32,911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37,443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318,550</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38,791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40,236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37,033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11,992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9,493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15,100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152,645</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18,659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11,134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11,844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3,878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53,343</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8,891</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4,246</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3,053</w:t>
            </w:r>
          </w:p>
        </w:tc>
      </w:tr>
      <w:tr>
        <w:trPr>
          <w:trHeight w:val="171"/>
        </w:trPr>
        <w:tc>
          <w:tcPr>
            <w:tcW w:w="290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634</w:t>
            </w:r>
          </w:p>
        </w:tc>
      </w:tr>
      <w:tr>
        <w:trPr>
          <w:trHeight w:val="29"/>
        </w:trPr>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0"/>
        </w:trPr>
        <w:tc>
          <w:tcPr>
            <w:tcW w:w="2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649</w:t>
            </w:r>
          </w:p>
        </w:tc>
      </w:tr>
      <w:tr>
        <w:trPr>
          <w:trHeight w:val="192"/>
        </w:trPr>
        <w:tc>
          <w:tcPr>
            <w:tcW w:w="290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132,440</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164,162</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150,928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58,160</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44,913</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74,695</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625,298</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0"/>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1,660</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29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period gross charge-offs</w:t>
            </w: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1,705</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279</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236</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2,588</w:t>
            </w:r>
          </w:p>
        </w:tc>
      </w:tr>
      <w:tr>
        <w:trPr>
          <w:trHeight w:val="21"/>
        </w:trPr>
        <w:tc>
          <w:tcPr>
            <w:tcW w:w="2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Installment (1)</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8"/>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5"/>
        </w:trPr>
        <w:tc>
          <w:tcPr>
            <w:tcW w:w="2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60" w:type="dxa"/>
            <w:vAlign w:val="bottom"/>
            <w:gridSpan w:val="8"/>
          </w:tcPr>
          <w:p>
            <w:pPr>
              <w:jc w:val="center"/>
              <w:ind w:right="340"/>
              <w:spacing w:after="0"/>
              <w:rPr>
                <w:sz w:val="20"/>
                <w:szCs w:val="20"/>
                <w:color w:val="auto"/>
              </w:rPr>
            </w:pPr>
            <w:r>
              <w:rPr>
                <w:rFonts w:ascii="Times New Roman" w:cs="Times New Roman" w:eastAsia="Times New Roman" w:hAnsi="Times New Roman"/>
                <w:sz w:val="12"/>
                <w:szCs w:val="12"/>
                <w:color w:val="auto"/>
              </w:rPr>
              <w:t>Term Loans Amortized Cost Basis by Origination Year</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5"/>
        </w:trPr>
        <w:tc>
          <w:tcPr>
            <w:tcW w:w="2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58"/>
              <w:spacing w:after="0"/>
              <w:rPr>
                <w:sz w:val="20"/>
                <w:szCs w:val="20"/>
                <w:color w:val="auto"/>
              </w:rPr>
            </w:pPr>
            <w:r>
              <w:rPr>
                <w:rFonts w:ascii="Times New Roman" w:cs="Times New Roman" w:eastAsia="Times New Roman" w:hAnsi="Times New Roman"/>
                <w:sz w:val="12"/>
                <w:szCs w:val="12"/>
                <w:color w:val="auto"/>
              </w:rPr>
              <w:t>2022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58"/>
              <w:spacing w:after="0"/>
              <w:rPr>
                <w:sz w:val="20"/>
                <w:szCs w:val="20"/>
                <w:color w:val="auto"/>
              </w:rPr>
            </w:pPr>
            <w:r>
              <w:rPr>
                <w:rFonts w:ascii="Times New Roman" w:cs="Times New Roman" w:eastAsia="Times New Roman" w:hAnsi="Times New Roman"/>
                <w:sz w:val="12"/>
                <w:szCs w:val="12"/>
                <w:color w:val="auto"/>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58"/>
              <w:spacing w:after="0"/>
              <w:rPr>
                <w:sz w:val="20"/>
                <w:szCs w:val="20"/>
                <w:color w:val="auto"/>
              </w:rPr>
            </w:pPr>
            <w:r>
              <w:rPr>
                <w:rFonts w:ascii="Times New Roman" w:cs="Times New Roman" w:eastAsia="Times New Roman" w:hAnsi="Times New Roman"/>
                <w:sz w:val="12"/>
                <w:szCs w:val="12"/>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2019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58"/>
              <w:spacing w:after="0"/>
              <w:rPr>
                <w:sz w:val="20"/>
                <w:szCs w:val="20"/>
                <w:color w:val="auto"/>
              </w:rPr>
            </w:pPr>
            <w:r>
              <w:rPr>
                <w:rFonts w:ascii="Times New Roman" w:cs="Times New Roman" w:eastAsia="Times New Roman" w:hAnsi="Times New Roman"/>
                <w:sz w:val="12"/>
                <w:szCs w:val="12"/>
                <w:color w:val="auto"/>
              </w:rPr>
              <w:t>2018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Prior</w:t>
            </w:r>
          </w:p>
        </w:tc>
        <w:tc>
          <w:tcPr>
            <w:tcW w:w="260" w:type="dxa"/>
            <w:vAlign w:val="bottom"/>
          </w:tcPr>
          <w:p>
            <w:pPr>
              <w:spacing w:after="0"/>
              <w:rPr>
                <w:sz w:val="14"/>
                <w:szCs w:val="14"/>
                <w:color w:val="auto"/>
              </w:rPr>
            </w:pPr>
          </w:p>
        </w:tc>
        <w:tc>
          <w:tcPr>
            <w:tcW w:w="86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rPr>
              <w:t>Total</w:t>
            </w:r>
          </w:p>
        </w:tc>
      </w:tr>
      <w:tr>
        <w:trPr>
          <w:trHeight w:val="29"/>
        </w:trPr>
        <w:tc>
          <w:tcPr>
            <w:tcW w:w="2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5"/>
        </w:trPr>
        <w:tc>
          <w:tcPr>
            <w:tcW w:w="2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(In thousands)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0"/>
        </w:trPr>
        <w:tc>
          <w:tcPr>
            <w:tcW w:w="2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December 31, 2022</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0"/>
        </w:trPr>
        <w:tc>
          <w:tcPr>
            <w:tcW w:w="29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Boat lending</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9"/>
        </w:trPr>
        <w:tc>
          <w:tcPr>
            <w:tcW w:w="2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7,901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8,763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5,102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5,955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35,724</w:t>
            </w:r>
          </w:p>
        </w:tc>
      </w:tr>
      <w:tr>
        <w:trPr>
          <w:trHeight w:val="171"/>
        </w:trPr>
        <w:tc>
          <w:tcPr>
            <w:tcW w:w="29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44,498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37,531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20,179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16,506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12,814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14,504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146,032</w:t>
            </w:r>
          </w:p>
        </w:tc>
      </w:tr>
      <w:tr>
        <w:trPr>
          <w:trHeight w:val="29"/>
        </w:trPr>
        <w:tc>
          <w:tcPr>
            <w:tcW w:w="2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15,390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13,704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7,281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5,848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4,357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6,132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52,712</w:t>
            </w:r>
          </w:p>
        </w:tc>
      </w:tr>
      <w:tr>
        <w:trPr>
          <w:trHeight w:val="171"/>
        </w:trPr>
        <w:tc>
          <w:tcPr>
            <w:tcW w:w="29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14,101</w:t>
            </w:r>
          </w:p>
        </w:tc>
      </w:tr>
      <w:tr>
        <w:trPr>
          <w:trHeight w:val="29"/>
        </w:trPr>
        <w:tc>
          <w:tcPr>
            <w:tcW w:w="2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3,009</w:t>
            </w:r>
          </w:p>
        </w:tc>
      </w:tr>
      <w:tr>
        <w:trPr>
          <w:trHeight w:val="171"/>
        </w:trPr>
        <w:tc>
          <w:tcPr>
            <w:tcW w:w="29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763</w:t>
            </w:r>
          </w:p>
        </w:tc>
      </w:tr>
      <w:tr>
        <w:trPr>
          <w:trHeight w:val="29"/>
        </w:trPr>
        <w:tc>
          <w:tcPr>
            <w:tcW w:w="2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w:t>
            </w:r>
          </w:p>
        </w:tc>
      </w:tr>
      <w:tr>
        <w:trPr>
          <w:trHeight w:val="171"/>
        </w:trPr>
        <w:tc>
          <w:tcPr>
            <w:tcW w:w="29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r>
      <w:tr>
        <w:trPr>
          <w:trHeight w:val="29"/>
        </w:trPr>
        <w:tc>
          <w:tcPr>
            <w:tcW w:w="2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0"/>
        </w:trPr>
        <w:tc>
          <w:tcPr>
            <w:tcW w:w="2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92"/>
        </w:trPr>
        <w:tc>
          <w:tcPr>
            <w:tcW w:w="292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72,682</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65,428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33,576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29,128</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22,350</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29,801</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252,965</w:t>
            </w: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9"/>
        </w:trPr>
        <w:tc>
          <w:tcPr>
            <w:tcW w:w="2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601</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48"/>
        </w:trPr>
        <w:tc>
          <w:tcPr>
            <w:tcW w:w="2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80"/>
        </w:trPr>
        <w:tc>
          <w:tcPr>
            <w:tcW w:w="2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Recreational vehicle lending</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71"/>
        </w:trPr>
        <w:tc>
          <w:tcPr>
            <w:tcW w:w="29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9,327</w:t>
            </w:r>
          </w:p>
        </w:tc>
        <w:tc>
          <w:tcPr>
            <w:tcW w:w="100" w:type="dxa"/>
            <w:vAlign w:val="bottom"/>
          </w:tcPr>
          <w:p>
            <w:pPr>
              <w:spacing w:after="0"/>
              <w:rPr>
                <w:sz w:val="14"/>
                <w:szCs w:val="14"/>
                <w:color w:val="auto"/>
              </w:rPr>
            </w:pP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10,752</w:t>
            </w:r>
          </w:p>
        </w:tc>
        <w:tc>
          <w:tcPr>
            <w:tcW w:w="100" w:type="dxa"/>
            <w:vAlign w:val="bottom"/>
          </w:tcPr>
          <w:p>
            <w:pPr>
              <w:spacing w:after="0"/>
              <w:rPr>
                <w:sz w:val="14"/>
                <w:szCs w:val="14"/>
                <w:color w:val="auto"/>
              </w:rPr>
            </w:pP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4,524</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4,834</w:t>
            </w:r>
          </w:p>
        </w:tc>
        <w:tc>
          <w:tcPr>
            <w:tcW w:w="100" w:type="dxa"/>
            <w:vAlign w:val="bottom"/>
          </w:tcPr>
          <w:p>
            <w:pPr>
              <w:spacing w:after="0"/>
              <w:rPr>
                <w:sz w:val="14"/>
                <w:szCs w:val="14"/>
                <w:color w:val="auto"/>
              </w:rPr>
            </w:pP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3,416</w:t>
            </w:r>
          </w:p>
        </w:tc>
        <w:tc>
          <w:tcPr>
            <w:tcW w:w="100" w:type="dxa"/>
            <w:vAlign w:val="bottom"/>
          </w:tcPr>
          <w:p>
            <w:pPr>
              <w:spacing w:after="0"/>
              <w:rPr>
                <w:sz w:val="14"/>
                <w:szCs w:val="14"/>
                <w:color w:val="auto"/>
              </w:rPr>
            </w:pP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4,319</w:t>
            </w:r>
          </w:p>
        </w:tc>
        <w:tc>
          <w:tcPr>
            <w:tcW w:w="100" w:type="dxa"/>
            <w:vAlign w:val="bottom"/>
          </w:tcPr>
          <w:p>
            <w:pPr>
              <w:spacing w:after="0"/>
              <w:rPr>
                <w:sz w:val="14"/>
                <w:szCs w:val="14"/>
                <w:color w:val="auto"/>
              </w:rPr>
            </w:pP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37,172</w:t>
            </w:r>
          </w:p>
        </w:tc>
      </w:tr>
      <w:tr>
        <w:trPr>
          <w:trHeight w:val="29"/>
        </w:trPr>
        <w:tc>
          <w:tcPr>
            <w:tcW w:w="2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51,555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49,949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16,175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11,920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8,990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7,818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146,407</w:t>
            </w:r>
          </w:p>
        </w:tc>
      </w:tr>
      <w:tr>
        <w:trPr>
          <w:trHeight w:val="171"/>
        </w:trPr>
        <w:tc>
          <w:tcPr>
            <w:tcW w:w="29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23,143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24,945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65,445</w:t>
            </w:r>
          </w:p>
        </w:tc>
      </w:tr>
      <w:tr>
        <w:trPr>
          <w:trHeight w:val="29"/>
        </w:trPr>
        <w:tc>
          <w:tcPr>
            <w:tcW w:w="2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6,516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16,119</w:t>
            </w:r>
          </w:p>
        </w:tc>
      </w:tr>
      <w:tr>
        <w:trPr>
          <w:trHeight w:val="171"/>
        </w:trPr>
        <w:tc>
          <w:tcPr>
            <w:tcW w:w="29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3,721</w:t>
            </w:r>
          </w:p>
        </w:tc>
      </w:tr>
      <w:tr>
        <w:trPr>
          <w:trHeight w:val="29"/>
        </w:trPr>
        <w:tc>
          <w:tcPr>
            <w:tcW w:w="2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1,140</w:t>
            </w:r>
          </w:p>
        </w:tc>
      </w:tr>
      <w:tr>
        <w:trPr>
          <w:trHeight w:val="171"/>
        </w:trPr>
        <w:tc>
          <w:tcPr>
            <w:tcW w:w="29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539</w:t>
            </w:r>
          </w:p>
        </w:tc>
      </w:tr>
      <w:tr>
        <w:trPr>
          <w:trHeight w:val="29"/>
        </w:trPr>
        <w:tc>
          <w:tcPr>
            <w:tcW w:w="2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w:t>
            </w:r>
          </w:p>
        </w:tc>
      </w:tr>
      <w:tr>
        <w:trPr>
          <w:trHeight w:val="171"/>
        </w:trPr>
        <w:tc>
          <w:tcPr>
            <w:tcW w:w="29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9"/>
        </w:trPr>
        <w:tc>
          <w:tcPr>
            <w:tcW w:w="2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29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89,938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94,529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30,598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23,305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15,937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16,366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270,673</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29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219</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648</w:t>
            </w: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8"/>
        </w:trPr>
        <w:tc>
          <w:tcPr>
            <w:tcW w:w="2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1"/>
        </w:trPr>
        <w:tc>
          <w:tcPr>
            <w:tcW w:w="29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Other</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9"/>
        </w:trPr>
        <w:tc>
          <w:tcPr>
            <w:tcW w:w="2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7,109</w:t>
            </w:r>
          </w:p>
        </w:tc>
      </w:tr>
      <w:tr>
        <w:trPr>
          <w:trHeight w:val="171"/>
        </w:trPr>
        <w:tc>
          <w:tcPr>
            <w:tcW w:w="29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15,692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9,973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39,869</w:t>
            </w:r>
          </w:p>
        </w:tc>
      </w:tr>
      <w:tr>
        <w:trPr>
          <w:trHeight w:val="29"/>
        </w:trPr>
        <w:tc>
          <w:tcPr>
            <w:tcW w:w="2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9,848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7,517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26,222</w:t>
            </w:r>
          </w:p>
        </w:tc>
      </w:tr>
      <w:tr>
        <w:trPr>
          <w:trHeight w:val="171"/>
        </w:trPr>
        <w:tc>
          <w:tcPr>
            <w:tcW w:w="29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22,740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28,926</w:t>
            </w:r>
          </w:p>
        </w:tc>
      </w:tr>
      <w:tr>
        <w:trPr>
          <w:trHeight w:val="29"/>
        </w:trPr>
        <w:tc>
          <w:tcPr>
            <w:tcW w:w="2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2,348</w:t>
            </w:r>
          </w:p>
        </w:tc>
      </w:tr>
      <w:tr>
        <w:trPr>
          <w:trHeight w:val="171"/>
        </w:trPr>
        <w:tc>
          <w:tcPr>
            <w:tcW w:w="29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642</w:t>
            </w:r>
          </w:p>
        </w:tc>
      </w:tr>
      <w:tr>
        <w:trPr>
          <w:trHeight w:val="29"/>
        </w:trPr>
        <w:tc>
          <w:tcPr>
            <w:tcW w:w="2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486</w:t>
            </w:r>
          </w:p>
        </w:tc>
      </w:tr>
      <w:tr>
        <w:trPr>
          <w:trHeight w:val="171"/>
        </w:trPr>
        <w:tc>
          <w:tcPr>
            <w:tcW w:w="29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w:t>
            </w:r>
          </w:p>
        </w:tc>
      </w:tr>
      <w:tr>
        <w:trPr>
          <w:trHeight w:val="29"/>
        </w:trPr>
        <w:tc>
          <w:tcPr>
            <w:tcW w:w="2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0"/>
        </w:trPr>
        <w:tc>
          <w:tcPr>
            <w:tcW w:w="2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701</w:t>
            </w:r>
          </w:p>
        </w:tc>
      </w:tr>
      <w:tr>
        <w:trPr>
          <w:trHeight w:val="192"/>
        </w:trPr>
        <w:tc>
          <w:tcPr>
            <w:tcW w:w="292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51,861</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22,954</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11,773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7,097</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3,742</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9,025</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106,452</w:t>
            </w: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9"/>
        </w:trPr>
        <w:tc>
          <w:tcPr>
            <w:tcW w:w="2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48"/>
        </w:trPr>
        <w:tc>
          <w:tcPr>
            <w:tcW w:w="2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80"/>
        </w:trPr>
        <w:tc>
          <w:tcPr>
            <w:tcW w:w="2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installment</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71"/>
        </w:trPr>
        <w:tc>
          <w:tcPr>
            <w:tcW w:w="29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800 and above</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19,202</w:t>
            </w:r>
          </w:p>
        </w:tc>
        <w:tc>
          <w:tcPr>
            <w:tcW w:w="100" w:type="dxa"/>
            <w:vAlign w:val="bottom"/>
          </w:tcPr>
          <w:p>
            <w:pPr>
              <w:spacing w:after="0"/>
              <w:rPr>
                <w:sz w:val="14"/>
                <w:szCs w:val="14"/>
                <w:color w:val="auto"/>
              </w:rPr>
            </w:pP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21,162</w:t>
            </w:r>
          </w:p>
        </w:tc>
        <w:tc>
          <w:tcPr>
            <w:tcW w:w="100" w:type="dxa"/>
            <w:vAlign w:val="bottom"/>
          </w:tcPr>
          <w:p>
            <w:pPr>
              <w:spacing w:after="0"/>
              <w:rPr>
                <w:sz w:val="14"/>
                <w:szCs w:val="14"/>
                <w:color w:val="auto"/>
              </w:rPr>
            </w:pP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10,364</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10,878</w:t>
            </w:r>
          </w:p>
        </w:tc>
        <w:tc>
          <w:tcPr>
            <w:tcW w:w="100" w:type="dxa"/>
            <w:vAlign w:val="bottom"/>
          </w:tcPr>
          <w:p>
            <w:pPr>
              <w:spacing w:after="0"/>
              <w:rPr>
                <w:sz w:val="14"/>
                <w:szCs w:val="14"/>
                <w:color w:val="auto"/>
              </w:rPr>
            </w:pP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7,394</w:t>
            </w:r>
          </w:p>
        </w:tc>
        <w:tc>
          <w:tcPr>
            <w:tcW w:w="100" w:type="dxa"/>
            <w:vAlign w:val="bottom"/>
          </w:tcPr>
          <w:p>
            <w:pPr>
              <w:spacing w:after="0"/>
              <w:rPr>
                <w:sz w:val="14"/>
                <w:szCs w:val="14"/>
                <w:color w:val="auto"/>
              </w:rPr>
            </w:pP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11,005</w:t>
            </w:r>
          </w:p>
        </w:tc>
        <w:tc>
          <w:tcPr>
            <w:tcW w:w="100" w:type="dxa"/>
            <w:vAlign w:val="bottom"/>
          </w:tcPr>
          <w:p>
            <w:pPr>
              <w:spacing w:after="0"/>
              <w:rPr>
                <w:sz w:val="14"/>
                <w:szCs w:val="14"/>
                <w:color w:val="auto"/>
              </w:rPr>
            </w:pP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80,005</w:t>
            </w:r>
          </w:p>
        </w:tc>
      </w:tr>
      <w:tr>
        <w:trPr>
          <w:trHeight w:val="29"/>
        </w:trPr>
        <w:tc>
          <w:tcPr>
            <w:tcW w:w="2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750-799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111,745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97,453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41,875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31,819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23,482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25,934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332,308</w:t>
            </w:r>
          </w:p>
        </w:tc>
      </w:tr>
      <w:tr>
        <w:trPr>
          <w:trHeight w:val="171"/>
        </w:trPr>
        <w:tc>
          <w:tcPr>
            <w:tcW w:w="29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700-749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48,381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46,166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18,365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12,108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7,635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11,724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144,379</w:t>
            </w:r>
          </w:p>
        </w:tc>
      </w:tr>
      <w:tr>
        <w:trPr>
          <w:trHeight w:val="29"/>
        </w:trPr>
        <w:tc>
          <w:tcPr>
            <w:tcW w:w="2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650-699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31,686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13,502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59,146</w:t>
            </w:r>
          </w:p>
        </w:tc>
      </w:tr>
      <w:tr>
        <w:trPr>
          <w:trHeight w:val="171"/>
        </w:trPr>
        <w:tc>
          <w:tcPr>
            <w:tcW w:w="29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600-649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9,078</w:t>
            </w:r>
          </w:p>
        </w:tc>
      </w:tr>
      <w:tr>
        <w:trPr>
          <w:trHeight w:val="29"/>
        </w:trPr>
        <w:tc>
          <w:tcPr>
            <w:tcW w:w="2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550-599</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2,545</w:t>
            </w:r>
          </w:p>
        </w:tc>
      </w:tr>
      <w:tr>
        <w:trPr>
          <w:trHeight w:val="171"/>
        </w:trPr>
        <w:tc>
          <w:tcPr>
            <w:tcW w:w="29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500-549</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1,600</w:t>
            </w:r>
          </w:p>
        </w:tc>
      </w:tr>
      <w:tr>
        <w:trPr>
          <w:trHeight w:val="29"/>
        </w:trPr>
        <w:tc>
          <w:tcPr>
            <w:tcW w:w="2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0"/>
        </w:trPr>
        <w:tc>
          <w:tcPr>
            <w:tcW w:w="2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Under 500</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w:t>
            </w:r>
          </w:p>
        </w:tc>
      </w:tr>
      <w:tr>
        <w:trPr>
          <w:trHeight w:val="171"/>
        </w:trPr>
        <w:tc>
          <w:tcPr>
            <w:tcW w:w="29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Unknown</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701</w:t>
            </w:r>
          </w:p>
        </w:tc>
      </w:tr>
      <w:tr>
        <w:trPr>
          <w:trHeight w:val="29"/>
        </w:trPr>
        <w:tc>
          <w:tcPr>
            <w:tcW w:w="2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29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214,481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182,911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75,947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59,530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42,029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55,192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630,090</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29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Accrued interest excluded from total</w:t>
            </w: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474</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423</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181</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155</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1,484</w:t>
            </w:r>
          </w:p>
        </w:tc>
      </w:tr>
      <w:tr>
        <w:trPr>
          <w:trHeight w:val="21"/>
        </w:trPr>
        <w:tc>
          <w:tcPr>
            <w:tcW w:w="2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80" w:hanging="456"/>
        <w:spacing w:after="0"/>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scores have been updated within the last twelve months.</w:t>
      </w:r>
    </w:p>
    <w:p>
      <w:pPr>
        <w:spacing w:after="0" w:line="327"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Mortgage loans serviced for others are not reported as assets on the Consolidated Statements of Financial Condition. The principal balances of these loans at December 31 follow: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40"/>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20"/>
                <w:szCs w:val="20"/>
                <w:color w:val="auto"/>
              </w:rPr>
            </w:pPr>
          </w:p>
        </w:tc>
      </w:tr>
      <w:tr>
        <w:trPr>
          <w:trHeight w:val="26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loans serviced for:</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Fannie Mae</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1,772,030</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1,840,221</w:t>
            </w:r>
          </w:p>
        </w:tc>
      </w:tr>
      <w:tr>
        <w:trPr>
          <w:trHeight w:val="247"/>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Freddie Mac</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1,381,693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1,375,514</w:t>
            </w:r>
          </w:p>
        </w:tc>
      </w:tr>
      <w:tr>
        <w:trPr>
          <w:trHeight w:val="26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Ginnie Mae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161,899</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169,421</w:t>
            </w:r>
          </w:p>
        </w:tc>
      </w:tr>
      <w:tr>
        <w:trPr>
          <w:trHeight w:val="247"/>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FHLB</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173,311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72,809</w:t>
            </w:r>
          </w:p>
        </w:tc>
      </w:tr>
      <w:tr>
        <w:trPr>
          <w:trHeight w:val="26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52,936</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35,347</w:t>
            </w:r>
          </w:p>
        </w:tc>
      </w:tr>
      <w:tr>
        <w:trPr>
          <w:trHeight w:val="240"/>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3,541,869</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3,493,312</w:t>
            </w:r>
          </w:p>
        </w:tc>
      </w:tr>
      <w:tr>
        <w:trPr>
          <w:trHeight w:val="26"/>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75"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Custodial deposit accounts maintained in connection with mortgage loans serviced for others totaled $28.6 million and $28.4 million, at December 31, 2023 and 2022, respectively.</w:t>
      </w:r>
    </w:p>
    <w:p>
      <w:pPr>
        <w:spacing w:after="0" w:line="163"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If we do not remain well capitalized for regulatory purposes (see note #20), meet certain minimum capital levels or certain profitability requirements or if we incur a rapid decline in net worth, we could lose our ability to sell and/or service loans to these investors. This could impact our ability to generate net gains on mortgage loans and generate servicing income. A forced liquidation of our servicing portfolio could also impact the value that could be recovered on this asset. Fannie Mae has the most stringent eligibility requirements covering capital levels, profitability and decline in net worth. Fannie Mae requires seller/servicers to be well capitalized for regulatory purposes. For the profitability requirement, we cannot record four or more consecutive quarterly losses and experience a 30% decline in net worth over the same period. Our net worth cannot decline by more than 25% in one quarter or more than 40% over two consecutive quarters.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capitalized mortgage loan servicing rights for the years ended December 31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47"/>
        </w:trPr>
        <w:tc>
          <w:tcPr>
            <w:tcW w:w="6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42,489</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0" w:type="dxa"/>
            <w:vAlign w:val="bottom"/>
          </w:tcPr>
          <w:p>
            <w:pPr>
              <w:spacing w:after="0"/>
              <w:rPr>
                <w:sz w:val="1"/>
                <w:szCs w:val="1"/>
                <w:color w:val="auto"/>
              </w:rPr>
            </w:pPr>
          </w:p>
        </w:tc>
      </w:tr>
      <w:tr>
        <w:trPr>
          <w:trHeight w:val="247"/>
        </w:trPr>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Originated servicing rights capitalized</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11,436</w:t>
            </w:r>
          </w:p>
        </w:tc>
        <w:tc>
          <w:tcPr>
            <w:tcW w:w="0" w:type="dxa"/>
            <w:vAlign w:val="bottom"/>
          </w:tcPr>
          <w:p>
            <w:pPr>
              <w:spacing w:after="0"/>
              <w:rPr>
                <w:sz w:val="1"/>
                <w:szCs w:val="1"/>
                <w:color w:val="auto"/>
              </w:rPr>
            </w:pPr>
          </w:p>
        </w:tc>
      </w:tr>
      <w:tr>
        <w:trPr>
          <w:trHeight w:val="260"/>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due to price</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0" w:type="dxa"/>
            <w:vAlign w:val="bottom"/>
          </w:tcPr>
          <w:p>
            <w:pPr>
              <w:spacing w:after="0"/>
              <w:rPr>
                <w:sz w:val="1"/>
                <w:szCs w:val="1"/>
                <w:color w:val="auto"/>
              </w:rPr>
            </w:pPr>
          </w:p>
        </w:tc>
      </w:tr>
      <w:tr>
        <w:trPr>
          <w:trHeight w:val="247"/>
        </w:trPr>
        <w:tc>
          <w:tcPr>
            <w:tcW w:w="6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Change in fair value due to pay downs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0" w:type="dxa"/>
            <w:vAlign w:val="bottom"/>
          </w:tcPr>
          <w:p>
            <w:pPr>
              <w:spacing w:after="0"/>
              <w:rPr>
                <w:sz w:val="1"/>
                <w:szCs w:val="1"/>
                <w:color w:val="auto"/>
              </w:rPr>
            </w:pPr>
          </w:p>
        </w:tc>
      </w:tr>
      <w:tr>
        <w:trPr>
          <w:trHeight w:val="27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42,243</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26,232</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Loans sold and serviced that have had servicing rights capitalized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620" w:type="dxa"/>
            <w:vAlign w:val="bottom"/>
            <w:vMerge w:val="continue"/>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3,541,869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3,493,312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3,323,521</w:t>
            </w:r>
          </w:p>
        </w:tc>
        <w:tc>
          <w:tcPr>
            <w:tcW w:w="0" w:type="dxa"/>
            <w:vAlign w:val="bottom"/>
          </w:tcPr>
          <w:p>
            <w:pPr>
              <w:spacing w:after="0"/>
              <w:rPr>
                <w:sz w:val="1"/>
                <w:szCs w:val="1"/>
                <w:color w:val="auto"/>
              </w:rPr>
            </w:pPr>
          </w:p>
        </w:tc>
      </w:tr>
      <w:tr>
        <w:trPr>
          <w:trHeight w:val="26"/>
        </w:trPr>
        <w:tc>
          <w:tcPr>
            <w:tcW w:w="6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firstLine="320"/>
        <w:spacing w:after="0" w:line="284" w:lineRule="auto"/>
        <w:rPr>
          <w:sz w:val="20"/>
          <w:szCs w:val="20"/>
          <w:color w:val="auto"/>
        </w:rPr>
      </w:pPr>
      <w:r>
        <w:rPr>
          <w:rFonts w:ascii="Times New Roman" w:cs="Times New Roman" w:eastAsia="Times New Roman" w:hAnsi="Times New Roman"/>
          <w:sz w:val="17"/>
          <w:szCs w:val="17"/>
          <w:color w:val="auto"/>
        </w:rPr>
        <w:t>Fair value of capitalized mortgage loan servicing rights was determined using an average coupon rate of 3.89%, average servicing fee of 0.26%, average discount rate of 10.25% and an average Public Securities Association (‘‘PSA’’) prepayment rate of 142 for December 31, 2023; and average coupon rate of 3.60%, average servicing fee of 0.26%, average discount rate of 10.12% and an average PSA prepayment rate of 133 for December 31, 2022.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OTHER REAL ESTATE</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95"/>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A summary of other real estate activity for the years ended December 31 follows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9"/>
        </w:trPr>
        <w:tc>
          <w:tcPr>
            <w:tcW w:w="662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47"/>
        </w:trPr>
        <w:tc>
          <w:tcPr>
            <w:tcW w:w="6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 net of valuation allowance</w:t>
            </w:r>
          </w:p>
        </w:tc>
        <w:tc>
          <w:tcPr>
            <w:tcW w:w="98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47"/>
        </w:trPr>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 transferred to other real estate</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60"/>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of other real estate</w:t>
            </w: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47"/>
        </w:trPr>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to valuation allowance charged to expense</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2"/>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 net of valuation allowance</w:t>
            </w:r>
          </w:p>
        </w:tc>
        <w:tc>
          <w:tcPr>
            <w:tcW w:w="980" w:type="dxa"/>
            <w:vAlign w:val="bottom"/>
            <w:tcBorders>
              <w:top w:val="single" w:sz="8" w:color="auto"/>
              <w:bottom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273" w:lineRule="exact"/>
        <w:rPr>
          <w:sz w:val="20"/>
          <w:szCs w:val="20"/>
          <w:color w:val="auto"/>
        </w:rPr>
      </w:pPr>
    </w:p>
    <w:p>
      <w:pPr>
        <w:ind w:left="480" w:hanging="456"/>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excludes other repossessed assets totaling zero and $0.01 million at December 31, 2023 and 2022, respectively.</w:t>
      </w:r>
    </w:p>
    <w:p>
      <w:pPr>
        <w:spacing w:after="0" w:line="327"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We periodically review our real estate properties and establish valuation allowances on these properties if values have declined since the date of acquisition. An analysis of our valuation allowance for other real estate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20" w:type="dxa"/>
            <w:vAlign w:val="bottom"/>
          </w:tcPr>
          <w:p>
            <w:pPr>
              <w:spacing w:after="0"/>
              <w:rPr>
                <w:sz w:val="21"/>
                <w:szCs w:val="21"/>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47"/>
        </w:trPr>
        <w:tc>
          <w:tcPr>
            <w:tcW w:w="6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20" w:type="dxa"/>
            <w:vAlign w:val="bottom"/>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center"/>
              <w:ind w:left="931"/>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751"/>
              <w:spacing w:after="0"/>
              <w:rPr>
                <w:sz w:val="20"/>
                <w:szCs w:val="20"/>
                <w:color w:val="auto"/>
              </w:rPr>
            </w:pPr>
            <w:r>
              <w:rPr>
                <w:rFonts w:ascii="Times New Roman" w:cs="Times New Roman" w:eastAsia="Times New Roman" w:hAnsi="Times New Roman"/>
                <w:sz w:val="18"/>
                <w:szCs w:val="18"/>
                <w:color w:val="auto"/>
                <w:w w:val="99"/>
              </w:rPr>
              <w:t>90</w:t>
            </w:r>
          </w:p>
        </w:tc>
      </w:tr>
      <w:tr>
        <w:trPr>
          <w:trHeight w:val="260"/>
        </w:trPr>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020" w:type="dxa"/>
            <w:vAlign w:val="bottom"/>
          </w:tcPr>
          <w:p>
            <w:pPr>
              <w:spacing w:after="0"/>
              <w:rPr>
                <w:sz w:val="22"/>
                <w:szCs w:val="22"/>
                <w:color w:val="auto"/>
              </w:rPr>
            </w:pPr>
          </w:p>
        </w:tc>
        <w:tc>
          <w:tcPr>
            <w:tcW w:w="46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54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center"/>
              <w:ind w:left="831"/>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2"/>
                <w:szCs w:val="22"/>
                <w:color w:val="auto"/>
              </w:rPr>
            </w:pPr>
          </w:p>
        </w:tc>
        <w:tc>
          <w:tcPr>
            <w:tcW w:w="1140" w:type="dxa"/>
            <w:vAlign w:val="bottom"/>
          </w:tcPr>
          <w:p>
            <w:pPr>
              <w:jc w:val="center"/>
              <w:ind w:left="751"/>
              <w:spacing w:after="0"/>
              <w:rPr>
                <w:sz w:val="20"/>
                <w:szCs w:val="20"/>
                <w:color w:val="auto"/>
              </w:rPr>
            </w:pPr>
            <w:r>
              <w:rPr>
                <w:rFonts w:ascii="Times New Roman" w:cs="Times New Roman" w:eastAsia="Times New Roman" w:hAnsi="Times New Roman"/>
                <w:sz w:val="18"/>
                <w:szCs w:val="18"/>
                <w:color w:val="auto"/>
                <w:w w:val="99"/>
              </w:rPr>
              <w:t>11</w:t>
            </w:r>
          </w:p>
        </w:tc>
      </w:tr>
      <w:tr>
        <w:trPr>
          <w:trHeight w:val="273"/>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 write-downs upon sale</w:t>
            </w:r>
          </w:p>
        </w:tc>
        <w:tc>
          <w:tcPr>
            <w:tcW w:w="10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center"/>
              <w:ind w:left="891"/>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9"/>
              </w:rPr>
              <w:t>(70)</w:t>
            </w:r>
          </w:p>
        </w:tc>
      </w:tr>
      <w:tr>
        <w:trPr>
          <w:trHeight w:val="24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020" w:type="dxa"/>
            <w:vAlign w:val="bottom"/>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center"/>
              <w:ind w:left="831"/>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center"/>
              <w:ind w:left="751"/>
              <w:spacing w:after="0"/>
              <w:rPr>
                <w:sz w:val="20"/>
                <w:szCs w:val="20"/>
                <w:color w:val="auto"/>
              </w:rPr>
            </w:pPr>
            <w:r>
              <w:rPr>
                <w:rFonts w:ascii="Times New Roman" w:cs="Times New Roman" w:eastAsia="Times New Roman" w:hAnsi="Times New Roman"/>
                <w:sz w:val="18"/>
                <w:szCs w:val="18"/>
                <w:color w:val="auto"/>
                <w:w w:val="99"/>
              </w:rPr>
              <w:t>31</w:t>
            </w:r>
          </w:p>
        </w:tc>
      </w:tr>
      <w:tr>
        <w:trPr>
          <w:trHeight w:val="26"/>
        </w:trPr>
        <w:tc>
          <w:tcPr>
            <w:tcW w:w="6620" w:type="dxa"/>
            <w:vAlign w:val="bottom"/>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r>
    </w:tbl>
    <w:p>
      <w:pPr>
        <w:spacing w:after="0" w:line="289"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At December 31, 2023 and 2022, the balance of other real estate includes $0.6 million and $0.4 million, respectively of foreclosed residential real estate properties. Retail mortgage loans secured by residential real estate properties for which formal foreclosure proceedings are in process according to local requirements totaled $0.6 million and $0.8 million at December 31, 2023 and 2022, respectively.</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Other real estate and repossessed assets totaling $0.6 million and $0.5 million at December 31, 2023 and 2022, respectively, are presented net of the valuation allowance on the Consolidated Statements of Financial Condition.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27"/>
        </w:trPr>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summary of property and equipment at December 31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87"/>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47"/>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21"/>
                <w:szCs w:val="21"/>
                <w:color w:val="auto"/>
              </w:rPr>
            </w:pPr>
          </w:p>
        </w:tc>
      </w:tr>
      <w:tr>
        <w:trPr>
          <w:trHeight w:val="26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16,421</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17,435</w:t>
            </w:r>
          </w:p>
        </w:tc>
      </w:tr>
      <w:tr>
        <w:trPr>
          <w:trHeight w:val="24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60,708</w:t>
            </w:r>
          </w:p>
        </w:tc>
      </w:tr>
      <w:tr>
        <w:trPr>
          <w:trHeight w:val="25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78,648</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75,770</w:t>
            </w:r>
          </w:p>
        </w:tc>
      </w:tr>
      <w:tr>
        <w:trPr>
          <w:trHeight w:val="247"/>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156,259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153,913</w:t>
            </w:r>
          </w:p>
        </w:tc>
      </w:tr>
      <w:tr>
        <w:trPr>
          <w:trHeight w:val="26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(120,736)</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(118,020)</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35,523</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35,893</w:t>
            </w:r>
          </w:p>
        </w:tc>
      </w:tr>
      <w:tr>
        <w:trPr>
          <w:trHeight w:val="26"/>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Depreciation expense was $5.2 million, $5.3 million and $5.4 million in 2023, 2022 and 2021,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GOODWILL AND OTHER INTANGIBLES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Intangible assets, net of amortization, at December 31 follows: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5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8"/>
                <w:szCs w:val="18"/>
                <w:color w:val="auto"/>
              </w:rPr>
            </w:pPr>
          </w:p>
        </w:tc>
        <w:tc>
          <w:tcPr>
            <w:tcW w:w="122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0" w:type="dxa"/>
            <w:vAlign w:val="bottom"/>
          </w:tcPr>
          <w:p>
            <w:pPr>
              <w:spacing w:after="0"/>
              <w:rPr>
                <w:sz w:val="1"/>
                <w:szCs w:val="1"/>
                <w:color w:val="auto"/>
              </w:rPr>
            </w:pPr>
          </w:p>
        </w:tc>
      </w:tr>
      <w:tr>
        <w:trPr>
          <w:trHeight w:val="236"/>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0"/>
                <w:szCs w:val="20"/>
                <w:color w:val="auto"/>
              </w:rPr>
            </w:pPr>
          </w:p>
        </w:tc>
        <w:tc>
          <w:tcPr>
            <w:tcW w:w="122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Amortized intangible assets - core deposits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9,912</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Unamortized intangible assets - goodwill</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040" w:type="dxa"/>
            <w:vAlign w:val="bottom"/>
            <w:vMerge w:val="continue"/>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right="20" w:firstLine="320"/>
        <w:spacing w:after="0" w:line="262" w:lineRule="auto"/>
        <w:rPr>
          <w:sz w:val="20"/>
          <w:szCs w:val="20"/>
          <w:color w:val="auto"/>
        </w:rPr>
      </w:pPr>
      <w:r>
        <w:rPr>
          <w:rFonts w:ascii="Times New Roman" w:cs="Times New Roman" w:eastAsia="Times New Roman" w:hAnsi="Times New Roman"/>
          <w:sz w:val="18"/>
          <w:szCs w:val="18"/>
          <w:color w:val="auto"/>
        </w:rPr>
        <w:t>At December 31, 2023, the Bank (our reporting unit) had positive equity and elected to perform a qualitative assessment to determine if it was more likely than not that the fair value of the Bank exceeds its carrying value, including goodwill. The qualitative assessment indicated that it was more likely than not that the fair value of the Bank exceeded its carrying value, resulting in no impairment.</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Intangible amortization expense was $0.5 million, $0.8 million and $1.0 million during the years ended 2023, 2022 and 2021, respectively.</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estimated core deposit intangible amortization at December 31, 2023,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6"/>
        </w:trPr>
        <w:tc>
          <w:tcPr>
            <w:tcW w:w="6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4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6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4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6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0"/>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27"/>
        </w:trPr>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 DEPOSITS</w:t>
            </w: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1"/>
        </w:trPr>
        <w:tc>
          <w:tcPr>
            <w:tcW w:w="66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summary of interest expense on deposits for the years ended December 31 follows: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662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47"/>
        </w:trPr>
        <w:tc>
          <w:tcPr>
            <w:tcW w:w="6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Savings and interest-bearing checking</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24,601</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0" w:type="dxa"/>
            <w:vAlign w:val="bottom"/>
          </w:tcPr>
          <w:p>
            <w:pPr>
              <w:spacing w:after="0"/>
              <w:rPr>
                <w:sz w:val="1"/>
                <w:szCs w:val="1"/>
                <w:color w:val="auto"/>
              </w:rPr>
            </w:pPr>
          </w:p>
        </w:tc>
      </w:tr>
      <w:tr>
        <w:trPr>
          <w:trHeight w:val="26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Reciprocal</w:t>
            </w: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23,429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7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w:t>
            </w: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13,766</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6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Brokered time</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13,279</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72"/>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75,075</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Aggregate time deposits in denominations of $0.25 million or more amounted to $176.6 million and $82.9 million at December 31, 2023 and 2022, respectively.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760" w:type="dxa"/>
            <w:vAlign w:val="bottom"/>
          </w:tcPr>
          <w:p>
            <w:pPr>
              <w:ind w:left="27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854"/>
        </w:trPr>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summary of the maturity of time deposits at December 31, 2023, follows (1):</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80"/>
        </w:trPr>
        <w:tc>
          <w:tcPr>
            <w:tcW w:w="9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6"/>
        </w:trPr>
        <w:tc>
          <w:tcPr>
            <w:tcW w:w="9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888,776</w:t>
            </w:r>
          </w:p>
        </w:tc>
      </w:tr>
      <w:tr>
        <w:trPr>
          <w:trHeight w:val="24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15,105</w:t>
            </w:r>
          </w:p>
        </w:tc>
      </w:tr>
      <w:tr>
        <w:trPr>
          <w:trHeight w:val="26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w:t>
            </w:r>
          </w:p>
        </w:tc>
      </w:tr>
      <w:tr>
        <w:trPr>
          <w:trHeight w:val="24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r>
      <w:tr>
        <w:trPr>
          <w:trHeight w:val="26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r>
      <w:tr>
        <w:trPr>
          <w:trHeight w:val="247"/>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2"/>
        </w:trPr>
        <w:tc>
          <w:tcPr>
            <w:tcW w:w="9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918,071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(1)</w:t>
        <w:tab/>
        <w:t>Includes time deposits, brokered time deposits and reciprocal time deposits</w:t>
      </w:r>
    </w:p>
    <w:p>
      <w:pPr>
        <w:spacing w:after="0" w:line="313" w:lineRule="exact"/>
        <w:rPr>
          <w:sz w:val="20"/>
          <w:szCs w:val="20"/>
          <w:color w:val="auto"/>
        </w:rPr>
      </w:pPr>
    </w:p>
    <w:p>
      <w:pPr>
        <w:jc w:val="both"/>
        <w:ind w:firstLine="320"/>
        <w:spacing w:after="0" w:line="307" w:lineRule="auto"/>
        <w:rPr>
          <w:sz w:val="20"/>
          <w:szCs w:val="20"/>
          <w:color w:val="auto"/>
        </w:rPr>
      </w:pPr>
      <w:r>
        <w:rPr>
          <w:rFonts w:ascii="Times New Roman" w:cs="Times New Roman" w:eastAsia="Times New Roman" w:hAnsi="Times New Roman"/>
          <w:sz w:val="17"/>
          <w:szCs w:val="17"/>
          <w:color w:val="auto"/>
        </w:rPr>
        <w:t>Reciprocal deposits represent demand, money market and time deposits from our customers that have been placed through IntraFi Network. This service allows our customers to access multi-million dollar FDIC deposit insurance on deposit balances greater than the standard FDIC insurance maximum.</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summary of reciprocal deposits at December 31 follows: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7"/>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47"/>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722,407</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554,585</w:t>
            </w:r>
          </w:p>
        </w:tc>
        <w:tc>
          <w:tcPr>
            <w:tcW w:w="0" w:type="dxa"/>
            <w:vAlign w:val="bottom"/>
          </w:tcPr>
          <w:p>
            <w:pPr>
              <w:spacing w:after="0"/>
              <w:rPr>
                <w:sz w:val="1"/>
                <w:szCs w:val="1"/>
                <w:color w:val="auto"/>
              </w:rPr>
            </w:pPr>
          </w:p>
        </w:tc>
      </w:tr>
      <w:tr>
        <w:trPr>
          <w:trHeight w:val="24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6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109,006</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46,794</w:t>
            </w:r>
          </w:p>
        </w:tc>
        <w:tc>
          <w:tcPr>
            <w:tcW w:w="0" w:type="dxa"/>
            <w:vAlign w:val="bottom"/>
          </w:tcPr>
          <w:p>
            <w:pPr>
              <w:spacing w:after="0"/>
              <w:rPr>
                <w:sz w:val="1"/>
                <w:szCs w:val="1"/>
                <w:color w:val="auto"/>
              </w:rPr>
            </w:pP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832,020</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602,575</w:t>
            </w:r>
          </w:p>
        </w:tc>
        <w:tc>
          <w:tcPr>
            <w:tcW w:w="0" w:type="dxa"/>
            <w:vAlign w:val="bottom"/>
          </w:tcPr>
          <w:p>
            <w:pPr>
              <w:spacing w:after="0"/>
              <w:rPr>
                <w:sz w:val="1"/>
                <w:szCs w:val="1"/>
                <w:color w:val="auto"/>
              </w:rPr>
            </w:pPr>
          </w:p>
        </w:tc>
      </w:tr>
      <w:tr>
        <w:trPr>
          <w:trHeight w:val="27"/>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 OTHER BORROWINGS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4"/>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summary of other borrowings at December 31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47"/>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Advances from the FHLB</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4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FRB</w:t>
            </w:r>
          </w:p>
        </w:tc>
        <w:tc>
          <w:tcPr>
            <w:tcW w:w="3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61,000</w:t>
            </w:r>
          </w:p>
        </w:tc>
        <w:tc>
          <w:tcPr>
            <w:tcW w:w="0" w:type="dxa"/>
            <w:vAlign w:val="bottom"/>
          </w:tcPr>
          <w:p>
            <w:pPr>
              <w:spacing w:after="0"/>
              <w:rPr>
                <w:sz w:val="1"/>
                <w:szCs w:val="1"/>
                <w:color w:val="auto"/>
              </w:rPr>
            </w:pPr>
          </w:p>
        </w:tc>
      </w:tr>
      <w:tr>
        <w:trPr>
          <w:trHeight w:val="26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50,026</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86,006</w:t>
            </w:r>
          </w:p>
        </w:tc>
        <w:tc>
          <w:tcPr>
            <w:tcW w:w="0" w:type="dxa"/>
            <w:vAlign w:val="bottom"/>
          </w:tcPr>
          <w:p>
            <w:pPr>
              <w:spacing w:after="0"/>
              <w:rPr>
                <w:sz w:val="1"/>
                <w:szCs w:val="1"/>
                <w:color w:val="auto"/>
              </w:rPr>
            </w:pPr>
          </w:p>
        </w:tc>
      </w:tr>
      <w:tr>
        <w:trPr>
          <w:trHeight w:val="26"/>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320"/>
        <w:spacing w:after="0" w:line="239" w:lineRule="auto"/>
        <w:rPr>
          <w:sz w:val="20"/>
          <w:szCs w:val="20"/>
          <w:color w:val="auto"/>
        </w:rPr>
      </w:pPr>
      <w:r>
        <w:rPr>
          <w:rFonts w:ascii="Times New Roman" w:cs="Times New Roman" w:eastAsia="Times New Roman" w:hAnsi="Times New Roman"/>
          <w:sz w:val="18"/>
          <w:szCs w:val="18"/>
          <w:color w:val="auto"/>
        </w:rPr>
        <w:t>Borrowings with the FRB at December 31, 2023 and 2022 were zero and $61.0 million, respectively. Average borrowings with the FRB during the years ended December 31, 2023, 2022 and 2021 totaled $4.5 million, $26.4 million and zero, respectively. We had unused borrowing capacity with the FRB (subject to the FRB’s credit requirements and policies) of $515.4 million at December 31, 2023. Collateral for FRB borrowings are certain securities AFS, securities HTM, commercial loans and installment loans. Interest expense on borrowings with the FRB amounted to $0.2 million, $0.8 million and zero for the years ended December 31, 2023, 2022 and 2021, respectively.</w:t>
      </w:r>
    </w:p>
    <w:p>
      <w:pPr>
        <w:spacing w:after="0" w:line="144" w:lineRule="exact"/>
        <w:rPr>
          <w:sz w:val="20"/>
          <w:szCs w:val="20"/>
          <w:color w:val="auto"/>
        </w:rPr>
      </w:pPr>
    </w:p>
    <w:p>
      <w:pPr>
        <w:jc w:val="both"/>
        <w:ind w:firstLine="320"/>
        <w:spacing w:after="0" w:line="241" w:lineRule="auto"/>
        <w:rPr>
          <w:sz w:val="20"/>
          <w:szCs w:val="20"/>
          <w:color w:val="auto"/>
        </w:rPr>
      </w:pPr>
      <w:r>
        <w:rPr>
          <w:rFonts w:ascii="Times New Roman" w:cs="Times New Roman" w:eastAsia="Times New Roman" w:hAnsi="Times New Roman"/>
          <w:sz w:val="18"/>
          <w:szCs w:val="18"/>
          <w:color w:val="auto"/>
        </w:rPr>
        <w:t>Advances from the FHLB are secured by unencumbered qualifying mortgage and home equity loans with a market value equal to at least 125% to 165%, respectively, of outstanding advances as well as certain securities AFS, securities HTM and by the FHLB stock that we own. Unused borrowing capacity with the FHLB (subject to the FHLB’s credit requirements and policies) was $1.01 billion at December 31, 2023. Interest expense on advances amounted to $2.4 million, $0.2 million and $0.2 million for the years ended December 31, 2023, 2022 and 2021, respectively.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As a member of the FHLB, we must own FHLB stock equal to the greater of 0.10% of total assets or 4.5% of our outstanding advances and loans sold to the FHLB. At December 31, 2023, we were in compliance with the FHLB stock ownership requirements.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maturity dates, weighted average interest rates and contractually required repayments of FHLB advances at December 31 follow:</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2"/>
          </w:tcPr>
          <w:p>
            <w:pPr>
              <w:jc w:val="right"/>
              <w:ind w:right="1291"/>
              <w:spacing w:after="0"/>
              <w:rPr>
                <w:sz w:val="20"/>
                <w:szCs w:val="20"/>
                <w:color w:val="auto"/>
              </w:rPr>
            </w:pPr>
            <w:r>
              <w:rPr>
                <w:rFonts w:ascii="Times New Roman" w:cs="Times New Roman" w:eastAsia="Times New Roman" w:hAnsi="Times New Roman"/>
                <w:sz w:val="18"/>
                <w:szCs w:val="18"/>
                <w:b w:val="1"/>
                <w:bCs w:val="1"/>
                <w:color w:val="auto"/>
                <w:w w:val="94"/>
              </w:rPr>
              <w:t>2022</w:t>
            </w:r>
          </w:p>
        </w:tc>
      </w:tr>
      <w:tr>
        <w:trPr>
          <w:trHeight w:val="247"/>
        </w:trPr>
        <w:tc>
          <w:tcPr>
            <w:tcW w:w="49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2"/>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Rate</w:t>
            </w:r>
          </w:p>
        </w:tc>
      </w:tr>
      <w:tr>
        <w:trPr>
          <w:trHeight w:val="247"/>
        </w:trPr>
        <w:tc>
          <w:tcPr>
            <w:tcW w:w="4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60" w:type="dxa"/>
            <w:vAlign w:val="bottom"/>
            <w:gridSpan w:val="4"/>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6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60"/>
        </w:trPr>
        <w:tc>
          <w:tcPr>
            <w:tcW w:w="4900" w:type="dxa"/>
            <w:vAlign w:val="bottom"/>
            <w:shd w:val="clear" w:color="auto" w:fill="CCEEFF"/>
          </w:tcPr>
          <w:p>
            <w:pPr>
              <w:jc w:val="right"/>
              <w:ind w:right="3111"/>
              <w:spacing w:after="0"/>
              <w:rPr>
                <w:sz w:val="20"/>
                <w:szCs w:val="20"/>
                <w:color w:val="auto"/>
              </w:rPr>
            </w:pPr>
            <w:r>
              <w:rPr>
                <w:rFonts w:ascii="Times New Roman" w:cs="Times New Roman" w:eastAsia="Times New Roman" w:hAnsi="Times New Roman"/>
                <w:sz w:val="18"/>
                <w:szCs w:val="18"/>
                <w:color w:val="auto"/>
              </w:rPr>
              <w:t>Fixed Rate Advances</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47"/>
        </w:trPr>
        <w:tc>
          <w:tcPr>
            <w:tcW w:w="4900" w:type="dxa"/>
            <w:vAlign w:val="bottom"/>
          </w:tcPr>
          <w:p>
            <w:pPr>
              <w:jc w:val="right"/>
              <w:ind w:right="4191"/>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4.28 %</w:t>
            </w:r>
          </w:p>
        </w:tc>
      </w:tr>
      <w:tr>
        <w:trPr>
          <w:trHeight w:val="260"/>
        </w:trPr>
        <w:tc>
          <w:tcPr>
            <w:tcW w:w="4900" w:type="dxa"/>
            <w:vAlign w:val="bottom"/>
            <w:shd w:val="clear" w:color="auto" w:fill="CCEEFF"/>
          </w:tcPr>
          <w:p>
            <w:pPr>
              <w:jc w:val="right"/>
              <w:ind w:right="4191"/>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242424"/>
            </w:tcBorders>
            <w:shd w:val="clear" w:color="auto" w:fill="CCEEFF"/>
          </w:tcPr>
          <w:p>
            <w:pPr>
              <w:spacing w:after="0"/>
              <w:rPr>
                <w:sz w:val="22"/>
                <w:szCs w:val="22"/>
                <w:color w:val="auto"/>
              </w:rPr>
            </w:pPr>
          </w:p>
        </w:tc>
        <w:tc>
          <w:tcPr>
            <w:tcW w:w="1200" w:type="dxa"/>
            <w:vAlign w:val="bottom"/>
            <w:tcBorders>
              <w:bottom w:val="single" w:sz="8" w:color="242424"/>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5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242424"/>
            </w:tcBorders>
            <w:shd w:val="clear" w:color="auto" w:fill="CCEEFF"/>
          </w:tcPr>
          <w:p>
            <w:pPr>
              <w:spacing w:after="0"/>
              <w:rPr>
                <w:sz w:val="22"/>
                <w:szCs w:val="22"/>
                <w:color w:val="auto"/>
              </w:rPr>
            </w:pPr>
          </w:p>
        </w:tc>
        <w:tc>
          <w:tcPr>
            <w:tcW w:w="1140" w:type="dxa"/>
            <w:vAlign w:val="bottom"/>
            <w:tcBorders>
              <w:bottom w:val="single" w:sz="8" w:color="242424"/>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242424"/>
            </w:tcBorders>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47"/>
        </w:trPr>
        <w:tc>
          <w:tcPr>
            <w:tcW w:w="4900" w:type="dxa"/>
            <w:vAlign w:val="bottom"/>
          </w:tcPr>
          <w:p>
            <w:pPr>
              <w:jc w:val="right"/>
              <w:ind w:right="2631"/>
              <w:spacing w:after="0"/>
              <w:rPr>
                <w:sz w:val="20"/>
                <w:szCs w:val="20"/>
                <w:color w:val="auto"/>
              </w:rPr>
            </w:pPr>
            <w:r>
              <w:rPr>
                <w:rFonts w:ascii="Times New Roman" w:cs="Times New Roman" w:eastAsia="Times New Roman" w:hAnsi="Times New Roman"/>
                <w:sz w:val="18"/>
                <w:szCs w:val="18"/>
                <w:color w:val="auto"/>
              </w:rPr>
              <w:t>Total fixed rate advances</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8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4.28 %</w:t>
            </w:r>
          </w:p>
        </w:tc>
      </w:tr>
      <w:tr>
        <w:trPr>
          <w:trHeight w:val="20"/>
        </w:trPr>
        <w:tc>
          <w:tcPr>
            <w:tcW w:w="4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242424"/>
              <w:bottom w:val="single" w:sz="8" w:color="242424"/>
            </w:tcBorders>
          </w:tcPr>
          <w:p>
            <w:pPr>
              <w:spacing w:after="0" w:line="20" w:lineRule="exact"/>
              <w:rPr>
                <w:sz w:val="1"/>
                <w:szCs w:val="1"/>
                <w:color w:val="auto"/>
              </w:rPr>
            </w:pPr>
          </w:p>
        </w:tc>
        <w:tc>
          <w:tcPr>
            <w:tcW w:w="1140" w:type="dxa"/>
            <w:vAlign w:val="bottom"/>
            <w:tcBorders>
              <w:top w:val="single" w:sz="8" w:color="242424"/>
              <w:bottom w:val="single" w:sz="8" w:color="242424"/>
            </w:tcBorders>
          </w:tcPr>
          <w:p>
            <w:pPr>
              <w:spacing w:after="0" w:line="20" w:lineRule="exact"/>
              <w:rPr>
                <w:sz w:val="1"/>
                <w:szCs w:val="1"/>
                <w:color w:val="auto"/>
              </w:rPr>
            </w:pPr>
          </w:p>
        </w:tc>
        <w:tc>
          <w:tcPr>
            <w:tcW w:w="60" w:type="dxa"/>
            <w:vAlign w:val="bottom"/>
            <w:tcBorders>
              <w:top w:val="single" w:sz="8" w:color="242424"/>
              <w:bottom w:val="single" w:sz="8" w:color="242424"/>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89"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Assets, consisting of securities AFS, securities HTM, FHLB stock and loans, pledged to secure other borrowings and unused borrowing capacity totaled $2.46 billion at December 31,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SUBORDINATED DEBT AND DEBENTURES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Debt</w:t>
      </w:r>
    </w:p>
    <w:p>
      <w:pPr>
        <w:spacing w:after="0" w:line="222"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 May 2020, we issued $40.0 million of fixed to floating subordinated notes with a ten year maturity (May 31, 2030 maturity date) and a five year call option. The initial coupon rate is 5.95% fixed for five years and then floats at the Secured Overnight Financing Rate (“SOFR”) plus 5.825%. These notes are presented in the Consolidated Statement of Financial Condition under the caption “Subordinated debt” and the balances of $39.51 million and $39.43 million at December 31, 2023 and 2022, respectively are net of remaining unamortized deferred issuance costs of approximately $0.49 million and $0.57 million, respectively that are being amortized through the maturity date into interest expense on other borrowings and subordinated debt and debentures in our Consolidated Statement of Operations. We may redeem the notes, in whole or in part, on or after May 31, 2025, and redeem the notes at any time in whole upon certain other events. Any redemption of the notes will be subject to prior regulatory approval to the extent required.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Debentures</w:t>
      </w:r>
    </w:p>
    <w:p>
      <w:pPr>
        <w:spacing w:after="0" w:line="222"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have formed various special purpose entities (the ‘‘trusts’’) for the purpose of issuing trust preferred securities in either public or pooled offerings or in private placements. Independent Bank Corporation owns all of the common stock of each trust and has issued subordinated debentures to each trust in exchange for all of the proceeds from the issuance of the common stock and the trust preferred securities. Trust preferred securities totaling $38.5 million and $38.4 million at December 31, 2023 and 2022, respectively, qualified as Tier 1 regulatory capital.</w:t>
      </w:r>
    </w:p>
    <w:p>
      <w:pPr>
        <w:spacing w:after="0" w:line="18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These trusts are not consolidated with Independent Bank Corporation and accordingly, we report the common securities of the trusts held by us in accrued income and other assets and the subordinated debentures that we have issued to the trusts in the liability section of our Consolidated Statements of Financial Condition.</w:t>
      </w:r>
    </w:p>
    <w:p>
      <w:pPr>
        <w:spacing w:after="0" w:line="17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As the result of a previous acquisition we acquired TCSB Statutory Trust I as summarized in the tables below at a discount. The discount at acquisition totaled $1.4 million and is being amortized through its maturity date and is included in interest expense – other borrowings and subordinated debt and debentures in the Consolidated Statements of Operations.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Summary information regarding subordinated debentures as of December 31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20" w:type="dxa"/>
            <w:vAlign w:val="bottom"/>
            <w:tcBorders>
              <w:bottom w:val="single" w:sz="8" w:color="auto"/>
            </w:tcBorders>
          </w:tcPr>
          <w:p>
            <w:pPr>
              <w:spacing w:after="0"/>
              <w:rPr>
                <w:sz w:val="21"/>
                <w:szCs w:val="21"/>
                <w:color w:val="auto"/>
              </w:rPr>
            </w:pPr>
          </w:p>
        </w:tc>
      </w:tr>
      <w:tr>
        <w:trPr>
          <w:trHeight w:val="218"/>
        </w:trPr>
        <w:tc>
          <w:tcPr>
            <w:tcW w:w="28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7"/>
              </w:rPr>
              <w:t>Trust</w:t>
            </w:r>
          </w:p>
        </w:tc>
        <w:tc>
          <w:tcPr>
            <w:tcW w:w="1420" w:type="dxa"/>
            <w:vAlign w:val="bottom"/>
          </w:tcPr>
          <w:p>
            <w:pPr>
              <w:spacing w:after="0"/>
              <w:rPr>
                <w:sz w:val="18"/>
                <w:szCs w:val="18"/>
                <w:color w:val="auto"/>
              </w:rPr>
            </w:pPr>
          </w:p>
        </w:tc>
      </w:tr>
      <w:tr>
        <w:trPr>
          <w:trHeight w:val="213"/>
        </w:trPr>
        <w:tc>
          <w:tcPr>
            <w:tcW w:w="28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r>
      <w:tr>
        <w:trPr>
          <w:trHeight w:val="213"/>
        </w:trPr>
        <w:tc>
          <w:tcPr>
            <w:tcW w:w="2820" w:type="dxa"/>
            <w:vAlign w:val="bottom"/>
          </w:tcPr>
          <w:p>
            <w:pPr>
              <w:spacing w:after="0"/>
              <w:rPr>
                <w:sz w:val="18"/>
                <w:szCs w:val="18"/>
                <w:color w:val="auto"/>
              </w:rPr>
            </w:pPr>
          </w:p>
        </w:tc>
        <w:tc>
          <w:tcPr>
            <w:tcW w:w="38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Issue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Subordinated</w:t>
            </w:r>
          </w:p>
        </w:tc>
        <w:tc>
          <w:tcPr>
            <w:tcW w:w="17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5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380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Debentures</w:t>
            </w:r>
          </w:p>
        </w:tc>
        <w:tc>
          <w:tcPr>
            <w:tcW w:w="170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Issued</w:t>
            </w:r>
          </w:p>
        </w:tc>
      </w:tr>
      <w:tr>
        <w:trPr>
          <w:trHeight w:val="240"/>
        </w:trPr>
        <w:tc>
          <w:tcPr>
            <w:tcW w:w="2820" w:type="dxa"/>
            <w:vAlign w:val="bottom"/>
            <w:tcBorders>
              <w:top w:val="single" w:sz="8" w:color="auto"/>
            </w:tcBorders>
          </w:tcPr>
          <w:p>
            <w:pPr>
              <w:spacing w:after="0"/>
              <w:rPr>
                <w:sz w:val="20"/>
                <w:szCs w:val="20"/>
                <w:color w:val="auto"/>
              </w:rPr>
            </w:pPr>
          </w:p>
        </w:tc>
        <w:tc>
          <w:tcPr>
            <w:tcW w:w="3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420" w:type="dxa"/>
            <w:vAlign w:val="bottom"/>
            <w:tcBorders>
              <w:top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134225" cy="161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1"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8"/>
          <w:szCs w:val="18"/>
          <w:color w:val="auto"/>
        </w:rPr>
        <w:t>IBC Capital Finance III</w:t>
      </w:r>
      <w:r>
        <w:rPr>
          <w:sz w:val="20"/>
          <w:szCs w:val="20"/>
          <w:color w:val="auto"/>
        </w:rPr>
        <w:tab/>
      </w:r>
      <w:r>
        <w:rPr>
          <w:rFonts w:ascii="Times New Roman" w:cs="Times New Roman" w:eastAsia="Times New Roman" w:hAnsi="Times New Roman"/>
          <w:sz w:val="17"/>
          <w:szCs w:val="17"/>
          <w:color w:val="auto"/>
        </w:rPr>
        <w:t>May 2007</w:t>
      </w:r>
    </w:p>
    <w:p>
      <w:pPr>
        <w:spacing w:after="0" w:line="47"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8"/>
          <w:szCs w:val="18"/>
          <w:color w:val="auto"/>
        </w:rPr>
        <w:t>IBC Capital Finance IV</w:t>
      </w:r>
      <w:r>
        <w:rPr>
          <w:sz w:val="20"/>
          <w:szCs w:val="20"/>
          <w:color w:val="auto"/>
        </w:rPr>
        <w:tab/>
      </w:r>
      <w:r>
        <w:rPr>
          <w:rFonts w:ascii="Times New Roman" w:cs="Times New Roman" w:eastAsia="Times New Roman" w:hAnsi="Times New Roman"/>
          <w:sz w:val="17"/>
          <w:szCs w:val="17"/>
          <w:color w:val="auto"/>
        </w:rPr>
        <w:t>September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61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line="27"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8"/>
          <w:szCs w:val="18"/>
          <w:color w:val="auto"/>
        </w:rPr>
        <w:t>Midwest Guaranty Trust I</w:t>
      </w:r>
      <w:r>
        <w:rPr>
          <w:sz w:val="20"/>
          <w:szCs w:val="20"/>
          <w:color w:val="auto"/>
        </w:rPr>
        <w:tab/>
      </w:r>
      <w:r>
        <w:rPr>
          <w:rFonts w:ascii="Times New Roman" w:cs="Times New Roman" w:eastAsia="Times New Roman" w:hAnsi="Times New Roman"/>
          <w:sz w:val="17"/>
          <w:szCs w:val="17"/>
          <w:color w:val="auto"/>
        </w:rPr>
        <w:t>November 2002</w:t>
      </w:r>
    </w:p>
    <w:p>
      <w:pPr>
        <w:spacing w:after="0" w:line="47" w:lineRule="exact"/>
        <w:rPr>
          <w:sz w:val="20"/>
          <w:szCs w:val="20"/>
          <w:color w:val="auto"/>
        </w:rPr>
      </w:pPr>
    </w:p>
    <w:p>
      <w:pPr>
        <w:ind w:left="20"/>
        <w:spacing w:after="0"/>
        <w:tabs>
          <w:tab w:leader="none" w:pos="3300" w:val="left"/>
        </w:tabs>
        <w:rPr>
          <w:sz w:val="20"/>
          <w:szCs w:val="20"/>
          <w:color w:val="auto"/>
        </w:rPr>
      </w:pPr>
      <w:r>
        <w:rPr>
          <w:rFonts w:ascii="Times New Roman" w:cs="Times New Roman" w:eastAsia="Times New Roman" w:hAnsi="Times New Roman"/>
          <w:sz w:val="18"/>
          <w:szCs w:val="18"/>
          <w:color w:val="auto"/>
        </w:rPr>
        <w:t>TCSB Statutory Trust I</w:t>
      </w:r>
      <w:r>
        <w:rPr>
          <w:sz w:val="20"/>
          <w:szCs w:val="20"/>
          <w:color w:val="auto"/>
        </w:rPr>
        <w:tab/>
      </w:r>
      <w:r>
        <w:rPr>
          <w:rFonts w:ascii="Times New Roman" w:cs="Times New Roman" w:eastAsia="Times New Roman" w:hAnsi="Times New Roman"/>
          <w:sz w:val="17"/>
          <w:szCs w:val="17"/>
          <w:color w:val="auto"/>
        </w:rPr>
        <w:t>March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61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Discount on TCSB Statutory Trust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60" w:type="dxa"/>
            <w:vAlign w:val="bottom"/>
          </w:tcPr>
          <w:p>
            <w:pPr>
              <w:spacing w:after="0"/>
              <w:rPr>
                <w:sz w:val="18"/>
                <w:szCs w:val="18"/>
                <w:color w:val="auto"/>
              </w:rPr>
            </w:pPr>
          </w:p>
        </w:tc>
        <w:tc>
          <w:tcPr>
            <w:tcW w:w="3560" w:type="dxa"/>
            <w:vAlign w:val="bottom"/>
          </w:tcPr>
          <w:p>
            <w:pPr>
              <w:ind w:left="1700"/>
              <w:spacing w:after="0"/>
              <w:rPr>
                <w:sz w:val="20"/>
                <w:szCs w:val="20"/>
                <w:color w:val="auto"/>
              </w:rPr>
            </w:pPr>
            <w:r>
              <w:rPr>
                <w:rFonts w:ascii="Times New Roman" w:cs="Times New Roman" w:eastAsia="Times New Roman" w:hAnsi="Times New Roman"/>
                <w:sz w:val="18"/>
                <w:szCs w:val="18"/>
                <w:b w:val="1"/>
                <w:bCs w:val="1"/>
                <w:color w:val="auto"/>
              </w:rPr>
              <w:t>Issue</w:t>
            </w:r>
          </w:p>
        </w:tc>
      </w:tr>
      <w:tr>
        <w:trPr>
          <w:trHeight w:val="256"/>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356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9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IBC Capital Finance III</w:t>
            </w:r>
          </w:p>
        </w:tc>
        <w:tc>
          <w:tcPr>
            <w:tcW w:w="3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May 2007</w:t>
            </w:r>
          </w:p>
        </w:tc>
      </w:tr>
      <w:tr>
        <w:trPr>
          <w:trHeight w:val="25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IBC Capital Finance IV</w:t>
            </w:r>
          </w:p>
        </w:tc>
        <w:tc>
          <w:tcPr>
            <w:tcW w:w="3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September 2007</w:t>
            </w:r>
          </w:p>
        </w:tc>
      </w:tr>
      <w:tr>
        <w:trPr>
          <w:trHeight w:val="25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Midwest Guaranty Trust I</w:t>
            </w:r>
          </w:p>
        </w:tc>
        <w:tc>
          <w:tcPr>
            <w:tcW w:w="3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November 2002</w:t>
            </w:r>
          </w:p>
        </w:tc>
      </w:tr>
      <w:tr>
        <w:trPr>
          <w:trHeight w:val="25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TCSB Statutory Trust I</w:t>
            </w:r>
          </w:p>
        </w:tc>
        <w:tc>
          <w:tcPr>
            <w:tcW w:w="3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2005</w:t>
            </w:r>
          </w:p>
        </w:tc>
      </w:tr>
      <w:tr>
        <w:trPr>
          <w:trHeight w:val="25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on TCSB Statutory Trust I</w:t>
            </w:r>
          </w:p>
        </w:tc>
        <w:tc>
          <w:tcPr>
            <w:tcW w:w="35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-796290</wp:posOffset>
            </wp:positionV>
            <wp:extent cx="7134225" cy="161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7134225" cy="161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-474345</wp:posOffset>
            </wp:positionV>
            <wp:extent cx="7134225" cy="161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7134225" cy="161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-152400</wp:posOffset>
            </wp:positionV>
            <wp:extent cx="7134225" cy="161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12,372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12,000</w:t>
            </w:r>
          </w:p>
        </w:tc>
        <w:tc>
          <w:tcPr>
            <w:tcW w:w="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54"/>
        </w:trPr>
        <w:tc>
          <w:tcPr>
            <w:tcW w:w="140" w:type="dxa"/>
            <w:vAlign w:val="bottom"/>
          </w:tcPr>
          <w:p>
            <w:pPr>
              <w:spacing w:after="0"/>
              <w:rPr>
                <w:sz w:val="22"/>
                <w:szCs w:val="22"/>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15,465</w:t>
            </w:r>
          </w:p>
        </w:tc>
        <w:tc>
          <w:tcPr>
            <w:tcW w:w="2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15,000</w:t>
            </w:r>
          </w:p>
        </w:tc>
        <w:tc>
          <w:tcPr>
            <w:tcW w:w="3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54"/>
        </w:trPr>
        <w:tc>
          <w:tcPr>
            <w:tcW w:w="140" w:type="dxa"/>
            <w:vAlign w:val="bottom"/>
          </w:tcPr>
          <w:p>
            <w:pPr>
              <w:spacing w:after="0"/>
              <w:rPr>
                <w:sz w:val="22"/>
                <w:szCs w:val="22"/>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7,732</w:t>
            </w:r>
          </w:p>
        </w:tc>
        <w:tc>
          <w:tcPr>
            <w:tcW w:w="2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7,500</w:t>
            </w:r>
          </w:p>
        </w:tc>
        <w:tc>
          <w:tcPr>
            <w:tcW w:w="3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54"/>
        </w:trPr>
        <w:tc>
          <w:tcPr>
            <w:tcW w:w="140" w:type="dxa"/>
            <w:vAlign w:val="bottom"/>
          </w:tcPr>
          <w:p>
            <w:pPr>
              <w:spacing w:after="0"/>
              <w:rPr>
                <w:sz w:val="22"/>
                <w:szCs w:val="22"/>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5,155</w:t>
            </w:r>
          </w:p>
        </w:tc>
        <w:tc>
          <w:tcPr>
            <w:tcW w:w="2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60"/>
        </w:trPr>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39,728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38,504</w:t>
            </w:r>
          </w:p>
        </w:tc>
        <w:tc>
          <w:tcPr>
            <w:tcW w:w="3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6"/>
        </w:trPr>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574"/>
        </w:trPr>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18"/>
        </w:trPr>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Trust</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3"/>
        </w:trPr>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300" w:type="dxa"/>
            <w:vAlign w:val="bottom"/>
          </w:tcPr>
          <w:p>
            <w:pPr>
              <w:spacing w:after="0"/>
              <w:rPr>
                <w:sz w:val="18"/>
                <w:szCs w:val="18"/>
                <w:color w:val="auto"/>
              </w:rPr>
            </w:pPr>
          </w:p>
        </w:tc>
        <w:tc>
          <w:tcPr>
            <w:tcW w:w="124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Common</w:t>
            </w:r>
          </w:p>
        </w:tc>
      </w:tr>
      <w:tr>
        <w:trPr>
          <w:trHeight w:val="213"/>
        </w:trPr>
        <w:tc>
          <w:tcPr>
            <w:tcW w:w="140" w:type="dxa"/>
            <w:vAlign w:val="bottom"/>
          </w:tcPr>
          <w:p>
            <w:pPr>
              <w:spacing w:after="0"/>
              <w:rPr>
                <w:sz w:val="18"/>
                <w:szCs w:val="18"/>
                <w:color w:val="auto"/>
              </w:rPr>
            </w:pPr>
          </w:p>
        </w:tc>
        <w:tc>
          <w:tcPr>
            <w:tcW w:w="138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Subordinated</w:t>
            </w:r>
          </w:p>
        </w:tc>
        <w:tc>
          <w:tcPr>
            <w:tcW w:w="200" w:type="dxa"/>
            <w:vAlign w:val="bottom"/>
          </w:tcPr>
          <w:p>
            <w:pPr>
              <w:spacing w:after="0"/>
              <w:rPr>
                <w:sz w:val="18"/>
                <w:szCs w:val="18"/>
                <w:color w:val="auto"/>
              </w:rPr>
            </w:pPr>
          </w:p>
        </w:tc>
        <w:tc>
          <w:tcPr>
            <w:tcW w:w="13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300" w:type="dxa"/>
            <w:vAlign w:val="bottom"/>
          </w:tcPr>
          <w:p>
            <w:pPr>
              <w:spacing w:after="0"/>
              <w:rPr>
                <w:sz w:val="18"/>
                <w:szCs w:val="18"/>
                <w:color w:val="auto"/>
              </w:rPr>
            </w:pPr>
          </w:p>
        </w:tc>
        <w:tc>
          <w:tcPr>
            <w:tcW w:w="124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36"/>
        </w:trPr>
        <w:tc>
          <w:tcPr>
            <w:tcW w:w="140" w:type="dxa"/>
            <w:vAlign w:val="bottom"/>
          </w:tcPr>
          <w:p>
            <w:pPr>
              <w:spacing w:after="0"/>
              <w:rPr>
                <w:sz w:val="20"/>
                <w:szCs w:val="20"/>
                <w:color w:val="auto"/>
              </w:rPr>
            </w:pPr>
          </w:p>
        </w:tc>
        <w:tc>
          <w:tcPr>
            <w:tcW w:w="138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Debentures</w:t>
            </w:r>
          </w:p>
        </w:tc>
        <w:tc>
          <w:tcPr>
            <w:tcW w:w="200" w:type="dxa"/>
            <w:vAlign w:val="bottom"/>
          </w:tcPr>
          <w:p>
            <w:pPr>
              <w:spacing w:after="0"/>
              <w:rPr>
                <w:sz w:val="20"/>
                <w:szCs w:val="20"/>
                <w:color w:val="auto"/>
              </w:rPr>
            </w:pPr>
          </w:p>
        </w:tc>
        <w:tc>
          <w:tcPr>
            <w:tcW w:w="136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300" w:type="dxa"/>
            <w:vAlign w:val="bottom"/>
          </w:tcPr>
          <w:p>
            <w:pPr>
              <w:spacing w:after="0"/>
              <w:rPr>
                <w:sz w:val="20"/>
                <w:szCs w:val="20"/>
                <w:color w:val="auto"/>
              </w:rPr>
            </w:pPr>
          </w:p>
        </w:tc>
        <w:tc>
          <w:tcPr>
            <w:tcW w:w="124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7"/>
              </w:rPr>
              <w:t>Issued</w:t>
            </w:r>
          </w:p>
        </w:tc>
      </w:tr>
      <w:tr>
        <w:trPr>
          <w:trHeight w:val="26"/>
        </w:trPr>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4"/>
        </w:trPr>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4"/>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12,372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12,000</w:t>
            </w:r>
          </w:p>
        </w:tc>
        <w:tc>
          <w:tcPr>
            <w:tcW w:w="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54"/>
        </w:trPr>
        <w:tc>
          <w:tcPr>
            <w:tcW w:w="140" w:type="dxa"/>
            <w:vAlign w:val="bottom"/>
          </w:tcPr>
          <w:p>
            <w:pPr>
              <w:spacing w:after="0"/>
              <w:rPr>
                <w:sz w:val="22"/>
                <w:szCs w:val="22"/>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15,465</w:t>
            </w:r>
          </w:p>
        </w:tc>
        <w:tc>
          <w:tcPr>
            <w:tcW w:w="2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15,000</w:t>
            </w:r>
          </w:p>
        </w:tc>
        <w:tc>
          <w:tcPr>
            <w:tcW w:w="3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54"/>
        </w:trPr>
        <w:tc>
          <w:tcPr>
            <w:tcW w:w="140" w:type="dxa"/>
            <w:vAlign w:val="bottom"/>
          </w:tcPr>
          <w:p>
            <w:pPr>
              <w:spacing w:after="0"/>
              <w:rPr>
                <w:sz w:val="22"/>
                <w:szCs w:val="22"/>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7,732</w:t>
            </w:r>
          </w:p>
        </w:tc>
        <w:tc>
          <w:tcPr>
            <w:tcW w:w="2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7,500</w:t>
            </w:r>
          </w:p>
        </w:tc>
        <w:tc>
          <w:tcPr>
            <w:tcW w:w="3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54"/>
        </w:trPr>
        <w:tc>
          <w:tcPr>
            <w:tcW w:w="140" w:type="dxa"/>
            <w:vAlign w:val="bottom"/>
          </w:tcPr>
          <w:p>
            <w:pPr>
              <w:spacing w:after="0"/>
              <w:rPr>
                <w:sz w:val="22"/>
                <w:szCs w:val="22"/>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5,155</w:t>
            </w:r>
          </w:p>
        </w:tc>
        <w:tc>
          <w:tcPr>
            <w:tcW w:w="200" w:type="dxa"/>
            <w:vAlign w:val="bottom"/>
          </w:tcPr>
          <w:p>
            <w:pPr>
              <w:spacing w:after="0"/>
              <w:rPr>
                <w:sz w:val="22"/>
                <w:szCs w:val="22"/>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60"/>
        </w:trPr>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39,660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38,436</w:t>
            </w:r>
          </w:p>
        </w:tc>
        <w:tc>
          <w:tcPr>
            <w:tcW w:w="3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6"/>
        </w:trPr>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520" w:space="100"/>
            <w:col w:w="4620"/>
          </w:cols>
          <w:pgMar w:left="320" w:top="121" w:right="339" w:bottom="1440" w:gutter="0" w:footer="0" w:header="0"/>
          <w:type w:val="continuous"/>
        </w:sectPr>
      </w:pP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key terms for the subordinated debentures and trust preferred securities that were outstanding at December 31, 2023 and 2022 follow:</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20" w:type="dxa"/>
            <w:vAlign w:val="bottom"/>
          </w:tcPr>
          <w:p>
            <w:pPr>
              <w:spacing w:after="0"/>
              <w:rPr>
                <w:sz w:val="18"/>
                <w:szCs w:val="18"/>
                <w:color w:val="auto"/>
              </w:rPr>
            </w:pPr>
          </w:p>
        </w:tc>
        <w:tc>
          <w:tcPr>
            <w:tcW w:w="236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224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Interest Rate at</w:t>
            </w:r>
          </w:p>
        </w:tc>
        <w:tc>
          <w:tcPr>
            <w:tcW w:w="200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Interest Rate at</w:t>
            </w:r>
          </w:p>
        </w:tc>
        <w:tc>
          <w:tcPr>
            <w:tcW w:w="22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First Permitted</w:t>
            </w:r>
          </w:p>
        </w:tc>
        <w:tc>
          <w:tcPr>
            <w:tcW w:w="0" w:type="dxa"/>
            <w:vAlign w:val="bottom"/>
          </w:tcPr>
          <w:p>
            <w:pPr>
              <w:spacing w:after="0"/>
              <w:rPr>
                <w:sz w:val="1"/>
                <w:szCs w:val="1"/>
                <w:color w:val="auto"/>
              </w:rPr>
            </w:pPr>
          </w:p>
        </w:tc>
      </w:tr>
      <w:tr>
        <w:trPr>
          <w:trHeight w:val="263"/>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3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2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20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12/31/2023</w:t>
            </w:r>
          </w:p>
        </w:tc>
        <w:tc>
          <w:tcPr>
            <w:tcW w:w="22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Redemption Date</w:t>
            </w:r>
          </w:p>
        </w:tc>
        <w:tc>
          <w:tcPr>
            <w:tcW w:w="0" w:type="dxa"/>
            <w:vAlign w:val="bottom"/>
          </w:tcPr>
          <w:p>
            <w:pPr>
              <w:spacing w:after="0"/>
              <w:rPr>
                <w:sz w:val="1"/>
                <w:szCs w:val="1"/>
                <w:color w:val="auto"/>
              </w:rPr>
            </w:pPr>
          </w:p>
        </w:tc>
      </w:tr>
      <w:tr>
        <w:trPr>
          <w:trHeight w:val="247"/>
        </w:trPr>
        <w:tc>
          <w:tcPr>
            <w:tcW w:w="22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IBC Capital Finance III</w:t>
            </w:r>
          </w:p>
        </w:tc>
        <w:tc>
          <w:tcPr>
            <w:tcW w:w="236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July 30, 2037</w:t>
            </w:r>
          </w:p>
        </w:tc>
        <w:tc>
          <w:tcPr>
            <w:tcW w:w="22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 month LIBOR plus</w:t>
            </w:r>
          </w:p>
        </w:tc>
        <w:tc>
          <w:tcPr>
            <w:tcW w:w="20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3 month SOFR plus</w:t>
            </w:r>
          </w:p>
        </w:tc>
        <w:tc>
          <w:tcPr>
            <w:tcW w:w="220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July 30, 2012</w:t>
            </w:r>
          </w:p>
        </w:tc>
        <w:tc>
          <w:tcPr>
            <w:tcW w:w="0" w:type="dxa"/>
            <w:vAlign w:val="bottom"/>
          </w:tcPr>
          <w:p>
            <w:pPr>
              <w:spacing w:after="0"/>
              <w:rPr>
                <w:sz w:val="1"/>
                <w:szCs w:val="1"/>
                <w:color w:val="auto"/>
              </w:rPr>
            </w:pPr>
          </w:p>
        </w:tc>
      </w:tr>
      <w:tr>
        <w:trPr>
          <w:trHeight w:val="232"/>
        </w:trPr>
        <w:tc>
          <w:tcPr>
            <w:tcW w:w="2220" w:type="dxa"/>
            <w:vAlign w:val="bottom"/>
            <w:vMerge w:val="continue"/>
            <w:shd w:val="clear" w:color="auto" w:fill="CCEEFF"/>
          </w:tcPr>
          <w:p>
            <w:pPr>
              <w:spacing w:after="0"/>
              <w:rPr>
                <w:sz w:val="20"/>
                <w:szCs w:val="20"/>
                <w:color w:val="auto"/>
              </w:rPr>
            </w:pPr>
          </w:p>
        </w:tc>
        <w:tc>
          <w:tcPr>
            <w:tcW w:w="2360" w:type="dxa"/>
            <w:vAlign w:val="bottom"/>
            <w:vMerge w:val="continue"/>
            <w:shd w:val="clear" w:color="auto" w:fill="CCEEFF"/>
          </w:tcPr>
          <w:p>
            <w:pPr>
              <w:spacing w:after="0"/>
              <w:rPr>
                <w:sz w:val="20"/>
                <w:szCs w:val="20"/>
                <w:color w:val="auto"/>
              </w:rPr>
            </w:pPr>
          </w:p>
        </w:tc>
        <w:tc>
          <w:tcPr>
            <w:tcW w:w="2240" w:type="dxa"/>
            <w:vAlign w:val="bottom"/>
            <w:shd w:val="clear" w:color="auto" w:fill="CCEEFF"/>
          </w:tcPr>
          <w:p>
            <w:pPr>
              <w:jc w:val="right"/>
              <w:ind w:right="1051"/>
              <w:spacing w:after="0"/>
              <w:rPr>
                <w:sz w:val="20"/>
                <w:szCs w:val="20"/>
                <w:color w:val="auto"/>
              </w:rPr>
            </w:pPr>
            <w:r>
              <w:rPr>
                <w:rFonts w:ascii="Times New Roman" w:cs="Times New Roman" w:eastAsia="Times New Roman" w:hAnsi="Times New Roman"/>
                <w:sz w:val="18"/>
                <w:szCs w:val="18"/>
                <w:color w:val="auto"/>
              </w:rPr>
              <w:t>1.60%</w:t>
            </w:r>
          </w:p>
        </w:tc>
        <w:tc>
          <w:tcPr>
            <w:tcW w:w="2000" w:type="dxa"/>
            <w:vAlign w:val="bottom"/>
            <w:shd w:val="clear" w:color="auto" w:fill="CCEEFF"/>
          </w:tcPr>
          <w:p>
            <w:pPr>
              <w:jc w:val="right"/>
              <w:ind w:right="1051"/>
              <w:spacing w:after="0"/>
              <w:rPr>
                <w:sz w:val="20"/>
                <w:szCs w:val="20"/>
                <w:color w:val="auto"/>
              </w:rPr>
            </w:pPr>
            <w:r>
              <w:rPr>
                <w:rFonts w:ascii="Times New Roman" w:cs="Times New Roman" w:eastAsia="Times New Roman" w:hAnsi="Times New Roman"/>
                <w:sz w:val="18"/>
                <w:szCs w:val="18"/>
                <w:color w:val="auto"/>
              </w:rPr>
              <w:t>1.86%</w:t>
            </w:r>
          </w:p>
        </w:tc>
        <w:tc>
          <w:tcPr>
            <w:tcW w:w="22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IBC Capital Finance IV</w:t>
            </w:r>
          </w:p>
        </w:tc>
        <w:tc>
          <w:tcPr>
            <w:tcW w:w="23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September 15, 2037</w:t>
            </w:r>
          </w:p>
        </w:tc>
        <w:tc>
          <w:tcPr>
            <w:tcW w:w="22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 month LIBOR plus</w:t>
            </w:r>
          </w:p>
        </w:tc>
        <w:tc>
          <w:tcPr>
            <w:tcW w:w="20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3 month SOFR plus</w:t>
            </w:r>
          </w:p>
        </w:tc>
        <w:tc>
          <w:tcPr>
            <w:tcW w:w="22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September 15, 2012</w:t>
            </w:r>
          </w:p>
        </w:tc>
        <w:tc>
          <w:tcPr>
            <w:tcW w:w="0" w:type="dxa"/>
            <w:vAlign w:val="bottom"/>
          </w:tcPr>
          <w:p>
            <w:pPr>
              <w:spacing w:after="0"/>
              <w:rPr>
                <w:sz w:val="1"/>
                <w:szCs w:val="1"/>
                <w:color w:val="auto"/>
              </w:rPr>
            </w:pPr>
          </w:p>
        </w:tc>
      </w:tr>
      <w:tr>
        <w:trPr>
          <w:trHeight w:val="232"/>
        </w:trPr>
        <w:tc>
          <w:tcPr>
            <w:tcW w:w="2220" w:type="dxa"/>
            <w:vAlign w:val="bottom"/>
            <w:vMerge w:val="continue"/>
          </w:tcPr>
          <w:p>
            <w:pPr>
              <w:spacing w:after="0"/>
              <w:rPr>
                <w:sz w:val="20"/>
                <w:szCs w:val="20"/>
                <w:color w:val="auto"/>
              </w:rPr>
            </w:pPr>
          </w:p>
        </w:tc>
        <w:tc>
          <w:tcPr>
            <w:tcW w:w="2360" w:type="dxa"/>
            <w:vAlign w:val="bottom"/>
            <w:vMerge w:val="continue"/>
          </w:tcPr>
          <w:p>
            <w:pPr>
              <w:spacing w:after="0"/>
              <w:rPr>
                <w:sz w:val="20"/>
                <w:szCs w:val="20"/>
                <w:color w:val="auto"/>
              </w:rPr>
            </w:pPr>
          </w:p>
        </w:tc>
        <w:tc>
          <w:tcPr>
            <w:tcW w:w="2240" w:type="dxa"/>
            <w:vAlign w:val="bottom"/>
          </w:tcPr>
          <w:p>
            <w:pPr>
              <w:jc w:val="right"/>
              <w:ind w:right="1051"/>
              <w:spacing w:after="0"/>
              <w:rPr>
                <w:sz w:val="20"/>
                <w:szCs w:val="20"/>
                <w:color w:val="auto"/>
              </w:rPr>
            </w:pPr>
            <w:r>
              <w:rPr>
                <w:rFonts w:ascii="Times New Roman" w:cs="Times New Roman" w:eastAsia="Times New Roman" w:hAnsi="Times New Roman"/>
                <w:sz w:val="18"/>
                <w:szCs w:val="18"/>
                <w:color w:val="auto"/>
              </w:rPr>
              <w:t>2.85%</w:t>
            </w:r>
          </w:p>
        </w:tc>
        <w:tc>
          <w:tcPr>
            <w:tcW w:w="2000" w:type="dxa"/>
            <w:vAlign w:val="bottom"/>
          </w:tcPr>
          <w:p>
            <w:pPr>
              <w:jc w:val="right"/>
              <w:ind w:right="1071"/>
              <w:spacing w:after="0"/>
              <w:rPr>
                <w:sz w:val="20"/>
                <w:szCs w:val="20"/>
                <w:color w:val="auto"/>
              </w:rPr>
            </w:pPr>
            <w:r>
              <w:rPr>
                <w:rFonts w:ascii="Times New Roman" w:cs="Times New Roman" w:eastAsia="Times New Roman" w:hAnsi="Times New Roman"/>
                <w:sz w:val="18"/>
                <w:szCs w:val="18"/>
                <w:color w:val="auto"/>
              </w:rPr>
              <w:t>3.11%</w:t>
            </w:r>
          </w:p>
        </w:tc>
        <w:tc>
          <w:tcPr>
            <w:tcW w:w="2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Midwest Guaranty Trust I</w:t>
            </w:r>
          </w:p>
        </w:tc>
        <w:tc>
          <w:tcPr>
            <w:tcW w:w="236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November 7, 2032</w:t>
            </w:r>
          </w:p>
        </w:tc>
        <w:tc>
          <w:tcPr>
            <w:tcW w:w="22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 month LIBOR plus</w:t>
            </w:r>
          </w:p>
        </w:tc>
        <w:tc>
          <w:tcPr>
            <w:tcW w:w="20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3 month SOFR plus</w:t>
            </w:r>
          </w:p>
        </w:tc>
        <w:tc>
          <w:tcPr>
            <w:tcW w:w="220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November 7, 2007</w:t>
            </w:r>
          </w:p>
        </w:tc>
        <w:tc>
          <w:tcPr>
            <w:tcW w:w="0" w:type="dxa"/>
            <w:vAlign w:val="bottom"/>
          </w:tcPr>
          <w:p>
            <w:pPr>
              <w:spacing w:after="0"/>
              <w:rPr>
                <w:sz w:val="1"/>
                <w:szCs w:val="1"/>
                <w:color w:val="auto"/>
              </w:rPr>
            </w:pPr>
          </w:p>
        </w:tc>
      </w:tr>
      <w:tr>
        <w:trPr>
          <w:trHeight w:val="232"/>
        </w:trPr>
        <w:tc>
          <w:tcPr>
            <w:tcW w:w="2220" w:type="dxa"/>
            <w:vAlign w:val="bottom"/>
            <w:vMerge w:val="continue"/>
            <w:shd w:val="clear" w:color="auto" w:fill="CCEEFF"/>
          </w:tcPr>
          <w:p>
            <w:pPr>
              <w:spacing w:after="0"/>
              <w:rPr>
                <w:sz w:val="20"/>
                <w:szCs w:val="20"/>
                <w:color w:val="auto"/>
              </w:rPr>
            </w:pPr>
          </w:p>
        </w:tc>
        <w:tc>
          <w:tcPr>
            <w:tcW w:w="2360" w:type="dxa"/>
            <w:vAlign w:val="bottom"/>
            <w:vMerge w:val="continue"/>
            <w:shd w:val="clear" w:color="auto" w:fill="CCEEFF"/>
          </w:tcPr>
          <w:p>
            <w:pPr>
              <w:spacing w:after="0"/>
              <w:rPr>
                <w:sz w:val="20"/>
                <w:szCs w:val="20"/>
                <w:color w:val="auto"/>
              </w:rPr>
            </w:pPr>
          </w:p>
        </w:tc>
        <w:tc>
          <w:tcPr>
            <w:tcW w:w="2240" w:type="dxa"/>
            <w:vAlign w:val="bottom"/>
            <w:shd w:val="clear" w:color="auto" w:fill="CCEEFF"/>
          </w:tcPr>
          <w:p>
            <w:pPr>
              <w:jc w:val="right"/>
              <w:ind w:right="1051"/>
              <w:spacing w:after="0"/>
              <w:rPr>
                <w:sz w:val="20"/>
                <w:szCs w:val="20"/>
                <w:color w:val="auto"/>
              </w:rPr>
            </w:pPr>
            <w:r>
              <w:rPr>
                <w:rFonts w:ascii="Times New Roman" w:cs="Times New Roman" w:eastAsia="Times New Roman" w:hAnsi="Times New Roman"/>
                <w:sz w:val="18"/>
                <w:szCs w:val="18"/>
                <w:color w:val="auto"/>
              </w:rPr>
              <w:t>3.45%</w:t>
            </w:r>
          </w:p>
        </w:tc>
        <w:tc>
          <w:tcPr>
            <w:tcW w:w="2000" w:type="dxa"/>
            <w:vAlign w:val="bottom"/>
            <w:shd w:val="clear" w:color="auto" w:fill="CCEEFF"/>
          </w:tcPr>
          <w:p>
            <w:pPr>
              <w:jc w:val="right"/>
              <w:ind w:right="1051"/>
              <w:spacing w:after="0"/>
              <w:rPr>
                <w:sz w:val="20"/>
                <w:szCs w:val="20"/>
                <w:color w:val="auto"/>
              </w:rPr>
            </w:pPr>
            <w:r>
              <w:rPr>
                <w:rFonts w:ascii="Times New Roman" w:cs="Times New Roman" w:eastAsia="Times New Roman" w:hAnsi="Times New Roman"/>
                <w:sz w:val="18"/>
                <w:szCs w:val="18"/>
                <w:color w:val="auto"/>
              </w:rPr>
              <w:t>3.71%</w:t>
            </w:r>
          </w:p>
        </w:tc>
        <w:tc>
          <w:tcPr>
            <w:tcW w:w="22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TCSB Statutory Trust I</w:t>
            </w:r>
          </w:p>
        </w:tc>
        <w:tc>
          <w:tcPr>
            <w:tcW w:w="23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March 17, 2035</w:t>
            </w:r>
          </w:p>
        </w:tc>
        <w:tc>
          <w:tcPr>
            <w:tcW w:w="22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 month LIBOR plus</w:t>
            </w:r>
          </w:p>
        </w:tc>
        <w:tc>
          <w:tcPr>
            <w:tcW w:w="20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3 month SOFR plus</w:t>
            </w:r>
          </w:p>
        </w:tc>
        <w:tc>
          <w:tcPr>
            <w:tcW w:w="22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March 17, 2010</w:t>
            </w:r>
          </w:p>
        </w:tc>
        <w:tc>
          <w:tcPr>
            <w:tcW w:w="0" w:type="dxa"/>
            <w:vAlign w:val="bottom"/>
          </w:tcPr>
          <w:p>
            <w:pPr>
              <w:spacing w:after="0"/>
              <w:rPr>
                <w:sz w:val="1"/>
                <w:szCs w:val="1"/>
                <w:color w:val="auto"/>
              </w:rPr>
            </w:pPr>
          </w:p>
        </w:tc>
      </w:tr>
      <w:tr>
        <w:trPr>
          <w:trHeight w:val="232"/>
        </w:trPr>
        <w:tc>
          <w:tcPr>
            <w:tcW w:w="2220" w:type="dxa"/>
            <w:vAlign w:val="bottom"/>
            <w:vMerge w:val="continue"/>
          </w:tcPr>
          <w:p>
            <w:pPr>
              <w:spacing w:after="0"/>
              <w:rPr>
                <w:sz w:val="20"/>
                <w:szCs w:val="20"/>
                <w:color w:val="auto"/>
              </w:rPr>
            </w:pPr>
          </w:p>
        </w:tc>
        <w:tc>
          <w:tcPr>
            <w:tcW w:w="2360" w:type="dxa"/>
            <w:vAlign w:val="bottom"/>
            <w:vMerge w:val="continue"/>
          </w:tcPr>
          <w:p>
            <w:pPr>
              <w:spacing w:after="0"/>
              <w:rPr>
                <w:sz w:val="20"/>
                <w:szCs w:val="20"/>
                <w:color w:val="auto"/>
              </w:rPr>
            </w:pPr>
          </w:p>
        </w:tc>
        <w:tc>
          <w:tcPr>
            <w:tcW w:w="2240" w:type="dxa"/>
            <w:vAlign w:val="bottom"/>
          </w:tcPr>
          <w:p>
            <w:pPr>
              <w:jc w:val="right"/>
              <w:ind w:right="1051"/>
              <w:spacing w:after="0"/>
              <w:rPr>
                <w:sz w:val="20"/>
                <w:szCs w:val="20"/>
                <w:color w:val="auto"/>
              </w:rPr>
            </w:pPr>
            <w:r>
              <w:rPr>
                <w:rFonts w:ascii="Times New Roman" w:cs="Times New Roman" w:eastAsia="Times New Roman" w:hAnsi="Times New Roman"/>
                <w:sz w:val="18"/>
                <w:szCs w:val="18"/>
                <w:color w:val="auto"/>
              </w:rPr>
              <w:t>2.20%</w:t>
            </w:r>
          </w:p>
        </w:tc>
        <w:tc>
          <w:tcPr>
            <w:tcW w:w="2000" w:type="dxa"/>
            <w:vAlign w:val="bottom"/>
          </w:tcPr>
          <w:p>
            <w:pPr>
              <w:jc w:val="right"/>
              <w:ind w:right="1051"/>
              <w:spacing w:after="0"/>
              <w:rPr>
                <w:sz w:val="20"/>
                <w:szCs w:val="20"/>
                <w:color w:val="auto"/>
              </w:rPr>
            </w:pPr>
            <w:r>
              <w:rPr>
                <w:rFonts w:ascii="Times New Roman" w:cs="Times New Roman" w:eastAsia="Times New Roman" w:hAnsi="Times New Roman"/>
                <w:sz w:val="18"/>
                <w:szCs w:val="18"/>
                <w:color w:val="auto"/>
              </w:rPr>
              <w:t>2.46%</w:t>
            </w:r>
          </w:p>
        </w:tc>
        <w:tc>
          <w:tcPr>
            <w:tcW w:w="2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The subordinated debentures and trust preferred securities are cumulative and have a feature that permits us to defer distributions (payment of interest) from time to time for a period not to exceed 20 consecutive quarters. Interest is payable quarterly on each of the subordinated debentures and trust preferred securities and no distributions were deferred at December 31, 2023 and 2022.</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We have the right to redeem the subordinated debentures and trust preferred securities (at par) in whole or in part from time to time on or after the first permitted redemption date specified above or upon the occurrence of specific events defined within the trust indenture agreements.</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Distributions (payment of interest) on the trust preferred securities are included in interest expense – other borrowings and subordinated debt and debentures in the Consolidated Statements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CONTINGENT LIABILITIES</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we enter into financial instruments with off-balance sheet risk to meet the financing needs of customers or to reduce exposure to fluctuations in interest rates. These financial instruments may include commitments to extend credit and standby letters of credit. Financial instruments involve varying degrees of credit and interest-rate risk in excess of amounts reflected in the Consolidated Statements of Financial Condition. Exposure to credit risk in the event of non-performance by the counterparties to the financial instruments for loan commitments to extend credit and standby letters of credit is represented by the contractual amounts of those instruments.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summary of financial instruments with off-balance sheet risk at December 31 follows: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87"/>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40"/>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20"/>
                <w:szCs w:val="20"/>
                <w:color w:val="auto"/>
              </w:rPr>
            </w:pPr>
          </w:p>
        </w:tc>
      </w:tr>
      <w:tr>
        <w:trPr>
          <w:trHeight w:val="26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instruments whose risk is represented by contract amounts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881,697</w:t>
            </w:r>
          </w:p>
        </w:tc>
        <w:tc>
          <w:tcPr>
            <w:tcW w:w="62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811,957</w:t>
            </w:r>
          </w:p>
        </w:tc>
      </w:tr>
      <w:tr>
        <w:trPr>
          <w:trHeight w:val="241"/>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11,651</w:t>
            </w: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8,371</w:t>
            </w:r>
          </w:p>
        </w:tc>
      </w:tr>
    </w:tbl>
    <w:p>
      <w:pPr>
        <w:spacing w:after="0" w:line="30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any condition established in the contract. Commitments generally have fixed expiration dates or other termination clauses and generally require payment of a fee. Since commitments may expire without being drawn upon, the commitment amounts do not represent future cash requirements. Commitments are issued subject to similar underwriting standards, including collateral requirements, as are generally involved in the extension of credit facilities.</w:t>
      </w:r>
    </w:p>
    <w:p>
      <w:pPr>
        <w:spacing w:after="0" w:line="181"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Standby letters of credit are written conditional commitments issued to guarantee the performance of a customer to a third party. The credit risk involved in such transactions is essentially the same as that involved in extending loan facilities and, accordingly, standby letters of credit are issued subject to similar underwriting standards, including collateral requirements, as are generally involved in the extension of credit facilities. The majority of the standby letters of credit are on-demand with no stated maturity date and have variable rates that range from 1.00% to 14.50%.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w:t>
      </w:r>
    </w:p>
    <w:p>
      <w:pPr>
        <w:spacing w:after="0" w:line="235" w:lineRule="exact"/>
        <w:rPr>
          <w:sz w:val="20"/>
          <w:szCs w:val="20"/>
          <w:color w:val="auto"/>
        </w:rPr>
      </w:pPr>
    </w:p>
    <w:p>
      <w:pPr>
        <w:jc w:val="both"/>
        <w:ind w:firstLine="320"/>
        <w:spacing w:after="0" w:line="246" w:lineRule="auto"/>
        <w:rPr>
          <w:sz w:val="20"/>
          <w:szCs w:val="20"/>
          <w:color w:val="auto"/>
        </w:rPr>
      </w:pPr>
      <w:r>
        <w:rPr>
          <w:rFonts w:ascii="Times New Roman" w:cs="Times New Roman" w:eastAsia="Times New Roman" w:hAnsi="Times New Roman"/>
          <w:sz w:val="18"/>
          <w:szCs w:val="18"/>
          <w:color w:val="auto"/>
        </w:rPr>
        <w:t>Pressures from various global and national macroeconomic conditions, including heightened inflation, uncertainty regarding future interest rates, foreign currency exchange rate fluctuations, recent adverse weather conditions, escalating tensions in the Middle East, the continuation of the Russia-Ukraine war, and potential governmental responses to these events, continue to create significant economic uncertainty.</w:t>
      </w:r>
    </w:p>
    <w:p>
      <w:pPr>
        <w:spacing w:after="0" w:line="191" w:lineRule="exact"/>
        <w:rPr>
          <w:sz w:val="20"/>
          <w:szCs w:val="20"/>
          <w:color w:val="auto"/>
        </w:rPr>
      </w:pPr>
    </w:p>
    <w:p>
      <w:pPr>
        <w:jc w:val="both"/>
        <w:ind w:firstLine="320"/>
        <w:spacing w:after="0" w:line="241" w:lineRule="auto"/>
        <w:rPr>
          <w:sz w:val="20"/>
          <w:szCs w:val="20"/>
          <w:color w:val="auto"/>
        </w:rPr>
      </w:pPr>
      <w:r>
        <w:rPr>
          <w:rFonts w:ascii="Times New Roman" w:cs="Times New Roman" w:eastAsia="Times New Roman" w:hAnsi="Times New Roman"/>
          <w:sz w:val="18"/>
          <w:szCs w:val="18"/>
          <w:color w:val="auto"/>
        </w:rPr>
        <w:t>The extent to which these pressures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intangible assets, securities available for sale, securities held to maturity, loans, capitalized mortgage loan servicing rights or deferred tax assets.</w:t>
      </w:r>
    </w:p>
    <w:p>
      <w:pPr>
        <w:spacing w:after="0" w:line="209" w:lineRule="exact"/>
        <w:rPr>
          <w:sz w:val="20"/>
          <w:szCs w:val="20"/>
          <w:color w:val="auto"/>
        </w:rPr>
      </w:pPr>
    </w:p>
    <w:p>
      <w:pPr>
        <w:jc w:val="both"/>
        <w:ind w:firstLine="320"/>
        <w:spacing w:after="0" w:line="241" w:lineRule="auto"/>
        <w:rPr>
          <w:sz w:val="20"/>
          <w:szCs w:val="20"/>
          <w:color w:val="auto"/>
        </w:rPr>
      </w:pPr>
      <w:r>
        <w:rPr>
          <w:rFonts w:ascii="Times New Roman" w:cs="Times New Roman" w:eastAsia="Times New Roman" w:hAnsi="Times New Roman"/>
          <w:sz w:val="18"/>
          <w:szCs w:val="18"/>
          <w:color w:val="auto"/>
        </w:rPr>
        <w:t>We continue to closely monitor and analyze the higher risk segments within our portfolio, and senior management is cautiously optimistic that we are positioned to continue managing the impact of the varied set of risks and uncertainties currently impacting the global and U.S. economies. However, a high degree of uncertainty still exists with respect to the impact of these fluid macroeconomic conditions on the future performance of our loan portfolio and our financial results.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2"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8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Visa Stock</w:t>
      </w:r>
    </w:p>
    <w:p>
      <w:pPr>
        <w:spacing w:after="0" w:line="222"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We own 12,566 shares of Visa Inc. Class B-1 common stock. At the present time, these shares can only be sold to other Class B-1 shareholders. As a result, there has generally been limited transfer activity in private transactions between buyers and sellers. Given the limited activity that we have become aware of and the continuing uncertainty regarding the likelihood, ultimate timing and eventual exchange rate for Class B-1 shares into Class A shares, we continue to carry these shares at zero, representing cost basis less impairment. However, given the current conversion ratio of 1.5875 Class A shares for every 1 Class B-1 share and the closing price of Visa Class A shares on February 23, 2024 of $283.60 per share, our 12,566 Class B-1 shares would have a current “value” of approximately $5.7 million. Visa recently announced its intent to make an offer to exchange up to all of its outstanding shares of Class B-1 common stock for Class B-2 common shares and Class C common shares. If conducted, this exchange offer is expected to result in some degree of liquidity for holders of Class B-1 common shares.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SHAREHOLDERS’ EQUITY AND NET INCOME PER COMMON SHARE</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Our Board of Directors authorized share repurchase plans to buy back up to 5% of our outstanding common stock during 2023, 2022 and 2021. During 2023, 2022 and 2021 repurchases were made through open market and negotiated transactions and totaled 298,601, 181,586 and 814,910 shares of common stock, respectively for an aggregate purchase price of $5.2 million, $4.0 million and $17.3 million, respectively.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basic and diluted net income per common share for the years ended December 31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67"/>
        </w:trPr>
        <w:tc>
          <w:tcPr>
            <w:tcW w:w="6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80" w:type="dxa"/>
            <w:vAlign w:val="bottom"/>
            <w:gridSpan w:val="6"/>
          </w:tcPr>
          <w:p>
            <w:pPr>
              <w:jc w:val="center"/>
              <w:ind w:left="11"/>
              <w:spacing w:after="0" w:line="167" w:lineRule="exact"/>
              <w:rPr>
                <w:sz w:val="20"/>
                <w:szCs w:val="20"/>
                <w:color w:val="auto"/>
              </w:rPr>
            </w:pPr>
            <w:r>
              <w:rPr>
                <w:rFonts w:ascii="Times New Roman" w:cs="Times New Roman" w:eastAsia="Times New Roman" w:hAnsi="Times New Roman"/>
                <w:sz w:val="18"/>
                <w:szCs w:val="18"/>
                <w:b w:val="1"/>
                <w:bCs w:val="1"/>
                <w:color w:val="auto"/>
                <w:w w:val="98"/>
              </w:rPr>
              <w:t>(In thousands, except per share</w:t>
            </w:r>
          </w:p>
        </w:tc>
        <w:tc>
          <w:tcPr>
            <w:tcW w:w="1020" w:type="dxa"/>
            <w:vAlign w:val="bottom"/>
          </w:tcPr>
          <w:p>
            <w:pPr>
              <w:spacing w:after="0"/>
              <w:rPr>
                <w:sz w:val="14"/>
                <w:szCs w:val="14"/>
                <w:color w:val="auto"/>
              </w:rPr>
            </w:pPr>
          </w:p>
        </w:tc>
      </w:tr>
      <w:tr>
        <w:trPr>
          <w:trHeight w:val="238"/>
        </w:trPr>
        <w:tc>
          <w:tcPr>
            <w:tcW w:w="6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amounts)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4"/>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59,067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62,895</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6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(1)</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21,585</w:t>
            </w: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units for deferred compensation plan for non-employee directors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stock options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7"/>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Performance share units</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5"/>
        </w:trPr>
        <w:tc>
          <w:tcPr>
            <w:tcW w:w="6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shares outstanding for calculation of diluted earnings per share</w:t>
            </w:r>
          </w:p>
        </w:tc>
        <w:tc>
          <w:tcPr>
            <w:tcW w:w="9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6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(1)</w:t>
            </w:r>
          </w:p>
        </w:tc>
        <w:tc>
          <w:tcPr>
            <w:tcW w:w="9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5"/>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w:t>
      </w:r>
    </w:p>
    <w:p>
      <w:pPr>
        <w:spacing w:after="0" w:line="277" w:lineRule="exact"/>
        <w:rPr>
          <w:sz w:val="20"/>
          <w:szCs w:val="20"/>
          <w:color w:val="auto"/>
        </w:rPr>
      </w:pPr>
    </w:p>
    <w:p>
      <w:pPr>
        <w:ind w:left="480" w:hanging="456"/>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income per common share includes weighted average common shares outstanding during the period and participating share awards.</w:t>
      </w:r>
    </w:p>
    <w:p>
      <w:pPr>
        <w:spacing w:after="0" w:line="327"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Weighted average stock options outstanding that were not considered in computing diluted net income per common share because they were anti-dilutive were zero for each year ended 2023, 2022 and 2021, respectively.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 INCOME TAX</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27"/>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composition of income tax expense for the years ended December 31 follows: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6"/>
        </w:trPr>
        <w:tc>
          <w:tcPr>
            <w:tcW w:w="662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0"/>
        </w:trPr>
        <w:tc>
          <w:tcPr>
            <w:tcW w:w="6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expense</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14,394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12,506</w:t>
            </w:r>
          </w:p>
        </w:tc>
      </w:tr>
      <w:tr>
        <w:trPr>
          <w:trHeight w:val="227"/>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expense (benefit)</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w:t>
            </w:r>
          </w:p>
        </w:tc>
      </w:tr>
      <w:tr>
        <w:trPr>
          <w:trHeight w:val="245"/>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14,609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A reconciliation of income tax expense to the amount computed by applying the statutory federal income tax rate of 21% for 2023, 2022 and 2021 to the income before income tax for the years ended December 31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0"/>
        </w:trPr>
        <w:tc>
          <w:tcPr>
            <w:tcW w:w="6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rate applied to income before income tax</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15,472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16,236</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Tax-exempt income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 income housing tax credit investments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ownership plan dividends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meals, entertainment and memberships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7"/>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5"/>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14,609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tax effects of temporary differences that give rise to significant portions of the deferred tax assets and deferred tax liabilities at December 31 follow:</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30"/>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18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on securities AFS</w:t>
            </w:r>
          </w:p>
        </w:tc>
        <w:tc>
          <w:tcPr>
            <w:tcW w:w="9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13,587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18,274</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11,478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11,011</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on securities HTM transferred from AFS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Incentive compensation</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 for unfunded lending commitments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premium amortization</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compensation</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reimbursement on sold loans reserve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than temporary impairment charge on securities available for sale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 accrual loan interest income</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0"/>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36,666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42,735</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loan fees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right of use asset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premiums, net</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on derivative financial instruments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0"/>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12,868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13,240</w:t>
            </w:r>
          </w:p>
        </w:tc>
        <w:tc>
          <w:tcPr>
            <w:tcW w:w="0" w:type="dxa"/>
            <w:vAlign w:val="bottom"/>
          </w:tcPr>
          <w:p>
            <w:pPr>
              <w:spacing w:after="0"/>
              <w:rPr>
                <w:sz w:val="1"/>
                <w:szCs w:val="1"/>
                <w:color w:val="auto"/>
              </w:rPr>
            </w:pPr>
          </w:p>
        </w:tc>
      </w:tr>
      <w:tr>
        <w:trPr>
          <w:trHeight w:val="245"/>
        </w:trPr>
        <w:tc>
          <w:tcPr>
            <w:tcW w:w="81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tax assets, net (1)</w:t>
            </w:r>
          </w:p>
        </w:tc>
        <w:tc>
          <w:tcPr>
            <w:tcW w:w="92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23,798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480" w:hanging="456"/>
        <w:spacing w:after="0"/>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 on the Consolidated Statements of Financial Position.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both December 31, 2023 and 2022, that the realization of substantially all of our deferred tax assets continues to be more likely than not.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unrecognized tax benefits for the years ended December 31 follow:</w:t>
            </w: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66"/>
        </w:trPr>
        <w:tc>
          <w:tcPr>
            <w:tcW w:w="6620" w:type="dxa"/>
            <w:vAlign w:val="bottom"/>
          </w:tcPr>
          <w:p>
            <w:pPr>
              <w:spacing w:after="0"/>
              <w:rPr>
                <w:sz w:val="24"/>
                <w:szCs w:val="24"/>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0"/>
        </w:trPr>
        <w:tc>
          <w:tcPr>
            <w:tcW w:w="6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20" w:type="dxa"/>
            <w:vAlign w:val="bottom"/>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Reductions due to the statute of limitations</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Reductions due to settlements</w:t>
            </w:r>
          </w:p>
        </w:tc>
        <w:tc>
          <w:tcPr>
            <w:tcW w:w="10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020" w:type="dxa"/>
            <w:vAlign w:val="bottom"/>
            <w:tcBorders>
              <w:top w:val="single" w:sz="8" w:color="auto"/>
              <w:bottom w:val="single" w:sz="8" w:color="auto"/>
            </w:tcBorders>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If recognized, the entire amount of unrecognized tax benefits, net of $0.04 million of federal tax on state benefits, would affect our effective tax rate. We do not expect the total amount of unrecognized tax benefits to significantly increase or decrease in the next twelve months. No amounts were expensed for interest and penalties for the years ended December 31, 2023, 2022 and 2021. No amounts were accrued for interest and penalties at December 31, 2023, 2022 and 2021. At December 31, 2023, U.S. Federal tax years 2020 through the present remain open to examination.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SHARE BASED COMPENSATION AND BENEFIT PLANS</w:t>
      </w:r>
    </w:p>
    <w:p>
      <w:pPr>
        <w:spacing w:after="0" w:line="22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0.5 million shares of common stock as of December 31, 2023. The non-employee director stock purchase plan permits the issuance of additional share based payments for up to 0.1 million shares of common stock as of December 31, 2023. Share based awards and payments are measured at fair value at the date of grant and are expensed over the requisite service period. Common shares issued upon exercise of stock options come from currently authorized but unissued shares.</w:t>
      </w:r>
    </w:p>
    <w:p>
      <w:pPr>
        <w:spacing w:after="0" w:line="185"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During 2023, 2022 and 2021 pursuant to our long-term incentive plan, we granted 0.08 million, 0.06 million and 0.09 million shares, respectively of restricted stock and 0.02 million during each year of performance stock units (‘‘PSU’’), to certain officers. The shares of restricted stock and PSUs cliff vest after a period of three years. The performance criteria of the PSUs granted in 2023 and 2022 is split evenly between a comparison of (i) our total shareholder return and (ii) our return on average assets each over the three year period starting on the grant date to these same criteria over that period to an index of our banking peers. The performance criteria of the PSUs granted in 2021 is based on a comparison of our total shareholder return over the three year period starting on the grant date to the same criteria over that period to an index of our banking peers.</w:t>
      </w:r>
    </w:p>
    <w:p>
      <w:pPr>
        <w:spacing w:after="0" w:line="185"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Our directors may elect to receive all or a portion of their cash retainer fees in the form of common stock (either on a current basis or on a deferred basis) pursuant to the non-employee director stock purchase plan referenced above. Shares equal in value to that portion of each director’s fees that he or she has elected to receive in stock on a current basis are issued each quarter and vest immediately. Shares issued on a deferred basis are credited at the rate of 90% of the current fair value of our common stock and vest immediately. We issued 0.02 million shares to directors pursuant to this plan during each of the years ending 2023, 2022 and 2021 and expensed their value during those same periods.</w:t>
      </w:r>
    </w:p>
    <w:p>
      <w:pPr>
        <w:spacing w:after="0" w:line="186"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Total compensation expense recognized for grants pursuant to our long-term incentive plan was $1.9 million, $1.8 million and $1.6 million in 2023, 2022 and 2021, respectively. The corresponding tax benefit relating to this expense was $0.4 million, $0.4 million, and $0.3 million during each year, respectively. Total expense recognized for non-employee director share based payments was $0.4 million, $0.4 million, and $0.4 million for the years ending 2023, 2022 and 2021, respectively. The corresponding tax benefit relating to this expense was $0.08 million, $0.08 million and $0.08 million in 2023, 2022 and 2021, respectively.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At December 31, 2023, the total expected compensation cost related to non-vested restricted stock and PSUs not yet recognized was $2.4 million. The weighted-average period over which this amount will be recognized is 1.78 years.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outstanding stock option grants and related transactions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Remaining</w:t>
            </w:r>
          </w:p>
        </w:tc>
        <w:tc>
          <w:tcPr>
            <w:tcW w:w="140" w:type="dxa"/>
            <w:vAlign w:val="bottom"/>
          </w:tcPr>
          <w:p>
            <w:pPr>
              <w:spacing w:after="0"/>
              <w:rPr>
                <w:sz w:val="18"/>
                <w:szCs w:val="18"/>
                <w:color w:val="auto"/>
              </w:rPr>
            </w:pPr>
          </w:p>
        </w:tc>
        <w:tc>
          <w:tcPr>
            <w:tcW w:w="134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Aggregated</w:t>
            </w:r>
          </w:p>
        </w:tc>
        <w:tc>
          <w:tcPr>
            <w:tcW w:w="0" w:type="dxa"/>
            <w:vAlign w:val="bottom"/>
          </w:tcPr>
          <w:p>
            <w:pPr>
              <w:spacing w:after="0"/>
              <w:rPr>
                <w:sz w:val="1"/>
                <w:szCs w:val="1"/>
                <w:color w:val="auto"/>
              </w:rPr>
            </w:pPr>
          </w:p>
        </w:tc>
      </w:tr>
      <w:tr>
        <w:trPr>
          <w:trHeight w:val="213"/>
        </w:trPr>
        <w:tc>
          <w:tcPr>
            <w:tcW w:w="504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6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34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6"/>
              </w:rPr>
              <w:t>Intrinsic</w:t>
            </w:r>
          </w:p>
        </w:tc>
        <w:tc>
          <w:tcPr>
            <w:tcW w:w="0" w:type="dxa"/>
            <w:vAlign w:val="bottom"/>
          </w:tcPr>
          <w:p>
            <w:pPr>
              <w:spacing w:after="0"/>
              <w:rPr>
                <w:sz w:val="1"/>
                <w:szCs w:val="1"/>
                <w:color w:val="auto"/>
              </w:rPr>
            </w:pPr>
          </w:p>
        </w:tc>
      </w:tr>
      <w:tr>
        <w:trPr>
          <w:trHeight w:val="236"/>
        </w:trPr>
        <w:tc>
          <w:tcPr>
            <w:tcW w:w="504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Term (Years)</w:t>
            </w:r>
          </w:p>
        </w:tc>
        <w:tc>
          <w:tcPr>
            <w:tcW w:w="140" w:type="dxa"/>
            <w:vAlign w:val="bottom"/>
          </w:tcPr>
          <w:p>
            <w:pPr>
              <w:spacing w:after="0"/>
              <w:rPr>
                <w:sz w:val="20"/>
                <w:szCs w:val="20"/>
                <w:color w:val="auto"/>
              </w:rPr>
            </w:pPr>
          </w:p>
        </w:tc>
        <w:tc>
          <w:tcPr>
            <w:tcW w:w="134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0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2023</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66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 summary of outstanding non-vested stock and related transactions follows: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5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3"/>
        </w:trPr>
        <w:tc>
          <w:tcPr>
            <w:tcW w:w="5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3"/>
        </w:trPr>
        <w:tc>
          <w:tcPr>
            <w:tcW w:w="5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140" w:type="dxa"/>
            <w:vAlign w:val="bottom"/>
          </w:tcPr>
          <w:p>
            <w:pPr>
              <w:spacing w:after="0"/>
              <w:rPr>
                <w:sz w:val="18"/>
                <w:szCs w:val="18"/>
                <w:color w:val="auto"/>
              </w:rPr>
            </w:pPr>
          </w:p>
        </w:tc>
        <w:tc>
          <w:tcPr>
            <w:tcW w:w="134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36"/>
        </w:trPr>
        <w:tc>
          <w:tcPr>
            <w:tcW w:w="5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40" w:type="dxa"/>
            <w:vAlign w:val="bottom"/>
          </w:tcPr>
          <w:p>
            <w:pPr>
              <w:spacing w:after="0"/>
              <w:rPr>
                <w:sz w:val="20"/>
                <w:szCs w:val="20"/>
                <w:color w:val="auto"/>
              </w:rPr>
            </w:pPr>
          </w:p>
        </w:tc>
        <w:tc>
          <w:tcPr>
            <w:tcW w:w="134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6"/>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0" w:type="dxa"/>
            <w:vAlign w:val="bottom"/>
          </w:tcPr>
          <w:p>
            <w:pPr>
              <w:spacing w:after="0"/>
              <w:rPr>
                <w:sz w:val="1"/>
                <w:szCs w:val="1"/>
                <w:color w:val="auto"/>
              </w:rPr>
            </w:pPr>
          </w:p>
        </w:tc>
      </w:tr>
      <w:tr>
        <w:trPr>
          <w:trHeight w:val="227"/>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27"/>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0" w:type="dxa"/>
            <w:vAlign w:val="bottom"/>
          </w:tcPr>
          <w:p>
            <w:pPr>
              <w:spacing w:after="0"/>
              <w:rPr>
                <w:sz w:val="1"/>
                <w:szCs w:val="1"/>
                <w:color w:val="auto"/>
              </w:rPr>
            </w:pPr>
          </w:p>
        </w:tc>
      </w:tr>
      <w:tr>
        <w:trPr>
          <w:trHeight w:val="24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6"/>
            <w:vMerge w:val="restart"/>
          </w:tcPr>
          <w:p>
            <w:pPr>
              <w:ind w:left="320"/>
              <w:spacing w:after="0"/>
              <w:rPr>
                <w:sz w:val="20"/>
                <w:szCs w:val="20"/>
                <w:color w:val="auto"/>
              </w:rPr>
            </w:pPr>
            <w:r>
              <w:rPr>
                <w:rFonts w:ascii="Times New Roman" w:cs="Times New Roman" w:eastAsia="Times New Roman" w:hAnsi="Times New Roman"/>
                <w:sz w:val="18"/>
                <w:szCs w:val="18"/>
                <w:color w:val="auto"/>
              </w:rPr>
              <w:t>Certain information regarding options exercised during the periods ending December 31 follows: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8180" w:type="dxa"/>
            <w:vAlign w:val="bottom"/>
            <w:gridSpan w:val="6"/>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20"/>
        </w:trPr>
        <w:tc>
          <w:tcPr>
            <w:tcW w:w="50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Intrinsic value</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04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Cash proceeds received</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198</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realized</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maintain 401(k) and employee stock ownership plans covering substantially all of our full-time employees. We matched 50% of employee contributions to the 401(k) plan up to a maximum of 8% of participating employees’ eligible wages for 2023, 2022 and 2021. Contributions to the employee stock ownership plan are determined annually and require approval of our Board of Directors. The maximum contribution is 6% of employees’ eligible wages. Contributions to the employee stock ownership plan were 2% for each of 2023, 2022 and 2021. Amounts expensed for these retirement plans were $3.1 million, $2.9 million and $3.3 million in 2023, 2022 and 2021, respectively.</w:t>
      </w:r>
    </w:p>
    <w:p>
      <w:pPr>
        <w:spacing w:after="0" w:line="18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Our employees participate in various performance-based compensation plans. Amounts expensed for all incentive plans totaled $8.0 million, $12.7 million and $15.6 million in 2023, 2022 and 2021,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We also provide certain health care and life insurance programs to substantially all full-time employees. Amounts expensed for these programs totaled $7.2 million, $6.2 million and $6.1 million in 2023, 2022 and 2021 respectively.</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These insurance programs are also available to retired employees at their own expense.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 OTHER NON-INTEREST INCOME</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27"/>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non-interest income for the years ended December 31 follows: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6"/>
        </w:trPr>
        <w:tc>
          <w:tcPr>
            <w:tcW w:w="662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0"/>
        </w:trPr>
        <w:tc>
          <w:tcPr>
            <w:tcW w:w="6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ATM fees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27"/>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5,089</w:t>
            </w:r>
          </w:p>
        </w:tc>
      </w:tr>
      <w:tr>
        <w:trPr>
          <w:trHeight w:val="245"/>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non-interest income</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12,479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DERIVATIVE FINANCIAL INSTRUMENTS</w:t>
      </w:r>
    </w:p>
    <w:p>
      <w:pPr>
        <w:spacing w:after="0" w:line="224"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are required to record derivatives on our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derivative financial instruments according to the type of hedge in which they are designated at December 31 follow:</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40" w:type="dxa"/>
            <w:vAlign w:val="bottom"/>
          </w:tcPr>
          <w:p>
            <w:pPr>
              <w:spacing w:after="0"/>
              <w:rPr>
                <w:sz w:val="18"/>
                <w:szCs w:val="18"/>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300" w:type="dxa"/>
            <w:vAlign w:val="bottom"/>
          </w:tcPr>
          <w:p>
            <w:pPr>
              <w:spacing w:after="0"/>
              <w:rPr>
                <w:sz w:val="18"/>
                <w:szCs w:val="18"/>
                <w:color w:val="auto"/>
              </w:rPr>
            </w:pPr>
          </w:p>
        </w:tc>
        <w:tc>
          <w:tcPr>
            <w:tcW w:w="116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6"/>
        </w:trPr>
        <w:tc>
          <w:tcPr>
            <w:tcW w:w="5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20"/>
                <w:szCs w:val="20"/>
                <w:color w:val="auto"/>
              </w:rPr>
            </w:pPr>
          </w:p>
        </w:tc>
        <w:tc>
          <w:tcPr>
            <w:tcW w:w="16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300" w:type="dxa"/>
            <w:vAlign w:val="bottom"/>
          </w:tcPr>
          <w:p>
            <w:pPr>
              <w:spacing w:after="0"/>
              <w:rPr>
                <w:sz w:val="20"/>
                <w:szCs w:val="20"/>
                <w:color w:val="auto"/>
              </w:rPr>
            </w:pPr>
          </w:p>
        </w:tc>
        <w:tc>
          <w:tcPr>
            <w:tcW w:w="116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6"/>
        </w:trPr>
        <w:tc>
          <w:tcPr>
            <w:tcW w:w="5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Fair value hedge designation</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(Dollars in thousands)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0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 - commercial</w:t>
            </w:r>
          </w:p>
        </w:tc>
        <w:tc>
          <w:tcPr>
            <w:tcW w:w="158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17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27"/>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securities available for sale</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148,895</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15,287</w:t>
            </w:r>
          </w:p>
        </w:tc>
        <w:tc>
          <w:tcPr>
            <w:tcW w:w="0" w:type="dxa"/>
            <w:vAlign w:val="bottom"/>
          </w:tcPr>
          <w:p>
            <w:pPr>
              <w:spacing w:after="0"/>
              <w:rPr>
                <w:sz w:val="1"/>
                <w:szCs w:val="1"/>
                <w:color w:val="auto"/>
              </w:rPr>
            </w:pPr>
          </w:p>
        </w:tc>
      </w:tr>
      <w:tr>
        <w:trPr>
          <w:trHeight w:val="227"/>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installment</w:t>
            </w: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7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27"/>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mortgage</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0" w:type="dxa"/>
            <w:vAlign w:val="bottom"/>
          </w:tcPr>
          <w:p>
            <w:pPr>
              <w:spacing w:after="0"/>
              <w:rPr>
                <w:sz w:val="1"/>
                <w:szCs w:val="1"/>
                <w:color w:val="auto"/>
              </w:rPr>
            </w:pPr>
          </w:p>
        </w:tc>
      </w:tr>
      <w:tr>
        <w:trPr>
          <w:trHeight w:val="227"/>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cap agreements - securities available for sale</w:t>
            </w:r>
          </w:p>
        </w:tc>
        <w:tc>
          <w:tcPr>
            <w:tcW w:w="1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40,970</w:t>
            </w:r>
          </w:p>
        </w:tc>
        <w:tc>
          <w:tcPr>
            <w:tcW w:w="40" w:type="dxa"/>
            <w:vAlign w:val="bottom"/>
            <w:tcBorders>
              <w:bottom w:val="single" w:sz="8" w:color="auto"/>
            </w:tcBorders>
            <w:shd w:val="clear" w:color="auto" w:fill="CCEEFF"/>
          </w:tcPr>
          <w:p>
            <w:pPr>
              <w:spacing w:after="0"/>
              <w:rPr>
                <w:sz w:val="19"/>
                <w:szCs w:val="19"/>
                <w:color w:val="auto"/>
              </w:rPr>
            </w:pPr>
          </w:p>
        </w:tc>
        <w:tc>
          <w:tcPr>
            <w:tcW w:w="1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20"/>
        </w:trPr>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395,898</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12,733</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3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 designation</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floor agreements - commercial</w:t>
            </w:r>
          </w:p>
        </w:tc>
        <w:tc>
          <w:tcPr>
            <w:tcW w:w="158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7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 hedge designation</w:t>
            </w: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Rate-lock mortgage loan commitments</w:t>
            </w:r>
          </w:p>
        </w:tc>
        <w:tc>
          <w:tcPr>
            <w:tcW w:w="158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18,081</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7"/>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Mandatory commitments to sell mortgage loans</w:t>
            </w: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30,442</w:t>
            </w:r>
          </w:p>
        </w:tc>
        <w:tc>
          <w:tcPr>
            <w:tcW w:w="17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7"/>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commercial</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379,012</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7,169</w:t>
            </w:r>
          </w:p>
        </w:tc>
        <w:tc>
          <w:tcPr>
            <w:tcW w:w="0" w:type="dxa"/>
            <w:vAlign w:val="bottom"/>
          </w:tcPr>
          <w:p>
            <w:pPr>
              <w:spacing w:after="0"/>
              <w:rPr>
                <w:sz w:val="1"/>
                <w:szCs w:val="1"/>
                <w:color w:val="auto"/>
              </w:rPr>
            </w:pPr>
          </w:p>
        </w:tc>
      </w:tr>
      <w:tr>
        <w:trPr>
          <w:trHeight w:val="227"/>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Pay-variable interest rate swap agreements - commercial</w:t>
            </w:r>
          </w:p>
        </w:tc>
        <w:tc>
          <w:tcPr>
            <w:tcW w:w="1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379,012</w:t>
            </w:r>
          </w:p>
        </w:tc>
        <w:tc>
          <w:tcPr>
            <w:tcW w:w="40" w:type="dxa"/>
            <w:vAlign w:val="bottom"/>
            <w:tcBorders>
              <w:bottom w:val="single" w:sz="8" w:color="auto"/>
            </w:tcBorders>
            <w:shd w:val="clear" w:color="auto" w:fill="CCEEFF"/>
          </w:tcPr>
          <w:p>
            <w:pPr>
              <w:spacing w:after="0"/>
              <w:rPr>
                <w:sz w:val="19"/>
                <w:szCs w:val="19"/>
                <w:color w:val="auto"/>
              </w:rPr>
            </w:pPr>
          </w:p>
        </w:tc>
        <w:tc>
          <w:tcPr>
            <w:tcW w:w="1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w:t>
            </w:r>
          </w:p>
        </w:tc>
        <w:tc>
          <w:tcPr>
            <w:tcW w:w="0" w:type="dxa"/>
            <w:vAlign w:val="bottom"/>
          </w:tcPr>
          <w:p>
            <w:pPr>
              <w:spacing w:after="0"/>
              <w:rPr>
                <w:sz w:val="1"/>
                <w:szCs w:val="1"/>
                <w:color w:val="auto"/>
              </w:rPr>
            </w:pPr>
          </w:p>
        </w:tc>
      </w:tr>
      <w:tr>
        <w:trPr>
          <w:trHeight w:val="220"/>
        </w:trPr>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806,547</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320" w:type="dxa"/>
            <w:vAlign w:val="bottom"/>
            <w:vMerge w:val="restart"/>
          </w:tcPr>
          <w:p>
            <w:pPr>
              <w:jc w:val="right"/>
              <w:ind w:right="771"/>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5"/>
        </w:trPr>
        <w:tc>
          <w:tcPr>
            <w:tcW w:w="53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3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40" w:type="dxa"/>
            <w:vAlign w:val="bottom"/>
          </w:tcPr>
          <w:p>
            <w:pPr>
              <w:spacing w:after="0"/>
              <w:rPr>
                <w:sz w:val="18"/>
                <w:szCs w:val="18"/>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300" w:type="dxa"/>
            <w:vAlign w:val="bottom"/>
          </w:tcPr>
          <w:p>
            <w:pPr>
              <w:spacing w:after="0"/>
              <w:rPr>
                <w:sz w:val="18"/>
                <w:szCs w:val="18"/>
                <w:color w:val="auto"/>
              </w:rPr>
            </w:pPr>
          </w:p>
        </w:tc>
        <w:tc>
          <w:tcPr>
            <w:tcW w:w="116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6"/>
        </w:trPr>
        <w:tc>
          <w:tcPr>
            <w:tcW w:w="6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20"/>
                <w:szCs w:val="20"/>
                <w:color w:val="auto"/>
              </w:rPr>
            </w:pPr>
          </w:p>
        </w:tc>
        <w:tc>
          <w:tcPr>
            <w:tcW w:w="16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300" w:type="dxa"/>
            <w:vAlign w:val="bottom"/>
          </w:tcPr>
          <w:p>
            <w:pPr>
              <w:spacing w:after="0"/>
              <w:rPr>
                <w:sz w:val="20"/>
                <w:szCs w:val="20"/>
                <w:color w:val="auto"/>
              </w:rPr>
            </w:pPr>
          </w:p>
        </w:tc>
        <w:tc>
          <w:tcPr>
            <w:tcW w:w="116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6"/>
        </w:trPr>
        <w:tc>
          <w:tcPr>
            <w:tcW w:w="6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Fair value hedge designation</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(Dollars in thousands)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 - commercial</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7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securities available for sale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148,895</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19,906</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installment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7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7"/>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rate cap agreements - securities available for sale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40,970</w:t>
            </w:r>
          </w:p>
        </w:tc>
        <w:tc>
          <w:tcPr>
            <w:tcW w:w="40" w:type="dxa"/>
            <w:vAlign w:val="bottom"/>
            <w:tcBorders>
              <w:bottom w:val="single" w:sz="8" w:color="auto"/>
            </w:tcBorders>
          </w:tcPr>
          <w:p>
            <w:pPr>
              <w:spacing w:after="0"/>
              <w:rPr>
                <w:sz w:val="19"/>
                <w:szCs w:val="19"/>
                <w:color w:val="auto"/>
              </w:rPr>
            </w:pPr>
          </w:p>
        </w:tc>
        <w:tc>
          <w:tcPr>
            <w:tcW w:w="1660" w:type="dxa"/>
            <w:vAlign w:val="bottom"/>
            <w:tcBorders>
              <w:bottom w:val="single" w:sz="8" w:color="CCEEFF"/>
            </w:tcBorders>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4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221,266</w:t>
            </w:r>
          </w:p>
        </w:tc>
        <w:tc>
          <w:tcPr>
            <w:tcW w:w="17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21,361</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 hedge designation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Rate-lock mortgage loan commitments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19,918</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Mandatory commitments to sell mortgage loans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49,258</w:t>
            </w:r>
          </w:p>
        </w:tc>
        <w:tc>
          <w:tcPr>
            <w:tcW w:w="17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commercial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279,005</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17,063</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Pay-variable interest rate swap agreements - commercial</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279,005</w:t>
            </w:r>
          </w:p>
        </w:tc>
        <w:tc>
          <w:tcPr>
            <w:tcW w:w="40" w:type="dxa"/>
            <w:vAlign w:val="bottom"/>
            <w:tcBorders>
              <w:bottom w:val="single" w:sz="8" w:color="auto"/>
            </w:tcBorders>
            <w:shd w:val="clear" w:color="auto" w:fill="CCEEFF"/>
          </w:tcPr>
          <w:p>
            <w:pPr>
              <w:spacing w:after="0"/>
              <w:rPr>
                <w:sz w:val="19"/>
                <w:szCs w:val="19"/>
                <w:color w:val="auto"/>
              </w:rPr>
            </w:pPr>
          </w:p>
        </w:tc>
        <w:tc>
          <w:tcPr>
            <w:tcW w:w="16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(17,063)</w:t>
            </w:r>
          </w:p>
        </w:tc>
        <w:tc>
          <w:tcPr>
            <w:tcW w:w="0" w:type="dxa"/>
            <w:vAlign w:val="bottom"/>
          </w:tcPr>
          <w:p>
            <w:pPr>
              <w:spacing w:after="0"/>
              <w:rPr>
                <w:sz w:val="1"/>
                <w:szCs w:val="1"/>
                <w:color w:val="auto"/>
              </w:rPr>
            </w:pPr>
          </w:p>
        </w:tc>
      </w:tr>
      <w:tr>
        <w:trPr>
          <w:trHeight w:val="220"/>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627,186</w:t>
            </w:r>
          </w:p>
        </w:tc>
        <w:tc>
          <w:tcPr>
            <w:tcW w:w="17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9"/>
                <w:szCs w:val="19"/>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have established management objectives and strategies that include interest-rate risk parameters for maximum fluctuations in net interest income and market value of portfolio equity. We monitor our interest rate risk position via simulation modeling reports. The goal of our asset/liability management efforts is to maintain profitable financial leverage within established risk parameters.</w:t>
      </w:r>
    </w:p>
    <w:p>
      <w:pPr>
        <w:spacing w:after="0" w:line="176"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have entered into pay-fixed interest rate swaps and caps to protect a portion of the fair value of a certain fixed rate commercial loan and certain mortgage and installment loans (‘‘Fair Value Hedge – Portfolio Loans’’). As a result, changes in the fair values of the pay-fixed interest rate swap and caps are expected to offset changes in the fair values of the fixed rate portfolio loans due to fluctuations in interest rates. We record the fair values of Fair Value Hedge – Portfolio Loans in accrued income and other assets and accrued expenses and other liabilities on our Consolidated Statements of Financial Condition. The hedged items (a fixed rate commercial loan and certain fixed rate mortgage and installment loans) are also recorded at fair value which offsets the adjustment to the Fair Value Hedge – Portfolio Loans. On an ongoing basis, we adjust our Consolidated Statements of Financial Condition to reflect the then current fair values of both the Fair Value Hedge – Portfolio Loans and the hedged items. The related gains or losses are reported in interest income – interest and fees on loans in our Consolidated Statements of Operations. During the second quarter of 2023 we terminated the interest rate cap that was previously hedging certain installment loans. The remaining unrealized gain on this terminated interest cap is being amortized into earnings over the original life of the interest rate cap.</w:t>
      </w:r>
    </w:p>
    <w:p>
      <w:pPr>
        <w:spacing w:after="0" w:line="192"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We have entered into pay-fixed interest rate swaps and interest rate cap agreements to protect a portion of the fair value of certain securities available for sale (‘‘Fair Value Hedge – AFS Securities’’). As a result, the change in the fair value of the pay-fixed interest rate swaps and interest rate cap agreements is expected to offset a portion of the change in the fair value of the fixed rate securities available for sale due to fluctuations in interest rates. We record the fair value of Fair Value Hedge – AFS Securities in accrued income and other assets and accrued expenses and other liabilities on our Consolidated Statements of Financial Condition. The hedged items (fixed rate securities available for sale) are also recorded at fair value which offsets the adjustment to the Fair Value Hedge – AFS Securities. On an ongoing basis, we adjust our Consolidated Statements of Financial Condition to reflect the then current fair value of both the Fair Value Hedge – AFS Securities and the hedged item. The related gains or losses are reported in interest income – interest on securities – tax-exempt in our Consolidated Statements of Operations.</w:t>
      </w:r>
    </w:p>
    <w:p>
      <w:pPr>
        <w:spacing w:after="0" w:line="150"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have entered into interest rate floor agreements to manage the variability in future expected cash flows of certain commercial loans (‘‘Cash Flow Hedge – Portfolio Loans’’). We record the fair value of Cash Flow Hedge – Portfolio Loans in accrued income and other assets and accrued expenses and other liabilities on our Consolidated Statements of Financial Condition. The changes in the fair value of Cash Flow Hedge - Portfolio Loans are recorded in accumulated other comprehensive loss and are reclassified into the line item in our Consolidated Statements of Operations in which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hedged items are recorded in the same period the hedged items affect earnings. It is anticipated that as of December 31, 2023, $0.7 million will be reclassified from accumulated other comprehensive loss on Cash Flow Hedge - Portfolio Loans into earnings as a reduction of interest and fees on loans over the next twelve months. The maximum term of any Cash Flow Hedge - Portfolio Loans at December 31, 2023 is 4.2 years.</w:t>
      </w:r>
    </w:p>
    <w:p>
      <w:pPr>
        <w:spacing w:after="0" w:line="17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Certain derivative financial instruments have not been designated as hedges. The fair value of these derivative financial instruments has been recorded on our Consolidated Statements of Financial Condition and is adjusted on an ongoing basis to reflect their then current fair value. The changes in fair value of derivative financial instruments not designated as hedges are recognized in earnings.</w:t>
      </w:r>
    </w:p>
    <w:p>
      <w:pPr>
        <w:spacing w:after="0" w:line="176"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 Lock Commitments and Mandatory Commitments are recognized currently as part of net gains on mortgage loans in the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187"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Consolidated Statements of Operations. All of the interest rate swap agreements-commercial with no hedge designation in the table above relate to this program.</w:t>
      </w:r>
    </w:p>
    <w:p>
      <w:pPr>
        <w:spacing w:after="0" w:line="159"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had entered into a no hedge designation pay-variable interest rate swap agreement in an attempt to manage the cost of certain funding liabilities. The changes in fair value of this no hedge pay-variable interest rate swap is recorded in non-interest expense-other in our Consolidated Statements of Operations. This no hedge designation pay-variable interest rate swap agreement matured during the third quarter of 2023.</w:t>
      </w:r>
    </w:p>
    <w:p>
      <w:pPr>
        <w:spacing w:after="0" w:line="13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We had purchased a swaption agreement during 2021 in an attempt to reduce the impact of price fluctuations of certain mortgage construction loans held for sale. The swaption agreement is presented as "Interest rate swaption agreement" in the table below. The swaption agreement terminated during 2022. The changes in the fair value of the swaption agreement was recognized currently as part of net gains on mortgage loans in our Consolidated Statements of Operations.</w:t>
      </w:r>
    </w:p>
    <w:p>
      <w:pPr>
        <w:spacing w:after="0" w:line="181"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231F20"/>
        </w:rPr>
        <w:t xml:space="preserve">In prior years we had entered into certain derivative financial instruments </w:t>
      </w:r>
      <w:r>
        <w:rPr>
          <w:rFonts w:ascii="Times New Roman" w:cs="Times New Roman" w:eastAsia="Times New Roman" w:hAnsi="Times New Roman"/>
          <w:sz w:val="18"/>
          <w:szCs w:val="18"/>
          <w:color w:val="000000"/>
        </w:rPr>
        <w:t>to manage the variability in future expected cash flows of certain debt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obligations </w:t>
      </w:r>
      <w:r>
        <w:rPr>
          <w:rFonts w:ascii="Times New Roman" w:cs="Times New Roman" w:eastAsia="Times New Roman" w:hAnsi="Times New Roman"/>
          <w:sz w:val="18"/>
          <w:szCs w:val="18"/>
          <w:color w:val="231F20"/>
        </w:rPr>
        <w:t>(‘‘Cash Flow Hedges’’). Cash Flow Hedges had included certain pay-fixed interest rate swap and interest rate cap agreements.</w:t>
      </w:r>
      <w:r>
        <w:rPr>
          <w:rFonts w:ascii="Times New Roman" w:cs="Times New Roman" w:eastAsia="Times New Roman" w:hAnsi="Times New Roman"/>
          <w:sz w:val="18"/>
          <w:szCs w:val="18"/>
          <w:color w:val="000000"/>
        </w:rPr>
        <w:t xml:space="preserve"> The no hedge designation "Interest rate cap agreements" and "Pay-fixed interest rate swap agreements" in the table below had previously qualified for cash flow hedge accounting but were classified to a no hedge designation during 2020 and any changes in fair value since the transfers to the no hedge designation have been recognized in interest expense – other borrowings and subordinated debt and debentures in our Consolidated Statements of Operations since that time. Also in 2020 it became probable that the forecasted transactions being hedged by these interest rate cap agreements would not occur by the end of the originally specified time period and all remaining unrealized losses included as a component of accumulated other comprehensive income (loss) were reclassified into earnings at that time. The pay-fixed interest rate swaps matured in 2021 and during 2022 we terminated $75.0 million of interest rate caps while $15.0 million matured.</w:t>
      </w:r>
    </w:p>
    <w:p>
      <w:pPr>
        <w:spacing w:after="0" w:line="187"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In prior periods we offered to our deposit customers an equity linked time deposit product (‘‘Altitude CD’’). The Altitude CD was a time deposit that provided the customer a guaranteed return of principal at maturity plus a potential equity return (a written option), while we receive a like stream of funds based on the equity return (a purchased option). The written and purchased options will generally move in opposite directions resulting in little or no net impact on our Consolidated Statements of Operations. The written and purchased options in the table below relate to this Altitude CD product and matured during the fourth quarter of 2021.</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The following table illustrate the impact that the derivative financial instruments discussed above have on individual line items in the Consolidated Statements of Financial Condition for the periods presented:</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Fair Values of Derivative Instruments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3"/>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3"/>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84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4"/>
                <w:szCs w:val="14"/>
                <w:color w:val="auto"/>
              </w:rPr>
            </w:pPr>
          </w:p>
        </w:tc>
        <w:tc>
          <w:tcPr>
            <w:tcW w:w="84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4"/>
                <w:szCs w:val="14"/>
                <w:color w:val="auto"/>
              </w:rPr>
            </w:pPr>
          </w:p>
        </w:tc>
        <w:tc>
          <w:tcPr>
            <w:tcW w:w="90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14"/>
                <w:szCs w:val="14"/>
                <w:color w:val="auto"/>
              </w:rPr>
            </w:pPr>
          </w:p>
        </w:tc>
        <w:tc>
          <w:tcPr>
            <w:tcW w:w="920" w:type="dxa"/>
            <w:vAlign w:val="bottom"/>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60"/>
        </w:trPr>
        <w:tc>
          <w:tcPr>
            <w:tcW w:w="2480" w:type="dxa"/>
            <w:vAlign w:val="bottom"/>
          </w:tcPr>
          <w:p>
            <w:pPr>
              <w:spacing w:after="0"/>
              <w:rPr>
                <w:sz w:val="13"/>
                <w:szCs w:val="13"/>
                <w:color w:val="auto"/>
              </w:rPr>
            </w:pPr>
          </w:p>
        </w:tc>
        <w:tc>
          <w:tcPr>
            <w:tcW w:w="84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Sheet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84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84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90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7"/>
                <w:szCs w:val="17"/>
                <w:color w:val="auto"/>
              </w:rPr>
            </w:pPr>
          </w:p>
        </w:tc>
        <w:tc>
          <w:tcPr>
            <w:tcW w:w="920" w:type="dxa"/>
            <w:vAlign w:val="bottom"/>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 designated as hedging</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instruments</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32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Pay-fixed interest rate swap agreements Other assets</w:t>
            </w:r>
          </w:p>
        </w:tc>
        <w:tc>
          <w:tcPr>
            <w:tcW w:w="480" w:type="dxa"/>
            <w:vAlign w:val="bottom"/>
            <w:tcBorders>
              <w:bottom w:val="single" w:sz="8" w:color="CCEEFF"/>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15,636</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480" w:type="dxa"/>
            <w:vAlign w:val="bottom"/>
            <w:tcBorders>
              <w:bottom w:val="single" w:sz="8" w:color="CCEEFF"/>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20,430</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420" w:type="dxa"/>
            <w:vAlign w:val="bottom"/>
            <w:tcBorders>
              <w:bottom w:val="single" w:sz="8" w:color="CCEEFF"/>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3,359</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420" w:type="dxa"/>
            <w:vAlign w:val="bottom"/>
            <w:tcBorders>
              <w:bottom w:val="single" w:sz="8" w:color="CCEEFF"/>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2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rate cap agreements</w:t>
            </w: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100" w:type="dxa"/>
            <w:vAlign w:val="bottom"/>
          </w:tcPr>
          <w:p>
            <w:pPr>
              <w:spacing w:after="0"/>
              <w:rPr>
                <w:sz w:val="17"/>
                <w:szCs w:val="17"/>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rate floor agreements</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4,221</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20,313</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21,361</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3,359</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 not designated as hedging</w:t>
            </w: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instruments</w:t>
            </w:r>
          </w:p>
        </w:tc>
        <w:tc>
          <w:tcPr>
            <w:tcW w:w="8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Rate-lock mortgage loan commitments</w:t>
            </w: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4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4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4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42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Mandatory commitments to sell</w:t>
            </w: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mortgage loans</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7"/>
        </w:trPr>
        <w:tc>
          <w:tcPr>
            <w:tcW w:w="2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Pay-fixed interest rate swap agreements</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commercial</w:t>
            </w: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12,683</w:t>
            </w:r>
          </w:p>
        </w:tc>
        <w:tc>
          <w:tcPr>
            <w:tcW w:w="10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17,567</w:t>
            </w:r>
          </w:p>
        </w:tc>
        <w:tc>
          <w:tcPr>
            <w:tcW w:w="100" w:type="dxa"/>
            <w:vAlign w:val="bottom"/>
          </w:tcPr>
          <w:p>
            <w:pPr>
              <w:spacing w:after="0"/>
              <w:rPr>
                <w:sz w:val="17"/>
                <w:szCs w:val="17"/>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5,514</w:t>
            </w:r>
          </w:p>
        </w:tc>
        <w:tc>
          <w:tcPr>
            <w:tcW w:w="8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Pay-variable interest rate swap</w:t>
            </w: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agreements - commercial</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5,514</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12,683</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17,567</w:t>
            </w:r>
          </w:p>
        </w:tc>
        <w:tc>
          <w:tcPr>
            <w:tcW w:w="0" w:type="dxa"/>
            <w:vAlign w:val="bottom"/>
          </w:tcPr>
          <w:p>
            <w:pPr>
              <w:spacing w:after="0"/>
              <w:rPr>
                <w:sz w:val="1"/>
                <w:szCs w:val="1"/>
                <w:color w:val="auto"/>
              </w:rPr>
            </w:pPr>
          </w:p>
        </w:tc>
      </w:tr>
      <w:tr>
        <w:trPr>
          <w:trHeight w:val="187"/>
        </w:trPr>
        <w:tc>
          <w:tcPr>
            <w:tcW w:w="24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18,370</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18,386</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18,476</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19,127</w:t>
            </w:r>
          </w:p>
        </w:tc>
        <w:tc>
          <w:tcPr>
            <w:tcW w:w="0" w:type="dxa"/>
            <w:vAlign w:val="bottom"/>
          </w:tcPr>
          <w:p>
            <w:pPr>
              <w:spacing w:after="0"/>
              <w:rPr>
                <w:sz w:val="1"/>
                <w:szCs w:val="1"/>
                <w:color w:val="auto"/>
              </w:rPr>
            </w:pPr>
          </w:p>
        </w:tc>
      </w:tr>
      <w:tr>
        <w:trPr>
          <w:trHeight w:val="219"/>
        </w:trPr>
        <w:tc>
          <w:tcPr>
            <w:tcW w:w="2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derivatives</w:t>
            </w:r>
          </w:p>
        </w:tc>
        <w:tc>
          <w:tcPr>
            <w:tcW w:w="8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38,683</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39,747</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21,835</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19,127</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effect of derivative financial instruments on the Consolidated Statements of Operations follows: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342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42" w:lineRule="exact"/>
        <w:rPr>
          <w:sz w:val="20"/>
          <w:szCs w:val="20"/>
          <w:color w:val="auto"/>
        </w:rPr>
      </w:pPr>
    </w:p>
    <w:tbl>
      <w:tblPr>
        <w:tblLayout w:type="fixed"/>
        <w:tblInd w:w="1540" w:type="dxa"/>
        <w:tblCellMar>
          <w:top w:w="0" w:type="dxa"/>
          <w:left w:w="0" w:type="dxa"/>
          <w:bottom w:w="0" w:type="dxa"/>
          <w:right w:w="0" w:type="dxa"/>
        </w:tblCellMar>
      </w:tblPr>
      <w:tr>
        <w:trPr>
          <w:trHeight w:val="147"/>
        </w:trPr>
        <w:tc>
          <w:tcPr>
            <w:tcW w:w="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Location of</w:t>
            </w:r>
          </w:p>
        </w:tc>
        <w:tc>
          <w:tcPr>
            <w:tcW w:w="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Gain (Loss)</w:t>
            </w:r>
          </w:p>
        </w:tc>
        <w:tc>
          <w:tcPr>
            <w:tcW w:w="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Reclassified</w:t>
            </w:r>
          </w:p>
        </w:tc>
        <w:tc>
          <w:tcPr>
            <w:tcW w:w="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from</w:t>
            </w:r>
          </w:p>
        </w:tc>
        <w:tc>
          <w:tcPr>
            <w:tcW w:w="52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Loss</w:t>
            </w:r>
          </w:p>
        </w:tc>
        <w:tc>
          <w:tcPr>
            <w:tcW w:w="5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5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60" w:type="dxa"/>
            <w:vAlign w:val="bottom"/>
          </w:tcPr>
          <w:p>
            <w:pPr>
              <w:spacing w:after="0"/>
              <w:rPr>
                <w:sz w:val="5"/>
                <w:szCs w:val="5"/>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Gain (loss) Recognized</w:t>
            </w:r>
          </w:p>
        </w:tc>
        <w:tc>
          <w:tcPr>
            <w:tcW w:w="46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Reclassified from</w:t>
            </w:r>
          </w:p>
        </w:tc>
        <w:tc>
          <w:tcPr>
            <w:tcW w:w="5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4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5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60" w:type="dxa"/>
            <w:vAlign w:val="bottom"/>
          </w:tcPr>
          <w:p>
            <w:pPr>
              <w:spacing w:after="0"/>
              <w:rPr>
                <w:sz w:val="5"/>
                <w:szCs w:val="5"/>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in Other</w:t>
            </w:r>
          </w:p>
        </w:tc>
        <w:tc>
          <w:tcPr>
            <w:tcW w:w="46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5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4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5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60" w:type="dxa"/>
            <w:vAlign w:val="bottom"/>
          </w:tcPr>
          <w:p>
            <w:pPr>
              <w:spacing w:after="0"/>
              <w:rPr>
                <w:sz w:val="5"/>
                <w:szCs w:val="5"/>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46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5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Gain (Loss)</w:t>
            </w: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4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5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440" w:type="dxa"/>
            <w:vAlign w:val="bottom"/>
            <w:vMerge w:val="restart"/>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Location of</w:t>
            </w:r>
          </w:p>
        </w:tc>
        <w:tc>
          <w:tcPr>
            <w:tcW w:w="7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60" w:type="dxa"/>
            <w:vAlign w:val="bottom"/>
          </w:tcPr>
          <w:p>
            <w:pPr>
              <w:spacing w:after="0"/>
              <w:rPr>
                <w:sz w:val="5"/>
                <w:szCs w:val="5"/>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46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2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Income (Loss) into Income</w:t>
            </w:r>
          </w:p>
        </w:tc>
        <w:tc>
          <w:tcPr>
            <w:tcW w:w="14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Recognized</w:t>
            </w: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4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into Income</w:t>
            </w:r>
          </w:p>
        </w:tc>
        <w:tc>
          <w:tcPr>
            <w:tcW w:w="2280" w:type="dxa"/>
            <w:vAlign w:val="bottom"/>
            <w:gridSpan w:val="3"/>
            <w:vMerge w:val="continue"/>
          </w:tcPr>
          <w:p>
            <w:pPr>
              <w:spacing w:after="0"/>
              <w:rPr>
                <w:sz w:val="6"/>
                <w:szCs w:val="6"/>
                <w:color w:val="auto"/>
              </w:rPr>
            </w:pPr>
          </w:p>
        </w:tc>
        <w:tc>
          <w:tcPr>
            <w:tcW w:w="1440" w:type="dxa"/>
            <w:vAlign w:val="bottom"/>
            <w:vMerge w:val="restart"/>
          </w:tcPr>
          <w:p>
            <w:pPr>
              <w:jc w:val="center"/>
              <w:ind w:right="38"/>
              <w:spacing w:after="0"/>
              <w:rPr>
                <w:sz w:val="20"/>
                <w:szCs w:val="20"/>
                <w:color w:val="auto"/>
              </w:rPr>
            </w:pPr>
            <w:r>
              <w:rPr>
                <w:rFonts w:ascii="Times New Roman" w:cs="Times New Roman" w:eastAsia="Times New Roman" w:hAnsi="Times New Roman"/>
                <w:sz w:val="12"/>
                <w:szCs w:val="12"/>
                <w:b w:val="1"/>
                <w:bCs w:val="1"/>
                <w:color w:val="auto"/>
              </w:rPr>
              <w:t>Gain (Loss)</w:t>
            </w:r>
          </w:p>
        </w:tc>
        <w:tc>
          <w:tcPr>
            <w:tcW w:w="7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60" w:type="dxa"/>
            <w:vAlign w:val="bottom"/>
          </w:tcPr>
          <w:p>
            <w:pPr>
              <w:spacing w:after="0"/>
              <w:rPr>
                <w:sz w:val="5"/>
                <w:szCs w:val="5"/>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(Effective Portion)</w:t>
            </w:r>
          </w:p>
        </w:tc>
        <w:tc>
          <w:tcPr>
            <w:tcW w:w="46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(Effective Portion)</w:t>
            </w:r>
          </w:p>
        </w:tc>
        <w:tc>
          <w:tcPr>
            <w:tcW w:w="54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in Income</w:t>
            </w: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4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420" w:type="dxa"/>
            <w:vAlign w:val="bottom"/>
            <w:vMerge w:val="restart"/>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rPr>
              <w:t>(Effective</w:t>
            </w:r>
          </w:p>
        </w:tc>
        <w:tc>
          <w:tcPr>
            <w:tcW w:w="5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440" w:type="dxa"/>
            <w:vAlign w:val="bottom"/>
            <w:vMerge w:val="restart"/>
          </w:tcPr>
          <w:p>
            <w:pPr>
              <w:jc w:val="center"/>
              <w:ind w:right="58"/>
              <w:spacing w:after="0" w:line="121" w:lineRule="exact"/>
              <w:rPr>
                <w:sz w:val="20"/>
                <w:szCs w:val="20"/>
                <w:color w:val="auto"/>
              </w:rPr>
            </w:pPr>
            <w:r>
              <w:rPr>
                <w:rFonts w:ascii="Times New Roman" w:cs="Times New Roman" w:eastAsia="Times New Roman" w:hAnsi="Times New Roman"/>
                <w:sz w:val="12"/>
                <w:szCs w:val="12"/>
                <w:b w:val="1"/>
                <w:bCs w:val="1"/>
                <w:color w:val="auto"/>
              </w:rPr>
              <w:t>Recognized</w:t>
            </w:r>
          </w:p>
        </w:tc>
        <w:tc>
          <w:tcPr>
            <w:tcW w:w="7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vMerge w:val="continue"/>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40" w:type="dxa"/>
            <w:vAlign w:val="bottom"/>
            <w:vMerge w:val="continue"/>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460" w:type="dxa"/>
            <w:vAlign w:val="bottom"/>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Portion)</w:t>
            </w:r>
          </w:p>
        </w:tc>
        <w:tc>
          <w:tcPr>
            <w:tcW w:w="520" w:type="dxa"/>
            <w:vAlign w:val="bottom"/>
          </w:tcPr>
          <w:p>
            <w:pPr>
              <w:jc w:val="right"/>
              <w:ind w:right="18"/>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540" w:type="dxa"/>
            <w:vAlign w:val="bottom"/>
          </w:tcPr>
          <w:p>
            <w:pPr>
              <w:jc w:val="right"/>
              <w:ind w:right="158"/>
              <w:spacing w:after="0"/>
              <w:rPr>
                <w:sz w:val="20"/>
                <w:szCs w:val="20"/>
                <w:color w:val="auto"/>
              </w:rPr>
            </w:pPr>
            <w:r>
              <w:rPr>
                <w:rFonts w:ascii="Times New Roman" w:cs="Times New Roman" w:eastAsia="Times New Roman" w:hAnsi="Times New Roman"/>
                <w:sz w:val="12"/>
                <w:szCs w:val="12"/>
                <w:b w:val="1"/>
                <w:bCs w:val="1"/>
                <w:color w:val="auto"/>
              </w:rPr>
              <w:t>2021</w:t>
            </w:r>
          </w:p>
        </w:tc>
        <w:tc>
          <w:tcPr>
            <w:tcW w:w="1440" w:type="dxa"/>
            <w:vAlign w:val="bottom"/>
          </w:tcPr>
          <w:p>
            <w:pPr>
              <w:jc w:val="center"/>
              <w:ind w:right="38"/>
              <w:spacing w:after="0"/>
              <w:rPr>
                <w:sz w:val="20"/>
                <w:szCs w:val="20"/>
                <w:color w:val="auto"/>
              </w:rPr>
            </w:pPr>
            <w:r>
              <w:rPr>
                <w:rFonts w:ascii="Times New Roman" w:cs="Times New Roman" w:eastAsia="Times New Roman" w:hAnsi="Times New Roman"/>
                <w:sz w:val="12"/>
                <w:szCs w:val="12"/>
                <w:b w:val="1"/>
                <w:bCs w:val="1"/>
                <w:color w:val="auto"/>
              </w:rPr>
              <w:t>in Income</w:t>
            </w:r>
          </w:p>
        </w:tc>
        <w:tc>
          <w:tcPr>
            <w:tcW w:w="700" w:type="dxa"/>
            <w:vAlign w:val="bottom"/>
          </w:tcPr>
          <w:p>
            <w:pPr>
              <w:jc w:val="right"/>
              <w:ind w:right="118"/>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40" w:type="dxa"/>
            <w:vAlign w:val="bottom"/>
          </w:tcPr>
          <w:p>
            <w:pPr>
              <w:jc w:val="right"/>
              <w:ind w:right="278"/>
              <w:spacing w:after="0"/>
              <w:rPr>
                <w:sz w:val="20"/>
                <w:szCs w:val="20"/>
                <w:color w:val="auto"/>
              </w:rPr>
            </w:pPr>
            <w:r>
              <w:rPr>
                <w:rFonts w:ascii="Times New Roman" w:cs="Times New Roman" w:eastAsia="Times New Roman" w:hAnsi="Times New Roman"/>
                <w:sz w:val="12"/>
                <w:szCs w:val="12"/>
                <w:b w:val="1"/>
                <w:bCs w:val="1"/>
                <w:color w:val="auto"/>
              </w:rPr>
              <w:t>2022</w:t>
            </w:r>
          </w:p>
        </w:tc>
        <w:tc>
          <w:tcPr>
            <w:tcW w:w="680" w:type="dxa"/>
            <w:vAlign w:val="bottom"/>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9525</wp:posOffset>
            </wp:positionV>
            <wp:extent cx="6159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6159500" cy="8255"/>
                    </a:xfrm>
                    <a:prstGeom prst="rect">
                      <a:avLst/>
                    </a:prstGeom>
                    <a:noFill/>
                  </pic:spPr>
                </pic:pic>
              </a:graphicData>
            </a:graphic>
          </wp:anchor>
        </w:drawing>
      </w:r>
    </w:p>
    <w:p>
      <w:pPr>
        <w:spacing w:after="0" w:line="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2"/>
          <w:szCs w:val="12"/>
          <w:b w:val="1"/>
          <w:bCs w:val="1"/>
          <w:color w:val="auto"/>
        </w:rPr>
        <w:t>(In thousands)</w:t>
      </w:r>
    </w:p>
    <w:p>
      <w:pPr>
        <w:sectPr>
          <w:pgSz w:w="11900" w:h="16838" w:orient="portrait"/>
          <w:cols w:equalWidth="0" w:num="1">
            <w:col w:w="11240"/>
          </w:cols>
          <w:pgMar w:left="320" w:top="121" w:right="339" w:bottom="1440" w:gutter="0" w:footer="0" w:header="0"/>
        </w:sectPr>
      </w:pP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Fair Value Hedges</w:t>
      </w:r>
    </w:p>
    <w:p>
      <w:pPr>
        <w:spacing w:after="0" w:line="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Pay-fixed interest rate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swap agreement -</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commercial</w:t>
      </w:r>
    </w:p>
    <w:p>
      <w:pPr>
        <w:spacing w:after="0" w:line="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Pay-fixed interest rate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swap agreement -</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securities available 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160" w:type="dxa"/>
            <w:vAlign w:val="bottom"/>
          </w:tcPr>
          <w:p>
            <w:pPr>
              <w:spacing w:after="0"/>
              <w:rPr>
                <w:sz w:val="20"/>
                <w:szCs w:val="20"/>
                <w:color w:val="auto"/>
              </w:rPr>
            </w:pPr>
            <w:r>
              <w:rPr>
                <w:rFonts w:ascii="Times New Roman" w:cs="Times New Roman" w:eastAsia="Times New Roman" w:hAnsi="Times New Roman"/>
                <w:sz w:val="12"/>
                <w:szCs w:val="12"/>
                <w:color w:val="auto"/>
              </w:rPr>
              <w:t>Interest and fees on</w:t>
            </w: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71"/>
        </w:trPr>
        <w:tc>
          <w:tcPr>
            <w:tcW w:w="11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loans</w:t>
            </w:r>
          </w:p>
        </w:tc>
        <w:tc>
          <w:tcPr>
            <w:tcW w:w="480" w:type="dxa"/>
            <w:vAlign w:val="bottom"/>
          </w:tcPr>
          <w:p>
            <w:pPr>
              <w:jc w:val="right"/>
              <w:ind w:right="158"/>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360" w:type="dxa"/>
            <w:vAlign w:val="bottom"/>
          </w:tcPr>
          <w:p>
            <w:pPr>
              <w:jc w:val="right"/>
              <w:ind w:right="158"/>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831</w:t>
            </w:r>
          </w:p>
        </w:tc>
        <w:tc>
          <w:tcPr>
            <w:tcW w:w="32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-4744720</wp:posOffset>
            </wp:positionH>
            <wp:positionV relativeFrom="paragraph">
              <wp:posOffset>-311785</wp:posOffset>
            </wp:positionV>
            <wp:extent cx="7134225" cy="3219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134225" cy="32194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on securities</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color w:val="auto"/>
        </w:rPr>
        <w:t>available for sale -</w:t>
      </w:r>
    </w:p>
    <w:p>
      <w:pPr>
        <w:spacing w:after="0" w:line="9" w:lineRule="exact"/>
        <w:rPr>
          <w:sz w:val="20"/>
          <w:szCs w:val="20"/>
          <w:color w:val="auto"/>
        </w:rPr>
      </w:pPr>
    </w:p>
    <w:p>
      <w:pPr>
        <w:sectPr>
          <w:pgSz w:w="11900" w:h="16838" w:orient="portrait"/>
          <w:cols w:equalWidth="0" w:num="2">
            <w:col w:w="6760" w:space="720"/>
            <w:col w:w="37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15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sale</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tax-exempt</w:t>
            </w: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15,493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4,398</w:t>
            </w:r>
          </w:p>
        </w:tc>
        <w:tc>
          <w:tcPr>
            <w:tcW w:w="0" w:type="dxa"/>
            <w:vAlign w:val="bottom"/>
          </w:tcPr>
          <w:p>
            <w:pPr>
              <w:spacing w:after="0"/>
              <w:rPr>
                <w:sz w:val="1"/>
                <w:szCs w:val="1"/>
                <w:color w:val="auto"/>
              </w:rPr>
            </w:pPr>
          </w:p>
        </w:tc>
      </w:tr>
      <w:tr>
        <w:trPr>
          <w:trHeight w:val="163"/>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Pay-fixed interest rate</w:t>
            </w: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swap agreement -</w:t>
            </w: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Interest and fees on</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installment</w:t>
            </w: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loans</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15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Pay-fixed interest rate</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5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swap agreements -</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Interest and fees on</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5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Mortgage</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loans</w:t>
            </w: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3"/>
        </w:trPr>
        <w:tc>
          <w:tcPr>
            <w:tcW w:w="1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Interest on</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Interest rate cap</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securities</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Interest on securities</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154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agreements - securities</w:t>
            </w:r>
          </w:p>
        </w:tc>
        <w:tc>
          <w:tcPr>
            <w:tcW w:w="3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2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available for sale</w:t>
            </w:r>
          </w:p>
        </w:tc>
        <w:tc>
          <w:tcPr>
            <w:tcW w:w="2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440" w:type="dxa"/>
            <w:vAlign w:val="bottom"/>
            <w:vMerge w:val="continue"/>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1540" w:type="dxa"/>
            <w:vAlign w:val="bottom"/>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20" w:type="dxa"/>
            <w:vAlign w:val="bottom"/>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40" w:type="dxa"/>
            <w:vAlign w:val="bottom"/>
            <w:shd w:val="clear" w:color="auto" w:fill="CCEEFF"/>
          </w:tcPr>
          <w:p>
            <w:pPr>
              <w:ind w:left="260"/>
              <w:spacing w:after="0" w:line="120" w:lineRule="exact"/>
              <w:rPr>
                <w:sz w:val="20"/>
                <w:szCs w:val="20"/>
                <w:color w:val="auto"/>
              </w:rPr>
            </w:pPr>
            <w:r>
              <w:rPr>
                <w:rFonts w:ascii="Times New Roman" w:cs="Times New Roman" w:eastAsia="Times New Roman" w:hAnsi="Times New Roman"/>
                <w:sz w:val="12"/>
                <w:szCs w:val="12"/>
                <w:color w:val="auto"/>
              </w:rPr>
              <w:t>available for sale -</w:t>
            </w: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1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available for sale</w:t>
            </w:r>
          </w:p>
        </w:tc>
        <w:tc>
          <w:tcPr>
            <w:tcW w:w="3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 tax - exempt</w:t>
            </w:r>
          </w:p>
        </w:tc>
        <w:tc>
          <w:tcPr>
            <w:tcW w:w="2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tax - exempt</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15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Interest rate cap</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Interest and fees</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5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agreements -</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Interest and fees on</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color w:val="auto"/>
              </w:rPr>
              <w:t>installment</w:t>
            </w: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on loans</w:t>
            </w:r>
          </w:p>
        </w:tc>
        <w:tc>
          <w:tcPr>
            <w:tcW w:w="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loans</w:t>
            </w: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1"/>
        </w:trPr>
        <w:tc>
          <w:tcPr>
            <w:tcW w:w="1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Total</w:t>
            </w:r>
          </w:p>
        </w:tc>
        <w:tc>
          <w:tcPr>
            <w:tcW w:w="3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(8,077)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16,401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4,790</w:t>
            </w:r>
          </w:p>
        </w:tc>
        <w:tc>
          <w:tcPr>
            <w:tcW w:w="0" w:type="dxa"/>
            <w:vAlign w:val="bottom"/>
          </w:tcPr>
          <w:p>
            <w:pPr>
              <w:spacing w:after="0"/>
              <w:rPr>
                <w:sz w:val="1"/>
                <w:szCs w:val="1"/>
                <w:color w:val="auto"/>
              </w:rPr>
            </w:pPr>
          </w:p>
        </w:tc>
      </w:tr>
      <w:tr>
        <w:trPr>
          <w:trHeight w:val="171"/>
        </w:trPr>
        <w:tc>
          <w:tcPr>
            <w:tcW w:w="1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Flow Hedges</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Interest rate floor</w:t>
            </w: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agreements -</w:t>
            </w: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Interest and fees on</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commercial</w:t>
            </w:r>
          </w:p>
        </w:tc>
        <w:tc>
          <w:tcPr>
            <w:tcW w:w="3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Interest expense</w:t>
            </w:r>
          </w:p>
        </w:tc>
        <w:tc>
          <w:tcPr>
            <w:tcW w:w="2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loans</w:t>
            </w:r>
          </w:p>
        </w:tc>
        <w:tc>
          <w:tcPr>
            <w:tcW w:w="2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color w:val="auto"/>
              </w:rPr>
              <w:t>No hedge designation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2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2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Rate-lock mortgage loan commitments</w:t>
            </w: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gains on</w:t>
            </w: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mortgage loans</w:t>
            </w:r>
          </w:p>
        </w:tc>
        <w:tc>
          <w:tcPr>
            <w:tcW w:w="2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(4,880)</w:t>
            </w:r>
          </w:p>
        </w:tc>
        <w:tc>
          <w:tcPr>
            <w:tcW w:w="0" w:type="dxa"/>
            <w:vAlign w:val="bottom"/>
          </w:tcPr>
          <w:p>
            <w:pPr>
              <w:spacing w:after="0"/>
              <w:rPr>
                <w:sz w:val="1"/>
                <w:szCs w:val="1"/>
                <w:color w:val="auto"/>
              </w:rPr>
            </w:pPr>
          </w:p>
        </w:tc>
      </w:tr>
      <w:tr>
        <w:trPr>
          <w:trHeight w:val="155"/>
        </w:trPr>
        <w:tc>
          <w:tcPr>
            <w:tcW w:w="2660" w:type="dxa"/>
            <w:vAlign w:val="bottom"/>
            <w:gridSpan w:val="5"/>
          </w:tcPr>
          <w:p>
            <w:pPr>
              <w:ind w:left="180"/>
              <w:spacing w:after="0"/>
              <w:rPr>
                <w:sz w:val="20"/>
                <w:szCs w:val="20"/>
                <w:color w:val="auto"/>
              </w:rPr>
            </w:pPr>
            <w:r>
              <w:rPr>
                <w:rFonts w:ascii="Times New Roman" w:cs="Times New Roman" w:eastAsia="Times New Roman" w:hAnsi="Times New Roman"/>
                <w:sz w:val="12"/>
                <w:szCs w:val="12"/>
                <w:color w:val="auto"/>
              </w:rPr>
              <w:t>Mandatory commitments to sell mortgage loans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Net gains on</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mortgage loans</w:t>
            </w: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873</w:t>
            </w:r>
          </w:p>
        </w:tc>
        <w:tc>
          <w:tcPr>
            <w:tcW w:w="0" w:type="dxa"/>
            <w:vAlign w:val="bottom"/>
          </w:tcPr>
          <w:p>
            <w:pPr>
              <w:spacing w:after="0"/>
              <w:rPr>
                <w:sz w:val="1"/>
                <w:szCs w:val="1"/>
                <w:color w:val="auto"/>
              </w:rPr>
            </w:pPr>
          </w:p>
        </w:tc>
      </w:tr>
      <w:tr>
        <w:trPr>
          <w:trHeight w:val="208"/>
        </w:trPr>
        <w:tc>
          <w:tcPr>
            <w:tcW w:w="30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Pay-fixed interest rate swap agreements - commercial</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Interest income</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4,521</w:t>
            </w:r>
          </w:p>
        </w:tc>
        <w:tc>
          <w:tcPr>
            <w:tcW w:w="0" w:type="dxa"/>
            <w:vAlign w:val="bottom"/>
          </w:tcPr>
          <w:p>
            <w:pPr>
              <w:spacing w:after="0"/>
              <w:rPr>
                <w:sz w:val="1"/>
                <w:szCs w:val="1"/>
                <w:color w:val="auto"/>
              </w:rPr>
            </w:pPr>
          </w:p>
        </w:tc>
      </w:tr>
      <w:tr>
        <w:trPr>
          <w:trHeight w:val="192"/>
        </w:trPr>
        <w:tc>
          <w:tcPr>
            <w:tcW w:w="3040" w:type="dxa"/>
            <w:vAlign w:val="bottom"/>
            <w:gridSpan w:val="7"/>
          </w:tcPr>
          <w:p>
            <w:pPr>
              <w:ind w:left="180"/>
              <w:spacing w:after="0"/>
              <w:rPr>
                <w:sz w:val="20"/>
                <w:szCs w:val="20"/>
                <w:color w:val="auto"/>
              </w:rPr>
            </w:pPr>
            <w:r>
              <w:rPr>
                <w:rFonts w:ascii="Times New Roman" w:cs="Times New Roman" w:eastAsia="Times New Roman" w:hAnsi="Times New Roman"/>
                <w:sz w:val="12"/>
                <w:szCs w:val="12"/>
                <w:color w:val="auto"/>
              </w:rPr>
              <w:t>Pay-variable interest rate swap agreements -commercial</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Interest income</w:t>
            </w: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(4,521)</w:t>
            </w:r>
          </w:p>
        </w:tc>
        <w:tc>
          <w:tcPr>
            <w:tcW w:w="0" w:type="dxa"/>
            <w:vAlign w:val="bottom"/>
          </w:tcPr>
          <w:p>
            <w:pPr>
              <w:spacing w:after="0"/>
              <w:rPr>
                <w:sz w:val="1"/>
                <w:szCs w:val="1"/>
                <w:color w:val="auto"/>
              </w:rPr>
            </w:pPr>
          </w:p>
        </w:tc>
      </w:tr>
      <w:tr>
        <w:trPr>
          <w:trHeight w:val="163"/>
        </w:trPr>
        <w:tc>
          <w:tcPr>
            <w:tcW w:w="1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Interest rate swaption agreement</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gains on</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mortgage loans</w:t>
            </w:r>
          </w:p>
        </w:tc>
        <w:tc>
          <w:tcPr>
            <w:tcW w:w="2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33"/>
        </w:trPr>
        <w:tc>
          <w:tcPr>
            <w:tcW w:w="2280" w:type="dxa"/>
            <w:vAlign w:val="bottom"/>
            <w:gridSpan w:val="4"/>
          </w:tcPr>
          <w:p>
            <w:pPr>
              <w:ind w:left="180"/>
              <w:spacing w:after="0" w:line="134" w:lineRule="exact"/>
              <w:rPr>
                <w:sz w:val="20"/>
                <w:szCs w:val="20"/>
                <w:color w:val="auto"/>
              </w:rPr>
            </w:pPr>
            <w:r>
              <w:rPr>
                <w:rFonts w:ascii="Times New Roman" w:cs="Times New Roman" w:eastAsia="Times New Roman" w:hAnsi="Times New Roman"/>
                <w:sz w:val="12"/>
                <w:szCs w:val="12"/>
                <w:color w:val="auto"/>
              </w:rPr>
              <w:t>Pay-variable interest rate swap agreement</w:t>
            </w: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tcPr>
          <w:p>
            <w:pPr>
              <w:ind w:left="100"/>
              <w:spacing w:after="0" w:line="134" w:lineRule="exact"/>
              <w:rPr>
                <w:sz w:val="20"/>
                <w:szCs w:val="20"/>
                <w:color w:val="auto"/>
              </w:rPr>
            </w:pPr>
            <w:r>
              <w:rPr>
                <w:rFonts w:ascii="Times New Roman" w:cs="Times New Roman" w:eastAsia="Times New Roman" w:hAnsi="Times New Roman"/>
                <w:sz w:val="12"/>
                <w:szCs w:val="12"/>
                <w:color w:val="auto"/>
              </w:rPr>
              <w:t>Non-interest expense</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40" w:type="dxa"/>
            <w:vAlign w:val="bottom"/>
          </w:tcPr>
          <w:p>
            <w:pPr>
              <w:ind w:left="260"/>
              <w:spacing w:after="0" w:line="11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other</w:t>
            </w: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8"/>
        </w:trPr>
        <w:tc>
          <w:tcPr>
            <w:tcW w:w="22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Pay-fixed interest rate swap agreements</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Interest expense</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0" w:type="dxa"/>
            <w:vAlign w:val="bottom"/>
          </w:tcPr>
          <w:p>
            <w:pPr>
              <w:spacing w:after="0"/>
              <w:rPr>
                <w:sz w:val="1"/>
                <w:szCs w:val="1"/>
                <w:color w:val="auto"/>
              </w:rPr>
            </w:pPr>
          </w:p>
        </w:tc>
      </w:tr>
      <w:tr>
        <w:trPr>
          <w:trHeight w:val="192"/>
        </w:trPr>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Interest rate cap agreements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Interest expense</w:t>
            </w:r>
          </w:p>
        </w:tc>
        <w:tc>
          <w:tcPr>
            <w:tcW w:w="2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0" w:type="dxa"/>
            <w:vAlign w:val="bottom"/>
          </w:tcPr>
          <w:p>
            <w:pPr>
              <w:spacing w:after="0"/>
              <w:rPr>
                <w:sz w:val="1"/>
                <w:szCs w:val="1"/>
                <w:color w:val="auto"/>
              </w:rPr>
            </w:pPr>
          </w:p>
        </w:tc>
      </w:tr>
      <w:tr>
        <w:trPr>
          <w:trHeight w:val="208"/>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Purchased options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Interest expense</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0" w:type="dxa"/>
            <w:vAlign w:val="bottom"/>
          </w:tcPr>
          <w:p>
            <w:pPr>
              <w:spacing w:after="0"/>
              <w:rPr>
                <w:sz w:val="1"/>
                <w:szCs w:val="1"/>
                <w:color w:val="auto"/>
              </w:rPr>
            </w:pPr>
          </w:p>
        </w:tc>
      </w:tr>
      <w:tr>
        <w:trPr>
          <w:trHeight w:val="193"/>
        </w:trPr>
        <w:tc>
          <w:tcPr>
            <w:tcW w:w="15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Written options</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Interest expense</w:t>
            </w:r>
          </w:p>
        </w:tc>
        <w:tc>
          <w:tcPr>
            <w:tcW w:w="2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0" w:type="dxa"/>
            <w:vAlign w:val="bottom"/>
          </w:tcPr>
          <w:p>
            <w:pPr>
              <w:spacing w:after="0"/>
              <w:rPr>
                <w:sz w:val="1"/>
                <w:szCs w:val="1"/>
                <w:color w:val="auto"/>
              </w:rPr>
            </w:pPr>
          </w:p>
        </w:tc>
      </w:tr>
      <w:tr>
        <w:trPr>
          <w:trHeight w:val="193"/>
        </w:trPr>
        <w:tc>
          <w:tcPr>
            <w:tcW w:w="15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Total</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14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(3,684)</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RELATED PARTY TRANSACTIONS</w:t>
      </w:r>
    </w:p>
    <w:p>
      <w:pPr>
        <w:spacing w:after="0" w:line="224"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Certain directors and executive officers, including companies in which they are officers or have significant ownership, were loan and deposit customers during 2023 and 2022.</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loans to our directors and executive officers (which includes loans to entities in which the individual owns a 10% or more voting interest)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20"/>
        </w:trPr>
        <w:tc>
          <w:tcPr>
            <w:tcW w:w="8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940" w:type="dxa"/>
            <w:vAlign w:val="bottom"/>
          </w:tcPr>
          <w:p>
            <w:pPr>
              <w:spacing w:after="0"/>
              <w:rPr>
                <w:sz w:val="19"/>
                <w:szCs w:val="19"/>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6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8"/>
              </w:rPr>
              <w:t>6,879</w:t>
            </w:r>
          </w:p>
        </w:tc>
      </w:tr>
      <w:tr>
        <w:trPr>
          <w:trHeight w:val="22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loans and advances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center"/>
              <w:ind w:left="331"/>
              <w:spacing w:after="0"/>
              <w:rPr>
                <w:sz w:val="20"/>
                <w:szCs w:val="20"/>
                <w:color w:val="auto"/>
              </w:rPr>
            </w:pPr>
            <w:r>
              <w:rPr>
                <w:rFonts w:ascii="Times New Roman" w:cs="Times New Roman" w:eastAsia="Times New Roman" w:hAnsi="Times New Roman"/>
                <w:sz w:val="18"/>
                <w:szCs w:val="18"/>
                <w:color w:val="auto"/>
                <w:w w:val="98"/>
              </w:rPr>
              <w:t>1,957</w:t>
            </w:r>
          </w:p>
        </w:tc>
      </w:tr>
      <w:tr>
        <w:trPr>
          <w:trHeight w:val="22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left="291"/>
              <w:spacing w:after="0"/>
              <w:rPr>
                <w:sz w:val="20"/>
                <w:szCs w:val="20"/>
                <w:color w:val="auto"/>
              </w:rPr>
            </w:pPr>
            <w:r>
              <w:rPr>
                <w:rFonts w:ascii="Times New Roman" w:cs="Times New Roman" w:eastAsia="Times New Roman" w:hAnsi="Times New Roman"/>
                <w:sz w:val="18"/>
                <w:szCs w:val="18"/>
                <w:color w:val="auto"/>
                <w:w w:val="98"/>
              </w:rPr>
              <w:t>(1,094)</w:t>
            </w: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6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center"/>
              <w:ind w:left="331"/>
              <w:spacing w:after="0"/>
              <w:rPr>
                <w:sz w:val="20"/>
                <w:szCs w:val="20"/>
                <w:color w:val="auto"/>
              </w:rPr>
            </w:pPr>
            <w:r>
              <w:rPr>
                <w:rFonts w:ascii="Times New Roman" w:cs="Times New Roman" w:eastAsia="Times New Roman" w:hAnsi="Times New Roman"/>
                <w:sz w:val="18"/>
                <w:szCs w:val="18"/>
                <w:color w:val="auto"/>
                <w:w w:val="98"/>
              </w:rPr>
              <w:t>7,742</w:t>
            </w:r>
          </w:p>
        </w:tc>
      </w:tr>
      <w:tr>
        <w:trPr>
          <w:trHeight w:val="20"/>
        </w:trPr>
        <w:tc>
          <w:tcPr>
            <w:tcW w:w="8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We had $1.69 million and $1.91 million in loan commitments to directors and executive officers at December 31, 2023 and 2022, respectively. Of these commitments, $0.03 million and $0.01 million were outstanding at December 31, 2023 and 2022, respectively, and included in the table above.</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Deposits held by us for directors and executive officers totaled $2.9 million and $2.6 million at December 31, 2023 and 2022,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LEASES</w:t>
      </w:r>
    </w:p>
    <w:p>
      <w:pPr>
        <w:spacing w:after="0" w:line="224"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We have entered into leases in the normal course of business primarily for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together for all leases. We have also elected not to recognize leases with original lease terms of 12 months or less (short-term leases) on our Consolidated Statements of Financial Condition. Most of our leases include one or more options to renew. The exercise of lease renewal options is typically at our sole discretion and are included in our right of use (“ROU”) assets and lease liabilities if they are reasonably certain of exercise.</w:t>
      </w:r>
    </w:p>
    <w:p>
      <w:pPr>
        <w:spacing w:after="0" w:line="185"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Leases are classified as operating or finance leases at the lease commencement date (we did not have any finance leases as of December 31, 2023). Lease expense for operating leases and short-term leases is recognized on a straight-line basis over the lease term. The 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the lease payment over the lease term.</w:t>
      </w:r>
    </w:p>
    <w:p>
      <w:pPr>
        <w:spacing w:after="0" w:line="18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As most of our leases do not provide an implicit rate, we use our incremental borrowing rate based on the information available at the lease commencement date in determining the present value of the lease payments.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cost components of our operating leases follows:</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66"/>
        </w:trPr>
        <w:tc>
          <w:tcPr>
            <w:tcW w:w="662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0"/>
        </w:trPr>
        <w:tc>
          <w:tcPr>
            <w:tcW w:w="6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6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0"/>
        </w:trPr>
        <w:tc>
          <w:tcPr>
            <w:tcW w:w="6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Variable lease costs consist primarily of taxes, insurance, and common area or other maintenance costs for our leased facilities.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Supplemental balance sheet information related to our operating leases follows:</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66"/>
        </w:trPr>
        <w:tc>
          <w:tcPr>
            <w:tcW w:w="794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0"/>
        </w:trPr>
        <w:tc>
          <w:tcPr>
            <w:tcW w:w="7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40" w:type="dxa"/>
            <w:vAlign w:val="bottom"/>
          </w:tcPr>
          <w:p>
            <w:pPr>
              <w:spacing w:after="0"/>
              <w:rPr>
                <w:sz w:val="19"/>
                <w:szCs w:val="19"/>
                <w:color w:val="auto"/>
              </w:rPr>
            </w:pPr>
          </w:p>
        </w:tc>
      </w:tr>
      <w:tr>
        <w:trPr>
          <w:trHeight w:val="29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right of use asset (1)</w:t>
            </w:r>
          </w:p>
        </w:tc>
        <w:tc>
          <w:tcPr>
            <w:tcW w:w="980" w:type="dxa"/>
            <w:vAlign w:val="bottom"/>
            <w:tcBorders>
              <w:bottom w:val="single" w:sz="8" w:color="auto"/>
            </w:tcBorders>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3"/>
              </w:rPr>
              <w:t>4,911</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5,544</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794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Lease liabilities (2)</w:t>
            </w:r>
          </w:p>
        </w:tc>
        <w:tc>
          <w:tcPr>
            <w:tcW w:w="980" w:type="dxa"/>
            <w:vAlign w:val="bottom"/>
            <w:tcBorders>
              <w:bottom w:val="single" w:sz="8" w:color="auto"/>
            </w:tcBorders>
          </w:tcPr>
          <w:p>
            <w:pPr>
              <w:jc w:val="right"/>
              <w:ind w:right="771"/>
              <w:spacing w:after="0" w:line="20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w w:val="93"/>
              </w:rPr>
              <w:t>5,114</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7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rPr>
              <w:t>5,769</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0"/>
        </w:trPr>
        <w:tc>
          <w:tcPr>
            <w:tcW w:w="79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9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320" w:hanging="313"/>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 in our Consolidated Statements of Financial Condition.</w:t>
      </w:r>
    </w:p>
    <w:p>
      <w:pPr>
        <w:spacing w:after="0" w:line="25" w:lineRule="exact"/>
        <w:rPr>
          <w:rFonts w:ascii="Times New Roman" w:cs="Times New Roman" w:eastAsia="Times New Roman" w:hAnsi="Times New Roman"/>
          <w:sz w:val="18"/>
          <w:szCs w:val="18"/>
          <w:color w:val="auto"/>
        </w:rPr>
      </w:pPr>
    </w:p>
    <w:p>
      <w:pPr>
        <w:ind w:left="320" w:right="2980" w:hanging="313"/>
        <w:spacing w:after="0" w:line="534" w:lineRule="auto"/>
        <w:tabs>
          <w:tab w:leader="none" w:pos="31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expenses and other liabilities in our Consolidated Statements of Financial Condition. Maturity analysis of our lease liabilities at December 31, 2023 based on required contractual payments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2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2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2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2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2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27"/>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20"/>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w:t>
            </w:r>
          </w:p>
        </w:tc>
      </w:tr>
      <w:tr>
        <w:trPr>
          <w:trHeight w:val="227"/>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45"/>
        </w:trPr>
        <w:tc>
          <w:tcPr>
            <w:tcW w:w="9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CONCENTRATIONS OF CREDIT RISK</w:t>
      </w:r>
    </w:p>
    <w:p>
      <w:pPr>
        <w:spacing w:after="0" w:line="224"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Credit risk is the risk to earnings and capital arising from an obligor’s failure to meet the terms of any contract with our organization or otherwise failing to perform as agreed. Credit risk can occur outside of our traditional lending activities and can exist in any activity where success depends on counterparty, issuer or borrower performance. Concentrations of credit risk (whether on- or off-balance sheet) arising from financial instruments can exist in relation to individual borrowers or groups of borrowers, certain types of collateral, certain types of industries or certain geographic regions. Credit risk associated with these concentrations could arise when a significant amount of loans or other financial instruments, related by similar characteristics, are simultaneously impacted by changes in economic or other conditions that cause their probability of repayment or other type of settlement to be adversely affected. Our major concentrations of credit risk arise by collateral type and by industry. The significant concentrations by collateral type at December 31, 2023, include $1.406 billion of loans secured by residential real estate and $241.7 million of construction and land development loans.</w:t>
      </w:r>
    </w:p>
    <w:p>
      <w:pPr>
        <w:spacing w:after="0" w:line="190"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7"/>
          <w:szCs w:val="17"/>
          <w:color w:val="auto"/>
        </w:rPr>
        <w:t>Additionally, within our commercial real estate and commercial and industrial loan classes, we had significant standard industry classification concentrations in the following categories as of December 31, 2023: Lessors of Nonresidential Real Estate ($530.9 million); Accommodation and Food Services ($146.8 million); Construction ($128.7 million); Lessors of Residential Real Estate ($123.4 million); Health Care and Social Assistance ($119.5 million); and Manufacturing ($95.5 million). A geographic concentration arises because we primarily conduct our lending activities in the State of Michigan.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REGULATORY MATTERS</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December 31, 2023,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Bank had positive undivided profits of $176.6 million. It is not our intent to have dividends paid in amounts that would reduce the capital of our Bank to levels below those which we consider prudent or that would not be in accordance with guidelines of regulatory authorities.</w:t>
      </w:r>
    </w:p>
    <w:p>
      <w:pPr>
        <w:spacing w:after="0" w:line="163" w:lineRule="exact"/>
        <w:rPr>
          <w:sz w:val="20"/>
          <w:szCs w:val="20"/>
          <w:color w:val="auto"/>
        </w:rPr>
      </w:pPr>
    </w:p>
    <w:p>
      <w:pPr>
        <w:jc w:val="both"/>
        <w:ind w:firstLine="320"/>
        <w:spacing w:after="0" w:line="250" w:lineRule="auto"/>
        <w:rPr>
          <w:sz w:val="20"/>
          <w:szCs w:val="20"/>
          <w:color w:val="auto"/>
        </w:rPr>
      </w:pPr>
      <w:r>
        <w:rPr>
          <w:rFonts w:ascii="Times New Roman" w:cs="Times New Roman" w:eastAsia="Times New Roman" w:hAnsi="Times New Roman"/>
          <w:sz w:val="18"/>
          <w:szCs w:val="18"/>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consolidated financial statements. In addition, capital adequacy rules include a common equity Tier 1 capital conservation buffer of 2.5% of risk-weighted assets that applies to all supervised financial institutions. To avoid limits on capital distributions and certain discretionary bonus payments we must meet the minimum ratio for adequately capitalized institutions plus the buffer. Under capital adequacy guidelines, we must meet specific capital requirements that involve quantitative measures as well as qualitative judgments by the regulators. The most recent regulatory filings as of December 31, 2023 and 2022, have our Bank categorized as well capitalized and exceeding the minimum ratio for adequately capitalized institutions plus the capital conservation buffer. Management is not aware of any conditions or events that would have changed the most recent Federal Deposit Insurance Corporation (‘‘FDIC’’) categorization.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actual capital amounts and ratios at December 31 follow</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Minimum for</w:t>
            </w:r>
          </w:p>
        </w:tc>
        <w:tc>
          <w:tcPr>
            <w:tcW w:w="200" w:type="dxa"/>
            <w:vAlign w:val="bottom"/>
          </w:tcPr>
          <w:p>
            <w:pPr>
              <w:spacing w:after="0"/>
              <w:rPr>
                <w:sz w:val="18"/>
                <w:szCs w:val="18"/>
                <w:color w:val="auto"/>
              </w:rPr>
            </w:pPr>
          </w:p>
        </w:tc>
        <w:tc>
          <w:tcPr>
            <w:tcW w:w="2420" w:type="dxa"/>
            <w:vAlign w:val="bottom"/>
            <w:gridSpan w:val="2"/>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7"/>
              </w:rPr>
              <w:t>Minimum for</w:t>
            </w:r>
          </w:p>
        </w:tc>
        <w:tc>
          <w:tcPr>
            <w:tcW w:w="0" w:type="dxa"/>
            <w:vAlign w:val="bottom"/>
          </w:tcPr>
          <w:p>
            <w:pPr>
              <w:spacing w:after="0"/>
              <w:rPr>
                <w:sz w:val="1"/>
                <w:szCs w:val="1"/>
                <w:color w:val="auto"/>
              </w:rPr>
            </w:pPr>
          </w:p>
        </w:tc>
      </w:tr>
      <w:tr>
        <w:trPr>
          <w:trHeight w:val="213"/>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Adequately Capitalized</w:t>
            </w:r>
          </w:p>
        </w:tc>
        <w:tc>
          <w:tcPr>
            <w:tcW w:w="200" w:type="dxa"/>
            <w:vAlign w:val="bottom"/>
          </w:tcPr>
          <w:p>
            <w:pPr>
              <w:spacing w:after="0"/>
              <w:rPr>
                <w:sz w:val="18"/>
                <w:szCs w:val="18"/>
                <w:color w:val="auto"/>
              </w:rPr>
            </w:pPr>
          </w:p>
        </w:tc>
        <w:tc>
          <w:tcPr>
            <w:tcW w:w="2420" w:type="dxa"/>
            <w:vAlign w:val="bottom"/>
            <w:gridSpan w:val="2"/>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Well-Capitalized</w:t>
            </w:r>
          </w:p>
        </w:tc>
        <w:tc>
          <w:tcPr>
            <w:tcW w:w="0" w:type="dxa"/>
            <w:vAlign w:val="bottom"/>
          </w:tcPr>
          <w:p>
            <w:pPr>
              <w:spacing w:after="0"/>
              <w:rPr>
                <w:sz w:val="1"/>
                <w:szCs w:val="1"/>
                <w:color w:val="auto"/>
              </w:rPr>
            </w:pPr>
          </w:p>
        </w:tc>
      </w:tr>
      <w:tr>
        <w:trPr>
          <w:trHeight w:val="263"/>
        </w:trPr>
        <w:tc>
          <w:tcPr>
            <w:tcW w:w="3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9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left="591"/>
              <w:spacing w:after="0"/>
              <w:rPr>
                <w:sz w:val="20"/>
                <w:szCs w:val="20"/>
                <w:color w:val="auto"/>
              </w:rPr>
            </w:pPr>
            <w:r>
              <w:rPr>
                <w:rFonts w:ascii="Times New Roman" w:cs="Times New Roman" w:eastAsia="Times New Roman" w:hAnsi="Times New Roman"/>
                <w:sz w:val="18"/>
                <w:szCs w:val="18"/>
                <w:b w:val="1"/>
                <w:bCs w:val="1"/>
                <w:color w:val="auto"/>
                <w:w w:val="97"/>
              </w:rPr>
              <w:t>Institutions</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left="591"/>
              <w:spacing w:after="0"/>
              <w:rPr>
                <w:sz w:val="20"/>
                <w:szCs w:val="20"/>
                <w:color w:val="auto"/>
              </w:rPr>
            </w:pPr>
            <w:r>
              <w:rPr>
                <w:rFonts w:ascii="Times New Roman" w:cs="Times New Roman" w:eastAsia="Times New Roman" w:hAnsi="Times New Roman"/>
                <w:sz w:val="18"/>
                <w:szCs w:val="18"/>
                <w:b w:val="1"/>
                <w:bCs w:val="1"/>
                <w:color w:val="auto"/>
                <w:w w:val="97"/>
              </w:rPr>
              <w:t>Institutions</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w w:val="95"/>
              </w:rPr>
              <w:t>Ratio</w:t>
            </w:r>
          </w:p>
        </w:tc>
        <w:tc>
          <w:tcPr>
            <w:tcW w:w="0" w:type="dxa"/>
            <w:vAlign w:val="bottom"/>
          </w:tcPr>
          <w:p>
            <w:pPr>
              <w:spacing w:after="0"/>
              <w:rPr>
                <w:sz w:val="1"/>
                <w:szCs w:val="1"/>
                <w:color w:val="auto"/>
              </w:rPr>
            </w:pPr>
          </w:p>
        </w:tc>
      </w:tr>
      <w:tr>
        <w:trPr>
          <w:trHeight w:val="230"/>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(Dollars in thousands)</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573,972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335,014</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8.00 %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tcPr>
          <w:p>
            <w:pPr>
              <w:spacing w:after="0"/>
              <w:rPr>
                <w:sz w:val="19"/>
                <w:szCs w:val="19"/>
                <w:color w:val="auto"/>
              </w:rPr>
            </w:pPr>
          </w:p>
        </w:tc>
        <w:tc>
          <w:tcPr>
            <w:tcW w:w="14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521,374</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334,673</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418,341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67"/>
        </w:trPr>
        <w:tc>
          <w:tcPr>
            <w:tcW w:w="3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481,569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251,260</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6.00 %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tcPr>
          <w:p>
            <w:pPr>
              <w:spacing w:after="0"/>
              <w:rPr>
                <w:sz w:val="19"/>
                <w:szCs w:val="19"/>
                <w:color w:val="auto"/>
              </w:rPr>
            </w:pPr>
          </w:p>
        </w:tc>
        <w:tc>
          <w:tcPr>
            <w:tcW w:w="14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469,023</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251,005</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334,673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67"/>
        </w:trPr>
        <w:tc>
          <w:tcPr>
            <w:tcW w:w="3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32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Common equity tier 1 capital to risk-</w:t>
            </w: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assets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443,065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10.58 %</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188,445</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4.50 %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tcPr>
          <w:p>
            <w:pPr>
              <w:spacing w:after="0"/>
              <w:rPr>
                <w:sz w:val="19"/>
                <w:szCs w:val="19"/>
                <w:color w:val="auto"/>
              </w:rPr>
            </w:pPr>
          </w:p>
        </w:tc>
        <w:tc>
          <w:tcPr>
            <w:tcW w:w="14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469,023</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188,254</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271,922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67"/>
        </w:trPr>
        <w:tc>
          <w:tcPr>
            <w:tcW w:w="3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481,569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213,227</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4.00 %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tcPr>
          <w:p>
            <w:pPr>
              <w:spacing w:after="0"/>
              <w:rPr>
                <w:sz w:val="19"/>
                <w:szCs w:val="19"/>
                <w:color w:val="auto"/>
              </w:rPr>
            </w:pPr>
          </w:p>
        </w:tc>
        <w:tc>
          <w:tcPr>
            <w:tcW w:w="14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469,023</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213,180</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266,475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67"/>
        </w:trPr>
        <w:tc>
          <w:tcPr>
            <w:tcW w:w="3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536,549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13.62 %</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315,059</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8.00 %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480,886</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314,733</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393,416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67"/>
        </w:trPr>
        <w:tc>
          <w:tcPr>
            <w:tcW w:w="3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447,299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11.36 %</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236,294</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6.00 %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431,685</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236,049</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314,733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67"/>
        </w:trPr>
        <w:tc>
          <w:tcPr>
            <w:tcW w:w="3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320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Common equity tier 1 capital to risk-</w:t>
            </w: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assets</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408,863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10.38 %</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177,221</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4.50 %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431,685</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177,037</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255,720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67"/>
        </w:trPr>
        <w:tc>
          <w:tcPr>
            <w:tcW w:w="3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447,299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8.86 %</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201,875</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4.00 %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431,685</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201,820</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252,275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3" w:lineRule="exact"/>
        <w:rPr>
          <w:sz w:val="20"/>
          <w:szCs w:val="20"/>
          <w:color w:val="auto"/>
        </w:rPr>
      </w:pPr>
    </w:p>
    <w:p>
      <w:pPr>
        <w:ind w:right="3780" w:firstLine="24"/>
        <w:spacing w:after="0" w:line="385" w:lineRule="auto"/>
        <w:tabs>
          <w:tab w:leader="none" w:pos="47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ratios do not reflect a capital conservation buffer of 2.50% at December 31, 2023 and 2022. NA - Not applicable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components of our regulatory capital are as follows: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93"/>
        </w:trPr>
        <w:tc>
          <w:tcPr>
            <w:tcW w:w="50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Independent Bank</w:t>
            </w:r>
          </w:p>
        </w:tc>
      </w:tr>
      <w:tr>
        <w:trPr>
          <w:trHeight w:val="234"/>
        </w:trPr>
        <w:tc>
          <w:tcPr>
            <w:tcW w:w="5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r>
      <w:tr>
        <w:trPr>
          <w:trHeight w:val="253"/>
        </w:trPr>
        <w:tc>
          <w:tcPr>
            <w:tcW w:w="50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0"/>
        </w:trPr>
        <w:tc>
          <w:tcPr>
            <w:tcW w:w="5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404,449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347,596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430,407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370,418</w:t>
            </w:r>
          </w:p>
        </w:tc>
      </w:tr>
      <w:tr>
        <w:trPr>
          <w:trHeight w:val="22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(deduct)</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7"/>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for regulatory purposes</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86,966</w:t>
            </w: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86,966</w:t>
            </w:r>
          </w:p>
        </w:tc>
      </w:tr>
      <w:tr>
        <w:trPr>
          <w:trHeight w:val="227"/>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(30,851)</w:t>
            </w:r>
          </w:p>
        </w:tc>
      </w:tr>
      <w:tr>
        <w:trPr>
          <w:trHeight w:val="227"/>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CECL (1)</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r>
      <w:tr>
        <w:trPr>
          <w:trHeight w:val="220"/>
        </w:trPr>
        <w:tc>
          <w:tcPr>
            <w:tcW w:w="5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Common equity tier 1 capital</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443,065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408,863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431,685</w:t>
            </w:r>
          </w:p>
        </w:tc>
      </w:tr>
      <w:tr>
        <w:trPr>
          <w:trHeight w:val="227"/>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Qualifying trust preferred securities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5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Tier 1 capital</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481,569</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447,299</w:t>
            </w: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469,023</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431,685</w:t>
            </w:r>
          </w:p>
        </w:tc>
      </w:tr>
      <w:tr>
        <w:trPr>
          <w:trHeight w:val="227"/>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Subordinated debt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Allowance for credit losses and allowance for unfunded lending</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9"/>
        </w:trPr>
        <w:tc>
          <w:tcPr>
            <w:tcW w:w="50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commitments limited to 1.25% of total risk-weighted assets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52,403</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49,250</w:t>
            </w:r>
          </w:p>
        </w:tc>
        <w:tc>
          <w:tcPr>
            <w:tcW w:w="8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52,351</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49,201</w:t>
            </w:r>
          </w:p>
        </w:tc>
      </w:tr>
      <w:tr>
        <w:trPr>
          <w:trHeight w:val="245"/>
        </w:trPr>
        <w:tc>
          <w:tcPr>
            <w:tcW w:w="50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risk-based capital</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573,972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536,549</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521,374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480,886</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left="480" w:hanging="456"/>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elected the three years CECL transition method for regulatory purposes.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FAIR VALUE DISCLOSURES</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standard describes three levels of inputs that may be used to measure fair value:</w:t>
      </w:r>
    </w:p>
    <w:p>
      <w:pPr>
        <w:spacing w:after="0" w:line="220"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176"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176"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used the following methods and significant assumptions to estimate fair value:</w:t>
      </w:r>
    </w:p>
    <w:p>
      <w:pPr>
        <w:spacing w:after="0" w:line="218"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Where quoted market prices are available in an active market, securities are classified as Level 1 of the valuation hierarchy. We currently 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have any Level 1 securities. If quoted market prices are not available for the specific security, then fair values are estimated by (1) using quoted market prices of securities with similar characteristics,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7"/>
        <w:spacing w:after="0" w:line="254" w:lineRule="auto"/>
        <w:tabs>
          <w:tab w:leader="none" w:pos="2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 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spacing w:after="0" w:line="184" w:lineRule="exact"/>
        <w:rPr>
          <w:sz w:val="20"/>
          <w:szCs w:val="20"/>
          <w:color w:val="auto"/>
        </w:rPr>
      </w:pPr>
    </w:p>
    <w:p>
      <w:pPr>
        <w:jc w:val="both"/>
        <w:ind w:firstLine="320"/>
        <w:spacing w:after="0" w:line="263" w:lineRule="auto"/>
        <w:rPr>
          <w:sz w:val="20"/>
          <w:szCs w:val="20"/>
          <w:color w:val="auto"/>
        </w:rPr>
      </w:pPr>
      <w:r>
        <w:rPr>
          <w:rFonts w:ascii="Times New Roman" w:cs="Times New Roman" w:eastAsia="Times New Roman" w:hAnsi="Times New Roman"/>
          <w:sz w:val="18"/>
          <w:szCs w:val="18"/>
          <w:i w:val="1"/>
          <w:iCs w:val="1"/>
          <w:color w:val="auto"/>
        </w:rPr>
        <w:t>Loans held for sale</w:t>
      </w:r>
      <w:r>
        <w:rPr>
          <w:rFonts w:ascii="Times New Roman" w:cs="Times New Roman" w:eastAsia="Times New Roman" w:hAnsi="Times New Roman"/>
          <w:sz w:val="18"/>
          <w:szCs w:val="18"/>
          <w:color w:val="auto"/>
        </w:rPr>
        <w:t>: The fair value of mortgage loans held for sale, carried at fair value is based on agency cash window loan pricing for comparable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(recurring Level 2) and the fair value of mortgage loans held for sale carried at the lower of cost or fair value is based on a quoted sales price (non-recurring Level 1).</w:t>
      </w:r>
    </w:p>
    <w:p>
      <w:pPr>
        <w:spacing w:after="0" w:line="173"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i w:val="1"/>
          <w:iCs w:val="1"/>
          <w:color w:val="231F20"/>
        </w:rPr>
        <w:t xml:space="preserve">Collateral dependent </w:t>
      </w:r>
      <w:r>
        <w:rPr>
          <w:rFonts w:ascii="Times New Roman" w:cs="Times New Roman" w:eastAsia="Times New Roman" w:hAnsi="Times New Roman"/>
          <w:sz w:val="18"/>
          <w:szCs w:val="18"/>
          <w:i w:val="1"/>
          <w:iCs w:val="1"/>
          <w:color w:val="000000"/>
        </w:rPr>
        <w:t>loans with specific loss allocations based on collateral value</w:t>
      </w:r>
      <w:r>
        <w:rPr>
          <w:rFonts w:ascii="Times New Roman" w:cs="Times New Roman" w:eastAsia="Times New Roman" w:hAnsi="Times New Roman"/>
          <w:sz w:val="18"/>
          <w:szCs w:val="18"/>
          <w:color w:val="000000"/>
        </w:rPr>
        <w:t>: From time to time, certain collateral dependent loans will have an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ACL established. When the fair value of the collateral is based on an appraised value or when an appraised value is not available we record the collateral dependent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185" w:lineRule="exact"/>
        <w:rPr>
          <w:sz w:val="20"/>
          <w:szCs w:val="20"/>
          <w:color w:val="auto"/>
        </w:rPr>
      </w:pPr>
    </w:p>
    <w:p>
      <w:pPr>
        <w:jc w:val="both"/>
        <w:ind w:firstLine="320"/>
        <w:spacing w:after="0" w:line="252" w:lineRule="auto"/>
        <w:rPr>
          <w:sz w:val="20"/>
          <w:szCs w:val="20"/>
          <w:color w:val="auto"/>
        </w:rPr>
      </w:pPr>
      <w:r>
        <w:rPr>
          <w:rFonts w:ascii="Times New Roman" w:cs="Times New Roman" w:eastAsia="Times New Roman" w:hAnsi="Times New Roman"/>
          <w:sz w:val="18"/>
          <w:szCs w:val="18"/>
          <w:i w:val="1"/>
          <w:iCs w:val="1"/>
          <w:color w:val="auto"/>
        </w:rPr>
        <w:t>Other real estate</w:t>
      </w:r>
      <w:r>
        <w:rPr>
          <w:rFonts w:ascii="Times New Roman" w:cs="Times New Roman" w:eastAsia="Times New Roman" w:hAnsi="Times New Roman"/>
          <w:sz w:val="18"/>
          <w:szCs w:val="18"/>
          <w:color w:val="auto"/>
        </w:rPr>
        <w:t>: At the time of acquisition, other real estate is recorded at fair value, less estimated costs to sell, which becomes the property’s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Subsequent write-downs to reflect declines in value since the time of acquisition may occur from time to time and are recorded in net gains on other real estate and repossessed assets, which is part of non-interest expense - other in the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189" w:lineRule="exact"/>
        <w:rPr>
          <w:sz w:val="20"/>
          <w:szCs w:val="20"/>
          <w:color w:val="auto"/>
        </w:rPr>
      </w:pPr>
    </w:p>
    <w:p>
      <w:pPr>
        <w:jc w:val="both"/>
        <w:ind w:firstLine="320"/>
        <w:spacing w:after="0" w:line="251" w:lineRule="auto"/>
        <w:rPr>
          <w:sz w:val="20"/>
          <w:szCs w:val="20"/>
          <w:color w:val="auto"/>
        </w:rPr>
      </w:pPr>
      <w:r>
        <w:rPr>
          <w:rFonts w:ascii="Times New Roman" w:cs="Times New Roman" w:eastAsia="Times New Roman" w:hAnsi="Times New Roman"/>
          <w:sz w:val="18"/>
          <w:szCs w:val="18"/>
          <w:color w:val="auto"/>
        </w:rPr>
        <w:t>Appraisals for both collateral-dependent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188"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i w:val="1"/>
          <w:iCs w:val="1"/>
          <w:color w:val="auto"/>
        </w:rPr>
        <w:t>Capitalized mortgage loan servicing rights</w:t>
      </w:r>
      <w:r>
        <w:rPr>
          <w:rFonts w:ascii="Times New Roman" w:cs="Times New Roman" w:eastAsia="Times New Roman" w:hAnsi="Times New Roman"/>
          <w:sz w:val="18"/>
          <w:szCs w:val="18"/>
          <w:color w:val="auto"/>
        </w:rPr>
        <w:t>: The fair value of capitalized mortgage loan servicing rights is based on a valuation model used by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185"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The fair value of rate-lock mortgage loan commitments is based on agency cash window loan pricing for comparable assets and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mandatory commitments to sell mortgage loans is based on mortgage backed security pricing for comparable assets (recurring Level 2). The fair value of interest rate swap, interest rate cap, interest rate floor and swaption agreements are derived from proprietary models which utilize current market data. The significant fair value inputs can generally be observed in the market place and do not typically involve judgment by management (recurring Level 2).</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Assets and liabilities measured at fair value, including financial assets for which we have elected the fair value option,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jc w:val="center"/>
              <w:ind w:left="278"/>
              <w:spacing w:after="0"/>
              <w:rPr>
                <w:sz w:val="20"/>
                <w:szCs w:val="20"/>
                <w:color w:val="auto"/>
              </w:rPr>
            </w:pPr>
            <w:r>
              <w:rPr>
                <w:rFonts w:ascii="Times New Roman" w:cs="Times New Roman" w:eastAsia="Times New Roman" w:hAnsi="Times New Roman"/>
                <w:sz w:val="12"/>
                <w:szCs w:val="12"/>
                <w:b w:val="1"/>
                <w:bCs w:val="1"/>
                <w:color w:val="auto"/>
              </w:rPr>
              <w:t>Fair Value Measurements Using</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53"/>
        </w:trPr>
        <w:tc>
          <w:tcPr>
            <w:tcW w:w="5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jc w:val="center"/>
              <w:ind w:left="278"/>
              <w:spacing w:after="0"/>
              <w:rPr>
                <w:sz w:val="20"/>
                <w:szCs w:val="20"/>
                <w:color w:val="auto"/>
              </w:rPr>
            </w:pPr>
            <w:r>
              <w:rPr>
                <w:rFonts w:ascii="Times New Roman" w:cs="Times New Roman" w:eastAsia="Times New Roman" w:hAnsi="Times New Roman"/>
                <w:sz w:val="12"/>
                <w:szCs w:val="12"/>
                <w:b w:val="1"/>
                <w:bCs w:val="1"/>
                <w:color w:val="auto"/>
              </w:rPr>
              <w:t>Quoted Prices</w:t>
            </w: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47"/>
        </w:trPr>
        <w:tc>
          <w:tcPr>
            <w:tcW w:w="5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jc w:val="center"/>
              <w:ind w:left="278"/>
              <w:spacing w:after="0"/>
              <w:rPr>
                <w:sz w:val="20"/>
                <w:szCs w:val="20"/>
                <w:color w:val="auto"/>
              </w:rPr>
            </w:pPr>
            <w:r>
              <w:rPr>
                <w:rFonts w:ascii="Times New Roman" w:cs="Times New Roman" w:eastAsia="Times New Roman" w:hAnsi="Times New Roman"/>
                <w:sz w:val="12"/>
                <w:szCs w:val="12"/>
                <w:b w:val="1"/>
                <w:bCs w:val="1"/>
                <w:color w:val="auto"/>
              </w:rPr>
              <w:t>in Active</w:t>
            </w:r>
          </w:p>
        </w:tc>
        <w:tc>
          <w:tcPr>
            <w:tcW w:w="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7"/>
        </w:trPr>
        <w:tc>
          <w:tcPr>
            <w:tcW w:w="5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jc w:val="center"/>
              <w:ind w:left="258"/>
              <w:spacing w:after="0"/>
              <w:rPr>
                <w:sz w:val="20"/>
                <w:szCs w:val="20"/>
                <w:color w:val="auto"/>
              </w:rPr>
            </w:pPr>
            <w:r>
              <w:rPr>
                <w:rFonts w:ascii="Times New Roman" w:cs="Times New Roman" w:eastAsia="Times New Roman" w:hAnsi="Times New Roman"/>
                <w:sz w:val="12"/>
                <w:szCs w:val="12"/>
                <w:b w:val="1"/>
                <w:bCs w:val="1"/>
                <w:color w:val="auto"/>
              </w:rPr>
              <w:t>Markets</w:t>
            </w:r>
          </w:p>
        </w:tc>
        <w:tc>
          <w:tcPr>
            <w:tcW w:w="840" w:type="dxa"/>
            <w:vAlign w:val="bottom"/>
          </w:tcPr>
          <w:p>
            <w:pPr>
              <w:spacing w:after="0"/>
              <w:rPr>
                <w:sz w:val="12"/>
                <w:szCs w:val="12"/>
                <w:color w:val="auto"/>
              </w:rPr>
            </w:pPr>
          </w:p>
        </w:tc>
        <w:tc>
          <w:tcPr>
            <w:tcW w:w="1200" w:type="dxa"/>
            <w:vAlign w:val="bottom"/>
          </w:tcPr>
          <w:p>
            <w:pPr>
              <w:jc w:val="center"/>
              <w:ind w:right="438"/>
              <w:spacing w:after="0"/>
              <w:rPr>
                <w:sz w:val="20"/>
                <w:szCs w:val="20"/>
                <w:color w:val="auto"/>
              </w:rPr>
            </w:pPr>
            <w:r>
              <w:rPr>
                <w:rFonts w:ascii="Times New Roman" w:cs="Times New Roman" w:eastAsia="Times New Roman" w:hAnsi="Times New Roman"/>
                <w:sz w:val="12"/>
                <w:szCs w:val="12"/>
                <w:b w:val="1"/>
                <w:bCs w:val="1"/>
                <w:color w:val="auto"/>
              </w:rPr>
              <w:t>Significant</w:t>
            </w:r>
          </w:p>
        </w:tc>
        <w:tc>
          <w:tcPr>
            <w:tcW w:w="240" w:type="dxa"/>
            <w:vAlign w:val="bottom"/>
          </w:tcPr>
          <w:p>
            <w:pPr>
              <w:spacing w:after="0"/>
              <w:rPr>
                <w:sz w:val="12"/>
                <w:szCs w:val="12"/>
                <w:color w:val="auto"/>
              </w:rPr>
            </w:pPr>
          </w:p>
        </w:tc>
        <w:tc>
          <w:tcPr>
            <w:tcW w:w="1220" w:type="dxa"/>
            <w:vAlign w:val="bottom"/>
          </w:tcPr>
          <w:p>
            <w:pPr>
              <w:jc w:val="center"/>
              <w:ind w:right="198"/>
              <w:spacing w:after="0"/>
              <w:rPr>
                <w:sz w:val="20"/>
                <w:szCs w:val="20"/>
                <w:color w:val="auto"/>
              </w:rPr>
            </w:pPr>
            <w:r>
              <w:rPr>
                <w:rFonts w:ascii="Times New Roman" w:cs="Times New Roman" w:eastAsia="Times New Roman" w:hAnsi="Times New Roman"/>
                <w:sz w:val="12"/>
                <w:szCs w:val="12"/>
                <w:b w:val="1"/>
                <w:bCs w:val="1"/>
                <w:color w:val="auto"/>
              </w:rPr>
              <w:t>Significant</w:t>
            </w:r>
          </w:p>
        </w:tc>
      </w:tr>
      <w:tr>
        <w:trPr>
          <w:trHeight w:val="147"/>
        </w:trPr>
        <w:tc>
          <w:tcPr>
            <w:tcW w:w="5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jc w:val="center"/>
              <w:ind w:left="298"/>
              <w:spacing w:after="0"/>
              <w:rPr>
                <w:sz w:val="20"/>
                <w:szCs w:val="20"/>
                <w:color w:val="auto"/>
              </w:rPr>
            </w:pPr>
            <w:r>
              <w:rPr>
                <w:rFonts w:ascii="Times New Roman" w:cs="Times New Roman" w:eastAsia="Times New Roman" w:hAnsi="Times New Roman"/>
                <w:sz w:val="12"/>
                <w:szCs w:val="12"/>
                <w:b w:val="1"/>
                <w:bCs w:val="1"/>
                <w:color w:val="auto"/>
              </w:rPr>
              <w:t>for</w:t>
            </w:r>
          </w:p>
        </w:tc>
        <w:tc>
          <w:tcPr>
            <w:tcW w:w="840" w:type="dxa"/>
            <w:vAlign w:val="bottom"/>
          </w:tcPr>
          <w:p>
            <w:pPr>
              <w:spacing w:after="0"/>
              <w:rPr>
                <w:sz w:val="12"/>
                <w:szCs w:val="12"/>
                <w:color w:val="auto"/>
              </w:rPr>
            </w:pPr>
          </w:p>
        </w:tc>
        <w:tc>
          <w:tcPr>
            <w:tcW w:w="1200" w:type="dxa"/>
            <w:vAlign w:val="bottom"/>
          </w:tcPr>
          <w:p>
            <w:pPr>
              <w:jc w:val="center"/>
              <w:ind w:right="458"/>
              <w:spacing w:after="0"/>
              <w:rPr>
                <w:sz w:val="20"/>
                <w:szCs w:val="20"/>
                <w:color w:val="auto"/>
              </w:rPr>
            </w:pPr>
            <w:r>
              <w:rPr>
                <w:rFonts w:ascii="Times New Roman" w:cs="Times New Roman" w:eastAsia="Times New Roman" w:hAnsi="Times New Roman"/>
                <w:sz w:val="12"/>
                <w:szCs w:val="12"/>
                <w:b w:val="1"/>
                <w:bCs w:val="1"/>
                <w:color w:val="auto"/>
              </w:rPr>
              <w:t>Other</w:t>
            </w:r>
          </w:p>
        </w:tc>
        <w:tc>
          <w:tcPr>
            <w:tcW w:w="240" w:type="dxa"/>
            <w:vAlign w:val="bottom"/>
          </w:tcPr>
          <w:p>
            <w:pPr>
              <w:spacing w:after="0"/>
              <w:rPr>
                <w:sz w:val="12"/>
                <w:szCs w:val="12"/>
                <w:color w:val="auto"/>
              </w:rPr>
            </w:pPr>
          </w:p>
        </w:tc>
        <w:tc>
          <w:tcPr>
            <w:tcW w:w="1220" w:type="dxa"/>
            <w:vAlign w:val="bottom"/>
          </w:tcPr>
          <w:p>
            <w:pPr>
              <w:jc w:val="center"/>
              <w:ind w:right="198"/>
              <w:spacing w:after="0"/>
              <w:rPr>
                <w:sz w:val="20"/>
                <w:szCs w:val="20"/>
                <w:color w:val="auto"/>
              </w:rPr>
            </w:pPr>
            <w:r>
              <w:rPr>
                <w:rFonts w:ascii="Times New Roman" w:cs="Times New Roman" w:eastAsia="Times New Roman" w:hAnsi="Times New Roman"/>
                <w:sz w:val="12"/>
                <w:szCs w:val="12"/>
                <w:b w:val="1"/>
                <w:bCs w:val="1"/>
                <w:color w:val="auto"/>
              </w:rPr>
              <w:t>Un-</w:t>
            </w:r>
          </w:p>
        </w:tc>
      </w:tr>
      <w:tr>
        <w:trPr>
          <w:trHeight w:val="147"/>
        </w:trPr>
        <w:tc>
          <w:tcPr>
            <w:tcW w:w="5060" w:type="dxa"/>
            <w:vAlign w:val="bottom"/>
          </w:tcPr>
          <w:p>
            <w:pPr>
              <w:spacing w:after="0"/>
              <w:rPr>
                <w:sz w:val="12"/>
                <w:szCs w:val="12"/>
                <w:color w:val="auto"/>
              </w:rPr>
            </w:pPr>
          </w:p>
        </w:tc>
        <w:tc>
          <w:tcPr>
            <w:tcW w:w="1560" w:type="dxa"/>
            <w:vAlign w:val="bottom"/>
            <w:gridSpan w:val="2"/>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1120" w:type="dxa"/>
            <w:vAlign w:val="bottom"/>
          </w:tcPr>
          <w:p>
            <w:pPr>
              <w:jc w:val="center"/>
              <w:ind w:left="278"/>
              <w:spacing w:after="0"/>
              <w:rPr>
                <w:sz w:val="20"/>
                <w:szCs w:val="20"/>
                <w:color w:val="auto"/>
              </w:rPr>
            </w:pPr>
            <w:r>
              <w:rPr>
                <w:rFonts w:ascii="Times New Roman" w:cs="Times New Roman" w:eastAsia="Times New Roman" w:hAnsi="Times New Roman"/>
                <w:sz w:val="12"/>
                <w:szCs w:val="12"/>
                <w:b w:val="1"/>
                <w:bCs w:val="1"/>
                <w:color w:val="auto"/>
              </w:rPr>
              <w:t>Identical</w:t>
            </w:r>
          </w:p>
        </w:tc>
        <w:tc>
          <w:tcPr>
            <w:tcW w:w="840" w:type="dxa"/>
            <w:vAlign w:val="bottom"/>
          </w:tcPr>
          <w:p>
            <w:pPr>
              <w:spacing w:after="0"/>
              <w:rPr>
                <w:sz w:val="12"/>
                <w:szCs w:val="12"/>
                <w:color w:val="auto"/>
              </w:rPr>
            </w:pPr>
          </w:p>
        </w:tc>
        <w:tc>
          <w:tcPr>
            <w:tcW w:w="1200" w:type="dxa"/>
            <w:vAlign w:val="bottom"/>
          </w:tcPr>
          <w:p>
            <w:pPr>
              <w:jc w:val="center"/>
              <w:ind w:right="438"/>
              <w:spacing w:after="0"/>
              <w:rPr>
                <w:sz w:val="20"/>
                <w:szCs w:val="20"/>
                <w:color w:val="auto"/>
              </w:rPr>
            </w:pPr>
            <w:r>
              <w:rPr>
                <w:rFonts w:ascii="Times New Roman" w:cs="Times New Roman" w:eastAsia="Times New Roman" w:hAnsi="Times New Roman"/>
                <w:sz w:val="12"/>
                <w:szCs w:val="12"/>
                <w:b w:val="1"/>
                <w:bCs w:val="1"/>
                <w:color w:val="auto"/>
              </w:rPr>
              <w:t>Observable</w:t>
            </w:r>
          </w:p>
        </w:tc>
        <w:tc>
          <w:tcPr>
            <w:tcW w:w="240" w:type="dxa"/>
            <w:vAlign w:val="bottom"/>
          </w:tcPr>
          <w:p>
            <w:pPr>
              <w:spacing w:after="0"/>
              <w:rPr>
                <w:sz w:val="12"/>
                <w:szCs w:val="12"/>
                <w:color w:val="auto"/>
              </w:rPr>
            </w:pPr>
          </w:p>
        </w:tc>
        <w:tc>
          <w:tcPr>
            <w:tcW w:w="1220" w:type="dxa"/>
            <w:vAlign w:val="bottom"/>
          </w:tcPr>
          <w:p>
            <w:pPr>
              <w:jc w:val="center"/>
              <w:ind w:right="198"/>
              <w:spacing w:after="0"/>
              <w:rPr>
                <w:sz w:val="20"/>
                <w:szCs w:val="20"/>
                <w:color w:val="auto"/>
              </w:rPr>
            </w:pPr>
            <w:r>
              <w:rPr>
                <w:rFonts w:ascii="Times New Roman" w:cs="Times New Roman" w:eastAsia="Times New Roman" w:hAnsi="Times New Roman"/>
                <w:sz w:val="12"/>
                <w:szCs w:val="12"/>
                <w:b w:val="1"/>
                <w:bCs w:val="1"/>
                <w:color w:val="auto"/>
              </w:rPr>
              <w:t>observable</w:t>
            </w:r>
          </w:p>
        </w:tc>
      </w:tr>
      <w:tr>
        <w:trPr>
          <w:trHeight w:val="147"/>
        </w:trPr>
        <w:tc>
          <w:tcPr>
            <w:tcW w:w="5060" w:type="dxa"/>
            <w:vAlign w:val="bottom"/>
          </w:tcPr>
          <w:p>
            <w:pPr>
              <w:spacing w:after="0"/>
              <w:rPr>
                <w:sz w:val="12"/>
                <w:szCs w:val="12"/>
                <w:color w:val="auto"/>
              </w:rPr>
            </w:pPr>
          </w:p>
        </w:tc>
        <w:tc>
          <w:tcPr>
            <w:tcW w:w="980" w:type="dxa"/>
            <w:vAlign w:val="bottom"/>
          </w:tcPr>
          <w:p>
            <w:pPr>
              <w:jc w:val="center"/>
              <w:ind w:left="418"/>
              <w:spacing w:after="0"/>
              <w:rPr>
                <w:sz w:val="20"/>
                <w:szCs w:val="20"/>
                <w:color w:val="auto"/>
              </w:rPr>
            </w:pPr>
            <w:r>
              <w:rPr>
                <w:rFonts w:ascii="Times New Roman" w:cs="Times New Roman" w:eastAsia="Times New Roman" w:hAnsi="Times New Roman"/>
                <w:sz w:val="12"/>
                <w:szCs w:val="12"/>
                <w:b w:val="1"/>
                <w:bCs w:val="1"/>
                <w:color w:val="auto"/>
              </w:rPr>
              <w:t>Measure-</w:t>
            </w:r>
          </w:p>
        </w:tc>
        <w:tc>
          <w:tcPr>
            <w:tcW w:w="580" w:type="dxa"/>
            <w:vAlign w:val="bottom"/>
          </w:tcPr>
          <w:p>
            <w:pPr>
              <w:spacing w:after="0"/>
              <w:rPr>
                <w:sz w:val="12"/>
                <w:szCs w:val="12"/>
                <w:color w:val="auto"/>
              </w:rPr>
            </w:pPr>
          </w:p>
        </w:tc>
        <w:tc>
          <w:tcPr>
            <w:tcW w:w="1120" w:type="dxa"/>
            <w:vAlign w:val="bottom"/>
          </w:tcPr>
          <w:p>
            <w:pPr>
              <w:jc w:val="center"/>
              <w:ind w:left="278"/>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840" w:type="dxa"/>
            <w:vAlign w:val="bottom"/>
          </w:tcPr>
          <w:p>
            <w:pPr>
              <w:spacing w:after="0"/>
              <w:rPr>
                <w:sz w:val="12"/>
                <w:szCs w:val="12"/>
                <w:color w:val="auto"/>
              </w:rPr>
            </w:pPr>
          </w:p>
        </w:tc>
        <w:tc>
          <w:tcPr>
            <w:tcW w:w="1200" w:type="dxa"/>
            <w:vAlign w:val="bottom"/>
          </w:tcPr>
          <w:p>
            <w:pPr>
              <w:jc w:val="center"/>
              <w:ind w:right="438"/>
              <w:spacing w:after="0"/>
              <w:rPr>
                <w:sz w:val="20"/>
                <w:szCs w:val="20"/>
                <w:color w:val="auto"/>
              </w:rPr>
            </w:pPr>
            <w:r>
              <w:rPr>
                <w:rFonts w:ascii="Times New Roman" w:cs="Times New Roman" w:eastAsia="Times New Roman" w:hAnsi="Times New Roman"/>
                <w:sz w:val="12"/>
                <w:szCs w:val="12"/>
                <w:b w:val="1"/>
                <w:bCs w:val="1"/>
                <w:color w:val="auto"/>
              </w:rPr>
              <w:t>Inputs</w:t>
            </w:r>
          </w:p>
        </w:tc>
        <w:tc>
          <w:tcPr>
            <w:tcW w:w="240" w:type="dxa"/>
            <w:vAlign w:val="bottom"/>
          </w:tcPr>
          <w:p>
            <w:pPr>
              <w:spacing w:after="0"/>
              <w:rPr>
                <w:sz w:val="12"/>
                <w:szCs w:val="12"/>
                <w:color w:val="auto"/>
              </w:rPr>
            </w:pPr>
          </w:p>
        </w:tc>
        <w:tc>
          <w:tcPr>
            <w:tcW w:w="1220" w:type="dxa"/>
            <w:vAlign w:val="bottom"/>
          </w:tcPr>
          <w:p>
            <w:pPr>
              <w:jc w:val="center"/>
              <w:ind w:right="198"/>
              <w:spacing w:after="0"/>
              <w:rPr>
                <w:sz w:val="20"/>
                <w:szCs w:val="20"/>
                <w:color w:val="auto"/>
              </w:rPr>
            </w:pPr>
            <w:r>
              <w:rPr>
                <w:rFonts w:ascii="Times New Roman" w:cs="Times New Roman" w:eastAsia="Times New Roman" w:hAnsi="Times New Roman"/>
                <w:sz w:val="12"/>
                <w:szCs w:val="12"/>
                <w:b w:val="1"/>
                <w:bCs w:val="1"/>
                <w:color w:val="auto"/>
              </w:rPr>
              <w:t>Inputs</w:t>
            </w:r>
          </w:p>
        </w:tc>
      </w:tr>
      <w:tr>
        <w:trPr>
          <w:trHeight w:val="178"/>
        </w:trPr>
        <w:tc>
          <w:tcPr>
            <w:tcW w:w="5060" w:type="dxa"/>
            <w:vAlign w:val="bottom"/>
          </w:tcPr>
          <w:p>
            <w:pPr>
              <w:spacing w:after="0"/>
              <w:rPr>
                <w:sz w:val="15"/>
                <w:szCs w:val="15"/>
                <w:color w:val="auto"/>
              </w:rPr>
            </w:pPr>
          </w:p>
        </w:tc>
        <w:tc>
          <w:tcPr>
            <w:tcW w:w="980" w:type="dxa"/>
            <w:vAlign w:val="bottom"/>
          </w:tcPr>
          <w:p>
            <w:pPr>
              <w:jc w:val="center"/>
              <w:ind w:left="398"/>
              <w:spacing w:after="0"/>
              <w:rPr>
                <w:sz w:val="20"/>
                <w:szCs w:val="20"/>
                <w:color w:val="auto"/>
              </w:rPr>
            </w:pPr>
            <w:r>
              <w:rPr>
                <w:rFonts w:ascii="Times New Roman" w:cs="Times New Roman" w:eastAsia="Times New Roman" w:hAnsi="Times New Roman"/>
                <w:sz w:val="12"/>
                <w:szCs w:val="12"/>
                <w:b w:val="1"/>
                <w:bCs w:val="1"/>
                <w:color w:val="auto"/>
              </w:rPr>
              <w:t>ments</w:t>
            </w:r>
          </w:p>
        </w:tc>
        <w:tc>
          <w:tcPr>
            <w:tcW w:w="580" w:type="dxa"/>
            <w:vAlign w:val="bottom"/>
          </w:tcPr>
          <w:p>
            <w:pPr>
              <w:spacing w:after="0"/>
              <w:rPr>
                <w:sz w:val="15"/>
                <w:szCs w:val="15"/>
                <w:color w:val="auto"/>
              </w:rPr>
            </w:pPr>
          </w:p>
        </w:tc>
        <w:tc>
          <w:tcPr>
            <w:tcW w:w="1120" w:type="dxa"/>
            <w:vAlign w:val="bottom"/>
          </w:tcPr>
          <w:p>
            <w:pPr>
              <w:jc w:val="center"/>
              <w:ind w:left="278"/>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840" w:type="dxa"/>
            <w:vAlign w:val="bottom"/>
          </w:tcPr>
          <w:p>
            <w:pPr>
              <w:spacing w:after="0"/>
              <w:rPr>
                <w:sz w:val="15"/>
                <w:szCs w:val="15"/>
                <w:color w:val="auto"/>
              </w:rPr>
            </w:pPr>
          </w:p>
        </w:tc>
        <w:tc>
          <w:tcPr>
            <w:tcW w:w="1200" w:type="dxa"/>
            <w:vAlign w:val="bottom"/>
          </w:tcPr>
          <w:p>
            <w:pPr>
              <w:jc w:val="center"/>
              <w:ind w:right="438"/>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240" w:type="dxa"/>
            <w:vAlign w:val="bottom"/>
          </w:tcPr>
          <w:p>
            <w:pPr>
              <w:spacing w:after="0"/>
              <w:rPr>
                <w:sz w:val="15"/>
                <w:szCs w:val="15"/>
                <w:color w:val="auto"/>
              </w:rPr>
            </w:pPr>
          </w:p>
        </w:tc>
        <w:tc>
          <w:tcPr>
            <w:tcW w:w="1220" w:type="dxa"/>
            <w:vAlign w:val="bottom"/>
          </w:tcPr>
          <w:p>
            <w:pPr>
              <w:jc w:val="center"/>
              <w:ind w:right="198"/>
              <w:spacing w:after="0"/>
              <w:rPr>
                <w:sz w:val="20"/>
                <w:szCs w:val="20"/>
                <w:color w:val="auto"/>
              </w:rPr>
            </w:pPr>
            <w:r>
              <w:rPr>
                <w:rFonts w:ascii="Times New Roman" w:cs="Times New Roman" w:eastAsia="Times New Roman" w:hAnsi="Times New Roman"/>
                <w:sz w:val="12"/>
                <w:szCs w:val="12"/>
                <w:b w:val="1"/>
                <w:bCs w:val="1"/>
                <w:color w:val="auto"/>
              </w:rPr>
              <w:t>(Level 3)</w:t>
            </w:r>
          </w:p>
        </w:tc>
      </w:tr>
      <w:tr>
        <w:trPr>
          <w:trHeight w:val="29"/>
        </w:trPr>
        <w:tc>
          <w:tcPr>
            <w:tcW w:w="5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58"/>
        </w:trPr>
        <w:tc>
          <w:tcPr>
            <w:tcW w:w="5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75"/>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December 31, 2023:</w:t>
            </w: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63"/>
        </w:trPr>
        <w:tc>
          <w:tcPr>
            <w:tcW w:w="5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Measured at Fair Value on a Recurring Basis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9"/>
        </w:trPr>
        <w:tc>
          <w:tcPr>
            <w:tcW w:w="5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Assets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1"/>
        </w:trPr>
        <w:tc>
          <w:tcPr>
            <w:tcW w:w="506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Securities available for sale</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1"/>
        </w:trPr>
        <w:tc>
          <w:tcPr>
            <w:tcW w:w="5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U.S. agency</w:t>
            </w:r>
          </w:p>
        </w:tc>
        <w:tc>
          <w:tcPr>
            <w:tcW w:w="980" w:type="dxa"/>
            <w:vAlign w:val="bottom"/>
            <w:shd w:val="clear" w:color="auto" w:fill="CCEEFF"/>
          </w:tcPr>
          <w:p>
            <w:pPr>
              <w:jc w:val="right"/>
              <w:ind w:right="83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9,507</w:t>
            </w:r>
          </w:p>
        </w:tc>
        <w:tc>
          <w:tcPr>
            <w:tcW w:w="1120" w:type="dxa"/>
            <w:vAlign w:val="bottom"/>
            <w:shd w:val="clear" w:color="auto" w:fill="CCEEFF"/>
          </w:tcPr>
          <w:p>
            <w:pPr>
              <w:jc w:val="right"/>
              <w:ind w:right="978"/>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   $</w:t>
            </w:r>
          </w:p>
        </w:tc>
        <w:tc>
          <w:tcPr>
            <w:tcW w:w="12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9,507</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506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U.S. agency residential mortgage-backed</w:t>
            </w:r>
          </w:p>
        </w:tc>
        <w:tc>
          <w:tcPr>
            <w:tcW w:w="980" w:type="dxa"/>
            <w:vAlign w:val="bottom"/>
          </w:tcPr>
          <w:p>
            <w:pPr>
              <w:spacing w:after="0"/>
              <w:rPr>
                <w:sz w:val="14"/>
                <w:szCs w:val="14"/>
                <w:color w:val="auto"/>
              </w:rPr>
            </w:pPr>
          </w:p>
        </w:tc>
        <w:tc>
          <w:tcPr>
            <w:tcW w:w="5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81,217</w:t>
            </w:r>
          </w:p>
        </w:tc>
        <w:tc>
          <w:tcPr>
            <w:tcW w:w="112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81,217</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9"/>
        </w:trPr>
        <w:tc>
          <w:tcPr>
            <w:tcW w:w="5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U.S. agency commercial mortgage-backed</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12,297</w:t>
            </w: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12,297</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506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Private label mortgage-backed</w:t>
            </w:r>
          </w:p>
        </w:tc>
        <w:tc>
          <w:tcPr>
            <w:tcW w:w="980" w:type="dxa"/>
            <w:vAlign w:val="bottom"/>
          </w:tcPr>
          <w:p>
            <w:pPr>
              <w:spacing w:after="0"/>
              <w:rPr>
                <w:sz w:val="14"/>
                <w:szCs w:val="14"/>
                <w:color w:val="auto"/>
              </w:rPr>
            </w:pPr>
          </w:p>
        </w:tc>
        <w:tc>
          <w:tcPr>
            <w:tcW w:w="5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86,469</w:t>
            </w:r>
          </w:p>
        </w:tc>
        <w:tc>
          <w:tcPr>
            <w:tcW w:w="112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86,469</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9"/>
        </w:trPr>
        <w:tc>
          <w:tcPr>
            <w:tcW w:w="5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Other asset backed</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112,931</w:t>
            </w: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112,931</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506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Obligations of states and political subdivisions</w:t>
            </w:r>
          </w:p>
        </w:tc>
        <w:tc>
          <w:tcPr>
            <w:tcW w:w="980" w:type="dxa"/>
            <w:vAlign w:val="bottom"/>
          </w:tcPr>
          <w:p>
            <w:pPr>
              <w:spacing w:after="0"/>
              <w:rPr>
                <w:sz w:val="14"/>
                <w:szCs w:val="14"/>
                <w:color w:val="auto"/>
              </w:rPr>
            </w:pPr>
          </w:p>
        </w:tc>
        <w:tc>
          <w:tcPr>
            <w:tcW w:w="5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302,737</w:t>
            </w:r>
          </w:p>
        </w:tc>
        <w:tc>
          <w:tcPr>
            <w:tcW w:w="112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302,737</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9"/>
        </w:trPr>
        <w:tc>
          <w:tcPr>
            <w:tcW w:w="5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Corporate</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73,250</w:t>
            </w: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73,250</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506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Trust preferred</w:t>
            </w:r>
          </w:p>
        </w:tc>
        <w:tc>
          <w:tcPr>
            <w:tcW w:w="980" w:type="dxa"/>
            <w:vAlign w:val="bottom"/>
          </w:tcPr>
          <w:p>
            <w:pPr>
              <w:spacing w:after="0"/>
              <w:rPr>
                <w:sz w:val="14"/>
                <w:szCs w:val="14"/>
                <w:color w:val="auto"/>
              </w:rPr>
            </w:pPr>
          </w:p>
        </w:tc>
        <w:tc>
          <w:tcPr>
            <w:tcW w:w="5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942</w:t>
            </w:r>
          </w:p>
        </w:tc>
        <w:tc>
          <w:tcPr>
            <w:tcW w:w="112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942</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9"/>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Loans held for sale, carried at fair value</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12,063</w:t>
            </w: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12,063</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506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Capitalized mortgage loan servicing rights</w:t>
            </w:r>
          </w:p>
        </w:tc>
        <w:tc>
          <w:tcPr>
            <w:tcW w:w="980" w:type="dxa"/>
            <w:vAlign w:val="bottom"/>
          </w:tcPr>
          <w:p>
            <w:pPr>
              <w:spacing w:after="0"/>
              <w:rPr>
                <w:sz w:val="14"/>
                <w:szCs w:val="14"/>
                <w:color w:val="auto"/>
              </w:rPr>
            </w:pPr>
          </w:p>
        </w:tc>
        <w:tc>
          <w:tcPr>
            <w:tcW w:w="5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42,243</w:t>
            </w:r>
          </w:p>
        </w:tc>
        <w:tc>
          <w:tcPr>
            <w:tcW w:w="112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42,243</w:t>
            </w:r>
          </w:p>
        </w:tc>
      </w:tr>
      <w:tr>
        <w:trPr>
          <w:trHeight w:val="179"/>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Derivatives (1)</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38,683</w:t>
            </w: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38,683</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5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Liabilities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9"/>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Derivatives (2)</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21,835</w:t>
            </w: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21,835</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53"/>
        </w:trPr>
        <w:tc>
          <w:tcPr>
            <w:tcW w:w="5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17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Measured at Fair Value on a Non-recurring Basis: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68"/>
        </w:trPr>
        <w:tc>
          <w:tcPr>
            <w:tcW w:w="5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Assets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9"/>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Collateral dependent loans (3)</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68"/>
        </w:trPr>
        <w:tc>
          <w:tcPr>
            <w:tcW w:w="506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Commercial</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9"/>
        </w:trPr>
        <w:tc>
          <w:tcPr>
            <w:tcW w:w="5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rPr>
              <w:t>Commercial and industrial</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551</w:t>
            </w: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w:t>
            </w:r>
          </w:p>
        </w:tc>
      </w:tr>
      <w:tr>
        <w:trPr>
          <w:trHeight w:val="168"/>
        </w:trPr>
        <w:tc>
          <w:tcPr>
            <w:tcW w:w="506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Mortgage</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9"/>
        </w:trPr>
        <w:tc>
          <w:tcPr>
            <w:tcW w:w="5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rPr>
              <w:t>1-4 family owner occupied - non-jumbo</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732</w:t>
            </w: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732</w:t>
            </w:r>
          </w:p>
        </w:tc>
      </w:tr>
      <w:tr>
        <w:trPr>
          <w:trHeight w:val="168"/>
        </w:trPr>
        <w:tc>
          <w:tcPr>
            <w:tcW w:w="5060" w:type="dxa"/>
            <w:vAlign w:val="bottom"/>
          </w:tcPr>
          <w:p>
            <w:pPr>
              <w:ind w:left="740"/>
              <w:spacing w:after="0"/>
              <w:rPr>
                <w:sz w:val="20"/>
                <w:szCs w:val="20"/>
                <w:color w:val="auto"/>
              </w:rPr>
            </w:pPr>
            <w:r>
              <w:rPr>
                <w:rFonts w:ascii="Times New Roman" w:cs="Times New Roman" w:eastAsia="Times New Roman" w:hAnsi="Times New Roman"/>
                <w:sz w:val="12"/>
                <w:szCs w:val="12"/>
                <w:color w:val="auto"/>
              </w:rPr>
              <w:t>1-4 family non-owner occupied</w:t>
            </w:r>
          </w:p>
        </w:tc>
        <w:tc>
          <w:tcPr>
            <w:tcW w:w="980" w:type="dxa"/>
            <w:vAlign w:val="bottom"/>
          </w:tcPr>
          <w:p>
            <w:pPr>
              <w:spacing w:after="0"/>
              <w:rPr>
                <w:sz w:val="14"/>
                <w:szCs w:val="14"/>
                <w:color w:val="auto"/>
              </w:rPr>
            </w:pPr>
          </w:p>
        </w:tc>
        <w:tc>
          <w:tcPr>
            <w:tcW w:w="5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33</w:t>
            </w:r>
          </w:p>
        </w:tc>
        <w:tc>
          <w:tcPr>
            <w:tcW w:w="112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79"/>
        </w:trPr>
        <w:tc>
          <w:tcPr>
            <w:tcW w:w="5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rPr>
              <w:t>1-4 family - 2nd lien</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157</w:t>
            </w: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w:t>
            </w:r>
          </w:p>
        </w:tc>
      </w:tr>
      <w:tr>
        <w:trPr>
          <w:trHeight w:val="168"/>
        </w:trPr>
        <w:tc>
          <w:tcPr>
            <w:tcW w:w="5060" w:type="dxa"/>
            <w:vAlign w:val="bottom"/>
          </w:tcPr>
          <w:p>
            <w:pPr>
              <w:ind w:left="740"/>
              <w:spacing w:after="0"/>
              <w:rPr>
                <w:sz w:val="20"/>
                <w:szCs w:val="20"/>
                <w:color w:val="auto"/>
              </w:rPr>
            </w:pPr>
            <w:r>
              <w:rPr>
                <w:rFonts w:ascii="Times New Roman" w:cs="Times New Roman" w:eastAsia="Times New Roman" w:hAnsi="Times New Roman"/>
                <w:sz w:val="12"/>
                <w:szCs w:val="12"/>
                <w:color w:val="auto"/>
              </w:rPr>
              <w:t>Resort lending</w:t>
            </w:r>
          </w:p>
        </w:tc>
        <w:tc>
          <w:tcPr>
            <w:tcW w:w="980" w:type="dxa"/>
            <w:vAlign w:val="bottom"/>
          </w:tcPr>
          <w:p>
            <w:pPr>
              <w:spacing w:after="0"/>
              <w:rPr>
                <w:sz w:val="14"/>
                <w:szCs w:val="14"/>
                <w:color w:val="auto"/>
              </w:rPr>
            </w:pPr>
          </w:p>
        </w:tc>
        <w:tc>
          <w:tcPr>
            <w:tcW w:w="5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92</w:t>
            </w:r>
          </w:p>
        </w:tc>
        <w:tc>
          <w:tcPr>
            <w:tcW w:w="112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r>
      <w:tr>
        <w:trPr>
          <w:trHeight w:val="179"/>
        </w:trPr>
        <w:tc>
          <w:tcPr>
            <w:tcW w:w="5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Installment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68"/>
        </w:trPr>
        <w:tc>
          <w:tcPr>
            <w:tcW w:w="5060" w:type="dxa"/>
            <w:vAlign w:val="bottom"/>
          </w:tcPr>
          <w:p>
            <w:pPr>
              <w:ind w:left="740"/>
              <w:spacing w:after="0"/>
              <w:rPr>
                <w:sz w:val="20"/>
                <w:szCs w:val="20"/>
                <w:color w:val="auto"/>
              </w:rPr>
            </w:pPr>
            <w:r>
              <w:rPr>
                <w:rFonts w:ascii="Times New Roman" w:cs="Times New Roman" w:eastAsia="Times New Roman" w:hAnsi="Times New Roman"/>
                <w:sz w:val="12"/>
                <w:szCs w:val="12"/>
                <w:color w:val="auto"/>
              </w:rPr>
              <w:t>Boat lending</w:t>
            </w:r>
          </w:p>
        </w:tc>
        <w:tc>
          <w:tcPr>
            <w:tcW w:w="980" w:type="dxa"/>
            <w:vAlign w:val="bottom"/>
          </w:tcPr>
          <w:p>
            <w:pPr>
              <w:spacing w:after="0"/>
              <w:rPr>
                <w:sz w:val="14"/>
                <w:szCs w:val="14"/>
                <w:color w:val="auto"/>
              </w:rPr>
            </w:pPr>
          </w:p>
        </w:tc>
        <w:tc>
          <w:tcPr>
            <w:tcW w:w="5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192</w:t>
            </w:r>
          </w:p>
        </w:tc>
        <w:tc>
          <w:tcPr>
            <w:tcW w:w="112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w:t>
            </w:r>
          </w:p>
        </w:tc>
      </w:tr>
      <w:tr>
        <w:trPr>
          <w:trHeight w:val="179"/>
        </w:trPr>
        <w:tc>
          <w:tcPr>
            <w:tcW w:w="5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rPr>
              <w:t>Recreational vehicle lending</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196</w:t>
            </w:r>
          </w:p>
        </w:tc>
        <w:tc>
          <w:tcPr>
            <w:tcW w:w="1120" w:type="dxa"/>
            <w:vAlign w:val="bottom"/>
            <w:shd w:val="clear" w:color="auto" w:fill="CCEEFF"/>
          </w:tcPr>
          <w:p>
            <w:pPr>
              <w:spacing w:after="0"/>
              <w:rPr>
                <w:sz w:val="15"/>
                <w:szCs w:val="15"/>
                <w:color w:val="auto"/>
              </w:rPr>
            </w:pP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w:t>
            </w:r>
          </w:p>
        </w:tc>
      </w:tr>
      <w:tr>
        <w:trPr>
          <w:trHeight w:val="163"/>
        </w:trPr>
        <w:tc>
          <w:tcPr>
            <w:tcW w:w="5060" w:type="dxa"/>
            <w:vAlign w:val="bottom"/>
          </w:tcPr>
          <w:p>
            <w:pPr>
              <w:ind w:left="740"/>
              <w:spacing w:after="0"/>
              <w:rPr>
                <w:sz w:val="20"/>
                <w:szCs w:val="20"/>
                <w:color w:val="auto"/>
              </w:rPr>
            </w:pPr>
            <w:r>
              <w:rPr>
                <w:rFonts w:ascii="Times New Roman" w:cs="Times New Roman" w:eastAsia="Times New Roman" w:hAnsi="Times New Roman"/>
                <w:sz w:val="12"/>
                <w:szCs w:val="12"/>
                <w:color w:val="auto"/>
              </w:rPr>
              <w:t>Other</w:t>
            </w:r>
          </w:p>
        </w:tc>
        <w:tc>
          <w:tcPr>
            <w:tcW w:w="980" w:type="dxa"/>
            <w:vAlign w:val="bottom"/>
          </w:tcPr>
          <w:p>
            <w:pPr>
              <w:spacing w:after="0"/>
              <w:rPr>
                <w:sz w:val="14"/>
                <w:szCs w:val="14"/>
                <w:color w:val="auto"/>
              </w:rPr>
            </w:pPr>
          </w:p>
        </w:tc>
        <w:tc>
          <w:tcPr>
            <w:tcW w:w="5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66</w:t>
            </w:r>
          </w:p>
        </w:tc>
        <w:tc>
          <w:tcPr>
            <w:tcW w:w="112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3" w:lineRule="exact"/>
        <w:rPr>
          <w:sz w:val="20"/>
          <w:szCs w:val="20"/>
          <w:color w:val="auto"/>
        </w:rPr>
      </w:pPr>
    </w:p>
    <w:p>
      <w:pPr>
        <w:ind w:left="480" w:hanging="456"/>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 in the Consolidated Statements of Financial Condition.</w:t>
      </w:r>
    </w:p>
    <w:p>
      <w:pPr>
        <w:spacing w:after="0" w:line="153" w:lineRule="exact"/>
        <w:rPr>
          <w:rFonts w:ascii="Times New Roman" w:cs="Times New Roman" w:eastAsia="Times New Roman" w:hAnsi="Times New Roman"/>
          <w:sz w:val="18"/>
          <w:szCs w:val="18"/>
          <w:color w:val="auto"/>
        </w:rPr>
      </w:pPr>
    </w:p>
    <w:p>
      <w:pPr>
        <w:ind w:left="480" w:hanging="456"/>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expenses and other liabilities in the Consolidated Statements of Financial Condition.</w:t>
      </w:r>
    </w:p>
    <w:p>
      <w:pPr>
        <w:spacing w:after="0" w:line="166" w:lineRule="exact"/>
        <w:rPr>
          <w:rFonts w:ascii="Times New Roman" w:cs="Times New Roman" w:eastAsia="Times New Roman" w:hAnsi="Times New Roman"/>
          <w:sz w:val="18"/>
          <w:szCs w:val="18"/>
          <w:color w:val="auto"/>
        </w:rPr>
      </w:pPr>
    </w:p>
    <w:p>
      <w:pPr>
        <w:ind w:left="480" w:hanging="456"/>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includes individually evaluated loans with specific loss allocations based on collateral value.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0" w:type="dxa"/>
            <w:vAlign w:val="bottom"/>
            <w:gridSpan w:val="3"/>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200" w:type="dxa"/>
            <w:vAlign w:val="bottom"/>
          </w:tcPr>
          <w:p>
            <w:pPr>
              <w:spacing w:after="0"/>
              <w:rPr>
                <w:sz w:val="16"/>
                <w:szCs w:val="16"/>
                <w:color w:val="auto"/>
              </w:rPr>
            </w:pPr>
          </w:p>
        </w:tc>
      </w:tr>
      <w:tr>
        <w:trPr>
          <w:trHeight w:val="25"/>
        </w:trPr>
        <w:tc>
          <w:tcPr>
            <w:tcW w:w="5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9"/>
        </w:trPr>
        <w:tc>
          <w:tcPr>
            <w:tcW w:w="5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0" w:type="dxa"/>
            <w:vAlign w:val="bottom"/>
            <w:gridSpan w:val="2"/>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3"/>
        </w:trPr>
        <w:tc>
          <w:tcPr>
            <w:tcW w:w="5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60"/>
        </w:trPr>
        <w:tc>
          <w:tcPr>
            <w:tcW w:w="5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w w:val="98"/>
              </w:rPr>
              <w:t>Markets</w:t>
            </w:r>
          </w:p>
        </w:tc>
        <w:tc>
          <w:tcPr>
            <w:tcW w:w="780" w:type="dxa"/>
            <w:vAlign w:val="bottom"/>
          </w:tcPr>
          <w:p>
            <w:pPr>
              <w:spacing w:after="0"/>
              <w:rPr>
                <w:sz w:val="13"/>
                <w:szCs w:val="13"/>
                <w:color w:val="auto"/>
              </w:rPr>
            </w:pPr>
          </w:p>
        </w:tc>
        <w:tc>
          <w:tcPr>
            <w:tcW w:w="128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3"/>
                <w:szCs w:val="13"/>
                <w:color w:val="auto"/>
              </w:rPr>
            </w:pPr>
          </w:p>
        </w:tc>
        <w:tc>
          <w:tcPr>
            <w:tcW w:w="120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r>
      <w:tr>
        <w:trPr>
          <w:trHeight w:val="173"/>
        </w:trPr>
        <w:tc>
          <w:tcPr>
            <w:tcW w:w="5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for</w:t>
            </w:r>
          </w:p>
        </w:tc>
        <w:tc>
          <w:tcPr>
            <w:tcW w:w="780" w:type="dxa"/>
            <w:vAlign w:val="bottom"/>
          </w:tcPr>
          <w:p>
            <w:pPr>
              <w:spacing w:after="0"/>
              <w:rPr>
                <w:sz w:val="15"/>
                <w:szCs w:val="15"/>
                <w:color w:val="auto"/>
              </w:rPr>
            </w:pPr>
          </w:p>
        </w:tc>
        <w:tc>
          <w:tcPr>
            <w:tcW w:w="128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5"/>
                <w:szCs w:val="15"/>
                <w:color w:val="auto"/>
              </w:rPr>
            </w:pPr>
          </w:p>
        </w:tc>
        <w:tc>
          <w:tcPr>
            <w:tcW w:w="120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Un-</w:t>
            </w:r>
          </w:p>
        </w:tc>
      </w:tr>
      <w:tr>
        <w:trPr>
          <w:trHeight w:val="173"/>
        </w:trPr>
        <w:tc>
          <w:tcPr>
            <w:tcW w:w="5060" w:type="dxa"/>
            <w:vAlign w:val="bottom"/>
          </w:tcPr>
          <w:p>
            <w:pPr>
              <w:spacing w:after="0"/>
              <w:rPr>
                <w:sz w:val="15"/>
                <w:szCs w:val="15"/>
                <w:color w:val="auto"/>
              </w:rPr>
            </w:pPr>
          </w:p>
        </w:tc>
        <w:tc>
          <w:tcPr>
            <w:tcW w:w="1560" w:type="dxa"/>
            <w:vAlign w:val="bottom"/>
            <w:gridSpan w:val="2"/>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20" w:type="dxa"/>
            <w:vAlign w:val="bottom"/>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Identical</w:t>
            </w:r>
          </w:p>
        </w:tc>
        <w:tc>
          <w:tcPr>
            <w:tcW w:w="780" w:type="dxa"/>
            <w:vAlign w:val="bottom"/>
          </w:tcPr>
          <w:p>
            <w:pPr>
              <w:spacing w:after="0"/>
              <w:rPr>
                <w:sz w:val="15"/>
                <w:szCs w:val="15"/>
                <w:color w:val="auto"/>
              </w:rPr>
            </w:pPr>
          </w:p>
        </w:tc>
        <w:tc>
          <w:tcPr>
            <w:tcW w:w="128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340" w:type="dxa"/>
            <w:vAlign w:val="bottom"/>
          </w:tcPr>
          <w:p>
            <w:pPr>
              <w:spacing w:after="0"/>
              <w:rPr>
                <w:sz w:val="15"/>
                <w:szCs w:val="15"/>
                <w:color w:val="auto"/>
              </w:rPr>
            </w:pPr>
          </w:p>
        </w:tc>
        <w:tc>
          <w:tcPr>
            <w:tcW w:w="120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9"/>
              </w:rPr>
              <w:t>observable</w:t>
            </w:r>
          </w:p>
        </w:tc>
      </w:tr>
      <w:tr>
        <w:trPr>
          <w:trHeight w:val="173"/>
        </w:trPr>
        <w:tc>
          <w:tcPr>
            <w:tcW w:w="5060" w:type="dxa"/>
            <w:vAlign w:val="bottom"/>
          </w:tcPr>
          <w:p>
            <w:pPr>
              <w:spacing w:after="0"/>
              <w:rPr>
                <w:sz w:val="15"/>
                <w:szCs w:val="15"/>
                <w:color w:val="auto"/>
              </w:rPr>
            </w:pPr>
          </w:p>
        </w:tc>
        <w:tc>
          <w:tcPr>
            <w:tcW w:w="1560" w:type="dxa"/>
            <w:vAlign w:val="bottom"/>
            <w:gridSpan w:val="2"/>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020" w:type="dxa"/>
            <w:vAlign w:val="bottom"/>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80" w:type="dxa"/>
            <w:vAlign w:val="bottom"/>
          </w:tcPr>
          <w:p>
            <w:pPr>
              <w:spacing w:after="0"/>
              <w:rPr>
                <w:sz w:val="15"/>
                <w:szCs w:val="15"/>
                <w:color w:val="auto"/>
              </w:rPr>
            </w:pPr>
          </w:p>
        </w:tc>
        <w:tc>
          <w:tcPr>
            <w:tcW w:w="128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5"/>
                <w:szCs w:val="15"/>
                <w:color w:val="auto"/>
              </w:rPr>
            </w:pPr>
          </w:p>
        </w:tc>
        <w:tc>
          <w:tcPr>
            <w:tcW w:w="120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200"/>
        </w:trPr>
        <w:tc>
          <w:tcPr>
            <w:tcW w:w="5060" w:type="dxa"/>
            <w:vAlign w:val="bottom"/>
          </w:tcPr>
          <w:p>
            <w:pPr>
              <w:spacing w:after="0"/>
              <w:rPr>
                <w:sz w:val="17"/>
                <w:szCs w:val="17"/>
                <w:color w:val="auto"/>
              </w:rPr>
            </w:pPr>
          </w:p>
        </w:tc>
        <w:tc>
          <w:tcPr>
            <w:tcW w:w="920" w:type="dxa"/>
            <w:vAlign w:val="bottom"/>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rPr>
              <w:t>ments</w:t>
            </w:r>
          </w:p>
        </w:tc>
        <w:tc>
          <w:tcPr>
            <w:tcW w:w="640" w:type="dxa"/>
            <w:vAlign w:val="bottom"/>
          </w:tcPr>
          <w:p>
            <w:pPr>
              <w:spacing w:after="0"/>
              <w:rPr>
                <w:sz w:val="17"/>
                <w:szCs w:val="17"/>
                <w:color w:val="auto"/>
              </w:rPr>
            </w:pPr>
          </w:p>
        </w:tc>
        <w:tc>
          <w:tcPr>
            <w:tcW w:w="1020" w:type="dxa"/>
            <w:vAlign w:val="bottom"/>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80" w:type="dxa"/>
            <w:vAlign w:val="bottom"/>
          </w:tcPr>
          <w:p>
            <w:pPr>
              <w:spacing w:after="0"/>
              <w:rPr>
                <w:sz w:val="17"/>
                <w:szCs w:val="17"/>
                <w:color w:val="auto"/>
              </w:rPr>
            </w:pPr>
          </w:p>
        </w:tc>
        <w:tc>
          <w:tcPr>
            <w:tcW w:w="128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7"/>
                <w:szCs w:val="17"/>
                <w:color w:val="auto"/>
              </w:rPr>
            </w:pPr>
          </w:p>
        </w:tc>
        <w:tc>
          <w:tcPr>
            <w:tcW w:w="120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8"/>
              </w:rPr>
              <w:t>(Level 3)</w:t>
            </w:r>
          </w:p>
        </w:tc>
      </w:tr>
      <w:tr>
        <w:trPr>
          <w:trHeight w:val="25"/>
        </w:trPr>
        <w:tc>
          <w:tcPr>
            <w:tcW w:w="50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0"/>
        </w:trPr>
        <w:tc>
          <w:tcPr>
            <w:tcW w:w="5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60" w:type="dxa"/>
            <w:vAlign w:val="bottom"/>
            <w:gridSpan w:val="2"/>
          </w:tcPr>
          <w:p>
            <w:pPr>
              <w:jc w:val="right"/>
              <w:ind w:right="104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9"/>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5"/>
        </w:trPr>
        <w:tc>
          <w:tcPr>
            <w:tcW w:w="50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8"/>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Measured at Fair Value on a Recurring Basis</w:t>
            </w: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1"/>
        </w:trPr>
        <w:tc>
          <w:tcPr>
            <w:tcW w:w="5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Assets</w:t>
            </w: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0"/>
        </w:trPr>
        <w:tc>
          <w:tcPr>
            <w:tcW w:w="5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
        </w:trPr>
        <w:tc>
          <w:tcPr>
            <w:tcW w:w="5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0"/>
        </w:trPr>
        <w:tc>
          <w:tcPr>
            <w:tcW w:w="5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U.S. agency</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12,101</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12,101</w:t>
            </w:r>
          </w:p>
        </w:tc>
        <w:tc>
          <w:tcPr>
            <w:tcW w:w="3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50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U.S. agency residential mortgage-backed</w:t>
            </w:r>
          </w:p>
        </w:tc>
        <w:tc>
          <w:tcPr>
            <w:tcW w:w="920" w:type="dxa"/>
            <w:vAlign w:val="bottom"/>
          </w:tcPr>
          <w:p>
            <w:pPr>
              <w:spacing w:after="0"/>
              <w:rPr>
                <w:sz w:val="16"/>
                <w:szCs w:val="16"/>
                <w:color w:val="auto"/>
              </w:rPr>
            </w:pPr>
          </w:p>
        </w:tc>
        <w:tc>
          <w:tcPr>
            <w:tcW w:w="6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90,458</w:t>
            </w:r>
          </w:p>
        </w:tc>
        <w:tc>
          <w:tcPr>
            <w:tcW w:w="1020" w:type="dxa"/>
            <w:vAlign w:val="bottom"/>
          </w:tcPr>
          <w:p>
            <w:pPr>
              <w:spacing w:after="0"/>
              <w:rPr>
                <w:sz w:val="16"/>
                <w:szCs w:val="16"/>
                <w:color w:val="auto"/>
              </w:rPr>
            </w:pPr>
          </w:p>
        </w:tc>
        <w:tc>
          <w:tcPr>
            <w:tcW w:w="7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90,458</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U.S. agency commercial mortgage-backed</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13,453</w:t>
            </w: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13,453</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50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Private label mortgage-backed</w:t>
            </w:r>
          </w:p>
        </w:tc>
        <w:tc>
          <w:tcPr>
            <w:tcW w:w="920" w:type="dxa"/>
            <w:vAlign w:val="bottom"/>
          </w:tcPr>
          <w:p>
            <w:pPr>
              <w:spacing w:after="0"/>
              <w:rPr>
                <w:sz w:val="16"/>
                <w:szCs w:val="16"/>
                <w:color w:val="auto"/>
              </w:rPr>
            </w:pPr>
          </w:p>
        </w:tc>
        <w:tc>
          <w:tcPr>
            <w:tcW w:w="6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93,845</w:t>
            </w:r>
          </w:p>
        </w:tc>
        <w:tc>
          <w:tcPr>
            <w:tcW w:w="1020" w:type="dxa"/>
            <w:vAlign w:val="bottom"/>
          </w:tcPr>
          <w:p>
            <w:pPr>
              <w:spacing w:after="0"/>
              <w:rPr>
                <w:sz w:val="16"/>
                <w:szCs w:val="16"/>
                <w:color w:val="auto"/>
              </w:rPr>
            </w:pPr>
          </w:p>
        </w:tc>
        <w:tc>
          <w:tcPr>
            <w:tcW w:w="7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93,845</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Other asset backed</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194,725</w:t>
            </w: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194,725</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50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920" w:type="dxa"/>
            <w:vAlign w:val="bottom"/>
          </w:tcPr>
          <w:p>
            <w:pPr>
              <w:spacing w:after="0"/>
              <w:rPr>
                <w:sz w:val="16"/>
                <w:szCs w:val="16"/>
                <w:color w:val="auto"/>
              </w:rPr>
            </w:pPr>
          </w:p>
        </w:tc>
        <w:tc>
          <w:tcPr>
            <w:tcW w:w="6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295,677</w:t>
            </w:r>
          </w:p>
        </w:tc>
        <w:tc>
          <w:tcPr>
            <w:tcW w:w="1020" w:type="dxa"/>
            <w:vAlign w:val="bottom"/>
          </w:tcPr>
          <w:p>
            <w:pPr>
              <w:spacing w:after="0"/>
              <w:rPr>
                <w:sz w:val="16"/>
                <w:szCs w:val="16"/>
                <w:color w:val="auto"/>
              </w:rPr>
            </w:pPr>
          </w:p>
        </w:tc>
        <w:tc>
          <w:tcPr>
            <w:tcW w:w="7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295,677</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Corporate</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78,157</w:t>
            </w: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78,157</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50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Trust preferred</w:t>
            </w:r>
          </w:p>
        </w:tc>
        <w:tc>
          <w:tcPr>
            <w:tcW w:w="920" w:type="dxa"/>
            <w:vAlign w:val="bottom"/>
          </w:tcPr>
          <w:p>
            <w:pPr>
              <w:spacing w:after="0"/>
              <w:rPr>
                <w:sz w:val="16"/>
                <w:szCs w:val="16"/>
                <w:color w:val="auto"/>
              </w:rPr>
            </w:pPr>
          </w:p>
        </w:tc>
        <w:tc>
          <w:tcPr>
            <w:tcW w:w="6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931</w:t>
            </w:r>
          </w:p>
        </w:tc>
        <w:tc>
          <w:tcPr>
            <w:tcW w:w="1020" w:type="dxa"/>
            <w:vAlign w:val="bottom"/>
          </w:tcPr>
          <w:p>
            <w:pPr>
              <w:spacing w:after="0"/>
              <w:rPr>
                <w:sz w:val="16"/>
                <w:szCs w:val="16"/>
                <w:color w:val="auto"/>
              </w:rPr>
            </w:pPr>
          </w:p>
        </w:tc>
        <w:tc>
          <w:tcPr>
            <w:tcW w:w="7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931</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Loans held for sale, carried at fair value</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26,518</w:t>
            </w: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26,518</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5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Capitalized mortgage loan servicing rights</w:t>
            </w:r>
          </w:p>
        </w:tc>
        <w:tc>
          <w:tcPr>
            <w:tcW w:w="920" w:type="dxa"/>
            <w:vAlign w:val="bottom"/>
          </w:tcPr>
          <w:p>
            <w:pPr>
              <w:spacing w:after="0"/>
              <w:rPr>
                <w:sz w:val="16"/>
                <w:szCs w:val="16"/>
                <w:color w:val="auto"/>
              </w:rPr>
            </w:pPr>
          </w:p>
        </w:tc>
        <w:tc>
          <w:tcPr>
            <w:tcW w:w="6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42,489</w:t>
            </w:r>
          </w:p>
        </w:tc>
        <w:tc>
          <w:tcPr>
            <w:tcW w:w="1020" w:type="dxa"/>
            <w:vAlign w:val="bottom"/>
          </w:tcPr>
          <w:p>
            <w:pPr>
              <w:spacing w:after="0"/>
              <w:rPr>
                <w:sz w:val="16"/>
                <w:szCs w:val="16"/>
                <w:color w:val="auto"/>
              </w:rPr>
            </w:pPr>
          </w:p>
        </w:tc>
        <w:tc>
          <w:tcPr>
            <w:tcW w:w="7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42,489</w:t>
            </w:r>
          </w:p>
        </w:tc>
      </w:tr>
      <w:tr>
        <w:trPr>
          <w:trHeight w:val="208"/>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Derivatives (1)</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39,747</w:t>
            </w: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39,747</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5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Derivatives (2)</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19,127</w:t>
            </w: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19,127</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67"/>
        </w:trPr>
        <w:tc>
          <w:tcPr>
            <w:tcW w:w="50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0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Measured at Fair Value on a Non-recurring Basis:</w:t>
            </w: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92"/>
        </w:trPr>
        <w:tc>
          <w:tcPr>
            <w:tcW w:w="5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Assets</w:t>
            </w: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5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Loans held for sale, carried at the lower of cost or fair value</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20,367</w:t>
            </w: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98"/>
              </w:rPr>
              <w:t>20,367</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5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Collateral dependent loans (3)</w:t>
            </w: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5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Commercial</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192"/>
        </w:trPr>
        <w:tc>
          <w:tcPr>
            <w:tcW w:w="5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920" w:type="dxa"/>
            <w:vAlign w:val="bottom"/>
          </w:tcPr>
          <w:p>
            <w:pPr>
              <w:spacing w:after="0"/>
              <w:rPr>
                <w:sz w:val="16"/>
                <w:szCs w:val="16"/>
                <w:color w:val="auto"/>
              </w:rPr>
            </w:pPr>
          </w:p>
        </w:tc>
        <w:tc>
          <w:tcPr>
            <w:tcW w:w="6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138</w:t>
            </w:r>
          </w:p>
        </w:tc>
        <w:tc>
          <w:tcPr>
            <w:tcW w:w="1020" w:type="dxa"/>
            <w:vAlign w:val="bottom"/>
          </w:tcPr>
          <w:p>
            <w:pPr>
              <w:spacing w:after="0"/>
              <w:rPr>
                <w:sz w:val="16"/>
                <w:szCs w:val="16"/>
                <w:color w:val="auto"/>
              </w:rPr>
            </w:pPr>
          </w:p>
        </w:tc>
        <w:tc>
          <w:tcPr>
            <w:tcW w:w="7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208"/>
        </w:trPr>
        <w:tc>
          <w:tcPr>
            <w:tcW w:w="5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Commercial real estate</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1,068</w:t>
            </w: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w:t>
            </w:r>
          </w:p>
        </w:tc>
      </w:tr>
      <w:tr>
        <w:trPr>
          <w:trHeight w:val="192"/>
        </w:trPr>
        <w:tc>
          <w:tcPr>
            <w:tcW w:w="50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Mortgage</w:t>
            </w: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5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1-4 family owner occupied - non-jumbo</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415</w:t>
            </w: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r>
      <w:tr>
        <w:trPr>
          <w:trHeight w:val="192"/>
        </w:trPr>
        <w:tc>
          <w:tcPr>
            <w:tcW w:w="5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1-4 family non-owner occupied</w:t>
            </w:r>
          </w:p>
        </w:tc>
        <w:tc>
          <w:tcPr>
            <w:tcW w:w="920" w:type="dxa"/>
            <w:vAlign w:val="bottom"/>
          </w:tcPr>
          <w:p>
            <w:pPr>
              <w:spacing w:after="0"/>
              <w:rPr>
                <w:sz w:val="16"/>
                <w:szCs w:val="16"/>
                <w:color w:val="auto"/>
              </w:rPr>
            </w:pPr>
          </w:p>
        </w:tc>
        <w:tc>
          <w:tcPr>
            <w:tcW w:w="6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52</w:t>
            </w:r>
          </w:p>
        </w:tc>
        <w:tc>
          <w:tcPr>
            <w:tcW w:w="1020" w:type="dxa"/>
            <w:vAlign w:val="bottom"/>
          </w:tcPr>
          <w:p>
            <w:pPr>
              <w:spacing w:after="0"/>
              <w:rPr>
                <w:sz w:val="16"/>
                <w:szCs w:val="16"/>
                <w:color w:val="auto"/>
              </w:rPr>
            </w:pPr>
          </w:p>
        </w:tc>
        <w:tc>
          <w:tcPr>
            <w:tcW w:w="7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08"/>
        </w:trPr>
        <w:tc>
          <w:tcPr>
            <w:tcW w:w="5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1-4 family - 2nd lien</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165</w:t>
            </w: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192"/>
        </w:trPr>
        <w:tc>
          <w:tcPr>
            <w:tcW w:w="5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Resort lending</w:t>
            </w:r>
          </w:p>
        </w:tc>
        <w:tc>
          <w:tcPr>
            <w:tcW w:w="920" w:type="dxa"/>
            <w:vAlign w:val="bottom"/>
          </w:tcPr>
          <w:p>
            <w:pPr>
              <w:spacing w:after="0"/>
              <w:rPr>
                <w:sz w:val="16"/>
                <w:szCs w:val="16"/>
                <w:color w:val="auto"/>
              </w:rPr>
            </w:pPr>
          </w:p>
        </w:tc>
        <w:tc>
          <w:tcPr>
            <w:tcW w:w="6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25</w:t>
            </w:r>
          </w:p>
        </w:tc>
        <w:tc>
          <w:tcPr>
            <w:tcW w:w="1020" w:type="dxa"/>
            <w:vAlign w:val="bottom"/>
          </w:tcPr>
          <w:p>
            <w:pPr>
              <w:spacing w:after="0"/>
              <w:rPr>
                <w:sz w:val="16"/>
                <w:szCs w:val="16"/>
                <w:color w:val="auto"/>
              </w:rPr>
            </w:pPr>
          </w:p>
        </w:tc>
        <w:tc>
          <w:tcPr>
            <w:tcW w:w="7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08"/>
        </w:trPr>
        <w:tc>
          <w:tcPr>
            <w:tcW w:w="5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Installment</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192"/>
        </w:trPr>
        <w:tc>
          <w:tcPr>
            <w:tcW w:w="5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Boat lending</w:t>
            </w:r>
          </w:p>
        </w:tc>
        <w:tc>
          <w:tcPr>
            <w:tcW w:w="920" w:type="dxa"/>
            <w:vAlign w:val="bottom"/>
          </w:tcPr>
          <w:p>
            <w:pPr>
              <w:spacing w:after="0"/>
              <w:rPr>
                <w:sz w:val="16"/>
                <w:szCs w:val="16"/>
                <w:color w:val="auto"/>
              </w:rPr>
            </w:pPr>
          </w:p>
        </w:tc>
        <w:tc>
          <w:tcPr>
            <w:tcW w:w="6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196</w:t>
            </w:r>
          </w:p>
        </w:tc>
        <w:tc>
          <w:tcPr>
            <w:tcW w:w="1020" w:type="dxa"/>
            <w:vAlign w:val="bottom"/>
          </w:tcPr>
          <w:p>
            <w:pPr>
              <w:spacing w:after="0"/>
              <w:rPr>
                <w:sz w:val="16"/>
                <w:szCs w:val="16"/>
                <w:color w:val="auto"/>
              </w:rPr>
            </w:pPr>
          </w:p>
        </w:tc>
        <w:tc>
          <w:tcPr>
            <w:tcW w:w="7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208"/>
        </w:trPr>
        <w:tc>
          <w:tcPr>
            <w:tcW w:w="5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Recreational vehicle lending</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w:t>
            </w: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5"/>
        </w:trPr>
        <w:tc>
          <w:tcPr>
            <w:tcW w:w="5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Other</w:t>
            </w:r>
          </w:p>
        </w:tc>
        <w:tc>
          <w:tcPr>
            <w:tcW w:w="920" w:type="dxa"/>
            <w:vAlign w:val="bottom"/>
          </w:tcPr>
          <w:p>
            <w:pPr>
              <w:spacing w:after="0"/>
              <w:rPr>
                <w:sz w:val="16"/>
                <w:szCs w:val="16"/>
                <w:color w:val="auto"/>
              </w:rPr>
            </w:pPr>
          </w:p>
        </w:tc>
        <w:tc>
          <w:tcPr>
            <w:tcW w:w="6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87</w:t>
            </w:r>
          </w:p>
        </w:tc>
        <w:tc>
          <w:tcPr>
            <w:tcW w:w="1020" w:type="dxa"/>
            <w:vAlign w:val="bottom"/>
          </w:tcPr>
          <w:p>
            <w:pPr>
              <w:spacing w:after="0"/>
              <w:rPr>
                <w:sz w:val="16"/>
                <w:szCs w:val="16"/>
                <w:color w:val="auto"/>
              </w:rPr>
            </w:pPr>
          </w:p>
        </w:tc>
        <w:tc>
          <w:tcPr>
            <w:tcW w:w="7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3" w:lineRule="exact"/>
        <w:rPr>
          <w:sz w:val="20"/>
          <w:szCs w:val="20"/>
          <w:color w:val="auto"/>
        </w:rPr>
      </w:pPr>
    </w:p>
    <w:p>
      <w:pPr>
        <w:ind w:left="480" w:hanging="456"/>
        <w:spacing w:after="0"/>
        <w:tabs>
          <w:tab w:leader="none" w:pos="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 in the Consolidated Statements of Financial Condition.</w:t>
      </w:r>
    </w:p>
    <w:p>
      <w:pPr>
        <w:spacing w:after="0" w:line="153" w:lineRule="exact"/>
        <w:rPr>
          <w:rFonts w:ascii="Times New Roman" w:cs="Times New Roman" w:eastAsia="Times New Roman" w:hAnsi="Times New Roman"/>
          <w:sz w:val="18"/>
          <w:szCs w:val="18"/>
          <w:color w:val="auto"/>
        </w:rPr>
      </w:pPr>
    </w:p>
    <w:p>
      <w:pPr>
        <w:ind w:left="480" w:hanging="456"/>
        <w:spacing w:after="0"/>
        <w:tabs>
          <w:tab w:leader="none" w:pos="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expenses and other liabilities in the Consolidated Statements of Financial Condition.</w:t>
      </w:r>
    </w:p>
    <w:p>
      <w:pPr>
        <w:spacing w:after="0" w:line="166" w:lineRule="exact"/>
        <w:rPr>
          <w:rFonts w:ascii="Times New Roman" w:cs="Times New Roman" w:eastAsia="Times New Roman" w:hAnsi="Times New Roman"/>
          <w:sz w:val="18"/>
          <w:szCs w:val="18"/>
          <w:color w:val="auto"/>
        </w:rPr>
      </w:pPr>
    </w:p>
    <w:p>
      <w:pPr>
        <w:ind w:left="480" w:hanging="456"/>
        <w:spacing w:after="0"/>
        <w:tabs>
          <w:tab w:leader="none" w:pos="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includes individually evaluated loans with specific loss allocations based on collateral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fair values of financial assets for which we have elected the fair value option for the years ended December 31 were as follows:</w:t>
      </w:r>
    </w:p>
    <w:p>
      <w:pPr>
        <w:spacing w:after="0" w:line="269"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3"/>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13"/>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in Fair</w:t>
            </w:r>
          </w:p>
        </w:tc>
      </w:tr>
      <w:tr>
        <w:trPr>
          <w:trHeight w:val="213"/>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6"/>
              </w:rPr>
              <w:t>Values</w:t>
            </w:r>
          </w:p>
        </w:tc>
      </w:tr>
      <w:tr>
        <w:trPr>
          <w:trHeight w:val="213"/>
        </w:trPr>
        <w:tc>
          <w:tcPr>
            <w:tcW w:w="502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Gains (Losses)</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60" w:type="dxa"/>
            <w:vAlign w:val="bottom"/>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6"/>
              </w:rPr>
              <w:t>Included</w:t>
            </w:r>
          </w:p>
        </w:tc>
      </w:tr>
      <w:tr>
        <w:trPr>
          <w:trHeight w:val="213"/>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7"/>
              </w:rPr>
              <w:t>on Assets -</w:t>
            </w:r>
          </w:p>
        </w:tc>
        <w:tc>
          <w:tcPr>
            <w:tcW w:w="220" w:type="dxa"/>
            <w:vAlign w:val="bottom"/>
          </w:tcPr>
          <w:p>
            <w:pPr>
              <w:spacing w:after="0"/>
              <w:rPr>
                <w:sz w:val="18"/>
                <w:szCs w:val="18"/>
                <w:color w:val="auto"/>
              </w:rPr>
            </w:pPr>
          </w:p>
        </w:tc>
        <w:tc>
          <w:tcPr>
            <w:tcW w:w="1660" w:type="dxa"/>
            <w:vAlign w:val="bottom"/>
          </w:tcPr>
          <w:p>
            <w:pPr>
              <w:jc w:val="center"/>
              <w:ind w:right="391"/>
              <w:spacing w:after="0"/>
              <w:rPr>
                <w:sz w:val="20"/>
                <w:szCs w:val="20"/>
                <w:color w:val="auto"/>
              </w:rPr>
            </w:pPr>
            <w:r>
              <w:rPr>
                <w:rFonts w:ascii="Times New Roman" w:cs="Times New Roman" w:eastAsia="Times New Roman" w:hAnsi="Times New Roman"/>
                <w:sz w:val="18"/>
                <w:szCs w:val="18"/>
                <w:b w:val="1"/>
                <w:bCs w:val="1"/>
                <w:color w:val="auto"/>
                <w:w w:val="98"/>
              </w:rPr>
              <w:t>Mortgage</w:t>
            </w: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in Current</w:t>
            </w:r>
          </w:p>
        </w:tc>
      </w:tr>
      <w:tr>
        <w:trPr>
          <w:trHeight w:val="213"/>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Mortgage</w:t>
            </w:r>
          </w:p>
        </w:tc>
        <w:tc>
          <w:tcPr>
            <w:tcW w:w="220" w:type="dxa"/>
            <w:vAlign w:val="bottom"/>
          </w:tcPr>
          <w:p>
            <w:pPr>
              <w:spacing w:after="0"/>
              <w:rPr>
                <w:sz w:val="18"/>
                <w:szCs w:val="18"/>
                <w:color w:val="auto"/>
              </w:rPr>
            </w:pPr>
          </w:p>
        </w:tc>
        <w:tc>
          <w:tcPr>
            <w:tcW w:w="1660" w:type="dxa"/>
            <w:vAlign w:val="bottom"/>
          </w:tcPr>
          <w:p>
            <w:pPr>
              <w:jc w:val="center"/>
              <w:ind w:right="411"/>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7"/>
              </w:rPr>
              <w:t>Period</w:t>
            </w:r>
          </w:p>
        </w:tc>
      </w:tr>
      <w:tr>
        <w:trPr>
          <w:trHeight w:val="236"/>
        </w:trPr>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220" w:type="dxa"/>
            <w:vAlign w:val="bottom"/>
          </w:tcPr>
          <w:p>
            <w:pPr>
              <w:spacing w:after="0"/>
              <w:rPr>
                <w:sz w:val="20"/>
                <w:szCs w:val="20"/>
                <w:color w:val="auto"/>
              </w:rPr>
            </w:pPr>
          </w:p>
        </w:tc>
        <w:tc>
          <w:tcPr>
            <w:tcW w:w="1660" w:type="dxa"/>
            <w:vAlign w:val="bottom"/>
          </w:tcPr>
          <w:p>
            <w:pPr>
              <w:jc w:val="center"/>
              <w:ind w:right="411"/>
              <w:spacing w:after="0"/>
              <w:rPr>
                <w:sz w:val="20"/>
                <w:szCs w:val="20"/>
                <w:color w:val="auto"/>
              </w:rPr>
            </w:pPr>
            <w:r>
              <w:rPr>
                <w:rFonts w:ascii="Times New Roman" w:cs="Times New Roman" w:eastAsia="Times New Roman" w:hAnsi="Times New Roman"/>
                <w:sz w:val="18"/>
                <w:szCs w:val="18"/>
                <w:b w:val="1"/>
                <w:bCs w:val="1"/>
                <w:color w:val="auto"/>
                <w:w w:val="99"/>
              </w:rPr>
              <w:t>Servicing, net</w:t>
            </w: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Earnings</w:t>
            </w:r>
          </w:p>
        </w:tc>
      </w:tr>
      <w:tr>
        <w:trPr>
          <w:trHeight w:val="26"/>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5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center"/>
              <w:ind w:right="391"/>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60" w:type="dxa"/>
            <w:vAlign w:val="bottom"/>
          </w:tcPr>
          <w:p>
            <w:pPr>
              <w:spacing w:after="0"/>
              <w:rPr>
                <w:sz w:val="19"/>
                <w:szCs w:val="19"/>
                <w:color w:val="auto"/>
              </w:rPr>
            </w:pPr>
          </w:p>
        </w:tc>
      </w:tr>
      <w:tr>
        <w:trPr>
          <w:trHeight w:val="257"/>
        </w:trPr>
        <w:tc>
          <w:tcPr>
            <w:tcW w:w="5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7"/>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7"/>
        </w:trPr>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2,281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r>
      <w:tr>
        <w:trPr>
          <w:trHeight w:val="227"/>
        </w:trPr>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(4,202)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w:t>
            </w:r>
          </w:p>
        </w:tc>
      </w:tr>
      <w:tr>
        <w:trPr>
          <w:trHeight w:val="267"/>
        </w:trPr>
        <w:tc>
          <w:tcPr>
            <w:tcW w:w="5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7"/>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7"/>
        </w:trPr>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220" w:type="dxa"/>
            <w:vAlign w:val="bottom"/>
          </w:tcPr>
          <w:p>
            <w:pPr>
              <w:spacing w:after="0"/>
              <w:rPr>
                <w:sz w:val="19"/>
                <w:szCs w:val="19"/>
                <w:color w:val="auto"/>
              </w:rPr>
            </w:pPr>
          </w:p>
        </w:tc>
        <w:tc>
          <w:tcPr>
            <w:tcW w:w="16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w:t>
            </w:r>
          </w:p>
        </w:tc>
      </w:tr>
      <w:tr>
        <w:trPr>
          <w:trHeight w:val="227"/>
        </w:trPr>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10,196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w:t>
            </w:r>
          </w:p>
        </w:tc>
      </w:tr>
      <w:tr>
        <w:trPr>
          <w:trHeight w:val="267"/>
        </w:trPr>
        <w:tc>
          <w:tcPr>
            <w:tcW w:w="5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7"/>
        </w:trPr>
        <w:tc>
          <w:tcPr>
            <w:tcW w:w="5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7"/>
        </w:trPr>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220" w:type="dxa"/>
            <w:vAlign w:val="bottom"/>
          </w:tcPr>
          <w:p>
            <w:pPr>
              <w:spacing w:after="0"/>
              <w:rPr>
                <w:sz w:val="19"/>
                <w:szCs w:val="19"/>
                <w:color w:val="auto"/>
              </w:rPr>
            </w:pPr>
          </w:p>
        </w:tc>
        <w:tc>
          <w:tcPr>
            <w:tcW w:w="16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r>
      <w:tr>
        <w:trPr>
          <w:trHeight w:val="227"/>
        </w:trPr>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(2,108)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r>
    </w:tbl>
    <w:p>
      <w:pPr>
        <w:spacing w:after="0" w:line="289"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For those items measured at fair value pursuant to our election of the fair value option, interest income is recorded within the Consolidated Statements of Operations based on the contractual amount of interest income earned on these financial assets and dividend income is recorded based on cash dividends received.</w:t>
      </w:r>
    </w:p>
    <w:p>
      <w:pPr>
        <w:spacing w:after="0" w:line="176" w:lineRule="exact"/>
        <w:rPr>
          <w:sz w:val="20"/>
          <w:szCs w:val="20"/>
          <w:color w:val="auto"/>
        </w:rPr>
      </w:pPr>
    </w:p>
    <w:p>
      <w:pPr>
        <w:jc w:val="both"/>
        <w:ind w:right="20" w:firstLine="320"/>
        <w:spacing w:after="0" w:line="277" w:lineRule="auto"/>
        <w:rPr>
          <w:sz w:val="20"/>
          <w:szCs w:val="20"/>
          <w:color w:val="auto"/>
        </w:rPr>
      </w:pPr>
      <w:r>
        <w:rPr>
          <w:rFonts w:ascii="Times New Roman" w:cs="Times New Roman" w:eastAsia="Times New Roman" w:hAnsi="Times New Roman"/>
          <w:sz w:val="18"/>
          <w:szCs w:val="18"/>
          <w:color w:val="auto"/>
        </w:rPr>
        <w:t>The following represent impairment charges recognized during the years ended December 31, 2023, 2022 and 2021 relating to assets measured at fair value on a non-recurring basis:</w:t>
      </w:r>
    </w:p>
    <w:p>
      <w:pPr>
        <w:spacing w:after="0" w:line="163" w:lineRule="exact"/>
        <w:rPr>
          <w:sz w:val="20"/>
          <w:szCs w:val="20"/>
          <w:color w:val="auto"/>
        </w:rPr>
      </w:pPr>
    </w:p>
    <w:p>
      <w:pPr>
        <w:jc w:val="both"/>
        <w:ind w:left="800" w:hanging="473"/>
        <w:spacing w:after="0" w:line="254" w:lineRule="auto"/>
        <w:tabs>
          <w:tab w:leader="none" w:pos="7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that are individually evaluated using the fair value of collateral for collateral dependent loans had a carrying amount of $2.0 million, which is net of a valuation allowance of $1.3 million at December 31, 2023, and had a carrying amount of $2.2 million, which is net of a valuation allowance of $2.1 million at December 31, 2022. An additional provision for credit losses relating to these collateral dependent loans of $1.1 million, $1.5 million and $0.3 million was included in our results of operations for the years ending December 31, 2023, 2022 and 2021, respectively.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A reconciliation for all assets and (liabilities) measured at fair value on a recurring basis using significant unobservable inputs (Level 3) for the years ended December 31 follows:</w:t>
      </w:r>
    </w:p>
    <w:p>
      <w:pPr>
        <w:spacing w:after="0" w:line="21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Capitalized Mortgage</w:t>
      </w:r>
    </w:p>
    <w:p>
      <w:pPr>
        <w:spacing w:after="0" w:line="29"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Loan Servicing Rights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6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0"/>
        </w:trPr>
        <w:tc>
          <w:tcPr>
            <w:tcW w:w="6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42,489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16,904</w:t>
            </w: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losses realized and unrealized:</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Included in results of operations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(4,202)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r>
      <w:tr>
        <w:trPr>
          <w:trHeight w:val="227"/>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Included in other comprehensive income (loss)</w:t>
            </w:r>
          </w:p>
        </w:tc>
        <w:tc>
          <w:tcPr>
            <w:tcW w:w="9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issuances, settlements, maturities and calls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11,436</w:t>
            </w: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Transfers in and/or out of Level 3</w:t>
            </w:r>
          </w:p>
        </w:tc>
        <w:tc>
          <w:tcPr>
            <w:tcW w:w="9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20" w:type="dxa"/>
            <w:vAlign w:val="bottom"/>
            <w:tcBorders>
              <w:top w:val="single" w:sz="8" w:color="auto"/>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42,243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6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of total losses for the period included in earnings attributable to the change in</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losses relating to assets and liabilities still held at December 31</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(4,202)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float rate and prepayment rate. Significant changes in all five of these assumptions in isolation would result in significant changes to the value of our capitalized mortgage loan servicing rights. Quantitative information about our Level 3 fair value measurements measured on a recurring basis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Asset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20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17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63"/>
        </w:trPr>
        <w:tc>
          <w:tcPr>
            <w:tcW w:w="2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2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Technique</w:t>
            </w:r>
          </w:p>
        </w:tc>
        <w:tc>
          <w:tcPr>
            <w:tcW w:w="17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19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200" w:type="dxa"/>
            <w:vAlign w:val="bottom"/>
          </w:tcPr>
          <w:p>
            <w:pPr>
              <w:spacing w:after="0"/>
              <w:rPr>
                <w:sz w:val="22"/>
                <w:szCs w:val="22"/>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30"/>
        </w:trPr>
        <w:tc>
          <w:tcPr>
            <w:tcW w:w="2600" w:type="dxa"/>
            <w:vAlign w:val="bottom"/>
            <w:vMerge w:val="restart"/>
          </w:tcPr>
          <w:p>
            <w:pPr>
              <w:jc w:val="right"/>
              <w:ind w:right="2131"/>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0" w:type="dxa"/>
            <w:vAlign w:val="bottom"/>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600" w:type="dxa"/>
            <w:vAlign w:val="bottom"/>
            <w:shd w:val="clear" w:color="auto" w:fill="CCEEFF"/>
          </w:tcPr>
          <w:p>
            <w:pPr>
              <w:jc w:val="right"/>
              <w:ind w:right="451"/>
              <w:spacing w:after="0" w:line="174" w:lineRule="exact"/>
              <w:rPr>
                <w:sz w:val="20"/>
                <w:szCs w:val="20"/>
                <w:color w:val="auto"/>
              </w:rPr>
            </w:pPr>
            <w:r>
              <w:rPr>
                <w:rFonts w:ascii="Times New Roman" w:cs="Times New Roman" w:eastAsia="Times New Roman" w:hAnsi="Times New Roman"/>
                <w:sz w:val="18"/>
                <w:szCs w:val="18"/>
                <w:color w:val="auto"/>
              </w:rPr>
              <w:t>Capitalized mortgage loan</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2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Present value of net</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 to 14.27%</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600" w:type="dxa"/>
            <w:vAlign w:val="bottom"/>
            <w:shd w:val="clear" w:color="auto" w:fill="CCEEFF"/>
          </w:tcPr>
          <w:p>
            <w:pPr>
              <w:jc w:val="right"/>
              <w:ind w:right="1071"/>
              <w:spacing w:after="0"/>
              <w:rPr>
                <w:sz w:val="20"/>
                <w:szCs w:val="20"/>
                <w:color w:val="auto"/>
              </w:rPr>
            </w:pPr>
            <w:r>
              <w:rPr>
                <w:rFonts w:ascii="Times New Roman" w:cs="Times New Roman" w:eastAsia="Times New Roman" w:hAnsi="Times New Roman"/>
                <w:sz w:val="18"/>
                <w:szCs w:val="18"/>
                <w:color w:val="auto"/>
              </w:rPr>
              <w:t>servicing rights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42,243</w:t>
            </w:r>
          </w:p>
        </w:tc>
        <w:tc>
          <w:tcPr>
            <w:tcW w:w="8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revenue</w:t>
            </w:r>
          </w:p>
        </w:tc>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9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10.25 %</w:t>
            </w:r>
          </w:p>
        </w:tc>
        <w:tc>
          <w:tcPr>
            <w:tcW w:w="0" w:type="dxa"/>
            <w:vAlign w:val="bottom"/>
          </w:tcPr>
          <w:p>
            <w:pPr>
              <w:spacing w:after="0"/>
              <w:rPr>
                <w:sz w:val="1"/>
                <w:szCs w:val="1"/>
                <w:color w:val="auto"/>
              </w:rPr>
            </w:pPr>
          </w:p>
        </w:tc>
      </w:tr>
      <w:tr>
        <w:trPr>
          <w:trHeight w:val="227"/>
        </w:trPr>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to service</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 to $442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7"/>
        </w:trPr>
        <w:tc>
          <w:tcPr>
            <w:tcW w:w="2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Ancillary income</w:t>
            </w: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 to 30</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7"/>
        </w:trPr>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Float rate</w:t>
            </w: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0" w:type="dxa"/>
            <w:vAlign w:val="bottom"/>
          </w:tcPr>
          <w:p>
            <w:pPr>
              <w:spacing w:after="0"/>
              <w:rPr>
                <w:sz w:val="1"/>
                <w:szCs w:val="1"/>
                <w:color w:val="auto"/>
              </w:rPr>
            </w:pPr>
          </w:p>
        </w:tc>
      </w:tr>
      <w:tr>
        <w:trPr>
          <w:trHeight w:val="267"/>
        </w:trPr>
        <w:tc>
          <w:tcPr>
            <w:tcW w:w="26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rate</w:t>
            </w: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 to 26.47%</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0" w:type="dxa"/>
            <w:vAlign w:val="bottom"/>
          </w:tcPr>
          <w:p>
            <w:pPr>
              <w:spacing w:after="0"/>
              <w:rPr>
                <w:sz w:val="1"/>
                <w:szCs w:val="1"/>
                <w:color w:val="auto"/>
              </w:rPr>
            </w:pPr>
          </w:p>
        </w:tc>
      </w:tr>
      <w:tr>
        <w:trPr>
          <w:trHeight w:val="267"/>
        </w:trPr>
        <w:tc>
          <w:tcPr>
            <w:tcW w:w="2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600" w:type="dxa"/>
            <w:vAlign w:val="bottom"/>
            <w:shd w:val="clear" w:color="auto" w:fill="CCEEFF"/>
          </w:tcPr>
          <w:p>
            <w:pPr>
              <w:jc w:val="right"/>
              <w:ind w:right="2131"/>
              <w:spacing w:after="0"/>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600" w:type="dxa"/>
            <w:vAlign w:val="bottom"/>
          </w:tcPr>
          <w:p>
            <w:pPr>
              <w:jc w:val="right"/>
              <w:ind w:right="451"/>
              <w:spacing w:after="0" w:line="174" w:lineRule="exact"/>
              <w:rPr>
                <w:sz w:val="20"/>
                <w:szCs w:val="20"/>
                <w:color w:val="auto"/>
              </w:rPr>
            </w:pPr>
            <w:r>
              <w:rPr>
                <w:rFonts w:ascii="Times New Roman" w:cs="Times New Roman" w:eastAsia="Times New Roman" w:hAnsi="Times New Roman"/>
                <w:sz w:val="18"/>
                <w:szCs w:val="18"/>
                <w:color w:val="auto"/>
              </w:rPr>
              <w:t>Capitalized mortgage loan</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Present value of net</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10.00% to 13.23%</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600" w:type="dxa"/>
            <w:vAlign w:val="bottom"/>
          </w:tcPr>
          <w:p>
            <w:pPr>
              <w:jc w:val="right"/>
              <w:ind w:right="1071"/>
              <w:spacing w:after="0"/>
              <w:rPr>
                <w:sz w:val="20"/>
                <w:szCs w:val="20"/>
                <w:color w:val="auto"/>
              </w:rPr>
            </w:pPr>
            <w:r>
              <w:rPr>
                <w:rFonts w:ascii="Times New Roman" w:cs="Times New Roman" w:eastAsia="Times New Roman" w:hAnsi="Times New Roman"/>
                <w:sz w:val="18"/>
                <w:szCs w:val="18"/>
                <w:color w:val="auto"/>
              </w:rPr>
              <w:t>servicing rights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42,489</w:t>
            </w:r>
          </w:p>
        </w:tc>
        <w:tc>
          <w:tcPr>
            <w:tcW w:w="80" w:type="dxa"/>
            <w:vAlign w:val="bottom"/>
          </w:tcPr>
          <w:p>
            <w:pPr>
              <w:spacing w:after="0"/>
              <w:rPr>
                <w:sz w:val="20"/>
                <w:szCs w:val="20"/>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servicing revenue</w:t>
            </w: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9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10.12 %</w:t>
            </w:r>
          </w:p>
        </w:tc>
        <w:tc>
          <w:tcPr>
            <w:tcW w:w="0" w:type="dxa"/>
            <w:vAlign w:val="bottom"/>
          </w:tcPr>
          <w:p>
            <w:pPr>
              <w:spacing w:after="0"/>
              <w:rPr>
                <w:sz w:val="1"/>
                <w:szCs w:val="1"/>
                <w:color w:val="auto"/>
              </w:rPr>
            </w:pPr>
          </w:p>
        </w:tc>
      </w:tr>
      <w:tr>
        <w:trPr>
          <w:trHeight w:val="227"/>
        </w:trPr>
        <w:tc>
          <w:tcPr>
            <w:tcW w:w="2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to service</w:t>
            </w: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 to $150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7"/>
        </w:trPr>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Ancillary income</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 to 35</w:t>
            </w:r>
          </w:p>
        </w:tc>
        <w:tc>
          <w:tcPr>
            <w:tcW w:w="20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7"/>
        </w:trPr>
        <w:tc>
          <w:tcPr>
            <w:tcW w:w="2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Float rate</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0" w:type="dxa"/>
            <w:vAlign w:val="bottom"/>
          </w:tcPr>
          <w:p>
            <w:pPr>
              <w:spacing w:after="0"/>
              <w:rPr>
                <w:sz w:val="1"/>
                <w:szCs w:val="1"/>
                <w:color w:val="auto"/>
              </w:rPr>
            </w:pPr>
          </w:p>
        </w:tc>
      </w:tr>
      <w:tr>
        <w:trPr>
          <w:trHeight w:val="267"/>
        </w:trPr>
        <w:tc>
          <w:tcPr>
            <w:tcW w:w="2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 rate</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 to 30.40%</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7.97 %</w:t>
            </w:r>
          </w:p>
        </w:tc>
        <w:tc>
          <w:tcPr>
            <w:tcW w:w="0" w:type="dxa"/>
            <w:vAlign w:val="bottom"/>
          </w:tcPr>
          <w:p>
            <w:pPr>
              <w:spacing w:after="0"/>
              <w:rPr>
                <w:sz w:val="1"/>
                <w:szCs w:val="1"/>
                <w:color w:val="auto"/>
              </w:rPr>
            </w:pPr>
          </w:p>
        </w:tc>
      </w:tr>
      <w:tr>
        <w:trPr>
          <w:trHeight w:val="881"/>
        </w:trPr>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6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Quantitative information about Level 3 fair value measurements measured on a non-recurring basis follows:</w:t>
      </w:r>
    </w:p>
    <w:p>
      <w:pPr>
        <w:spacing w:after="0" w:line="281" w:lineRule="exact"/>
        <w:rPr>
          <w:sz w:val="20"/>
          <w:szCs w:val="20"/>
          <w:color w:val="auto"/>
        </w:rPr>
      </w:pPr>
    </w:p>
    <w:tbl>
      <w:tblPr>
        <w:tblLayout w:type="fixed"/>
        <w:tblInd w:w="240" w:type="dxa"/>
        <w:tblCellMar>
          <w:top w:w="0" w:type="dxa"/>
          <w:left w:w="0" w:type="dxa"/>
          <w:bottom w:w="0" w:type="dxa"/>
          <w:right w:w="0" w:type="dxa"/>
        </w:tblCellMar>
      </w:tblPr>
      <w:tr>
        <w:trPr>
          <w:trHeight w:val="213"/>
        </w:trPr>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82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21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0" w:type="dxa"/>
            <w:vAlign w:val="bottom"/>
          </w:tcPr>
          <w:p>
            <w:pPr>
              <w:spacing w:after="0"/>
              <w:rPr>
                <w:sz w:val="1"/>
                <w:szCs w:val="1"/>
                <w:color w:val="auto"/>
              </w:rPr>
            </w:pPr>
          </w:p>
        </w:tc>
      </w:tr>
      <w:tr>
        <w:trPr>
          <w:trHeight w:val="236"/>
        </w:trPr>
        <w:tc>
          <w:tcPr>
            <w:tcW w:w="2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2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Technique</w:t>
            </w:r>
          </w:p>
        </w:tc>
        <w:tc>
          <w:tcPr>
            <w:tcW w:w="212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0" w:type="dxa"/>
            <w:vAlign w:val="bottom"/>
          </w:tcPr>
          <w:p>
            <w:pPr>
              <w:spacing w:after="0"/>
              <w:rPr>
                <w:sz w:val="1"/>
                <w:szCs w:val="1"/>
                <w:color w:val="auto"/>
              </w:rPr>
            </w:pPr>
          </w:p>
        </w:tc>
      </w:tr>
      <w:tr>
        <w:trPr>
          <w:trHeight w:val="26"/>
        </w:trPr>
        <w:tc>
          <w:tcPr>
            <w:tcW w:w="2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19"/>
                <w:szCs w:val="19"/>
                <w:color w:val="auto"/>
              </w:rPr>
            </w:pPr>
          </w:p>
        </w:tc>
        <w:tc>
          <w:tcPr>
            <w:tcW w:w="132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comparison</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differences</w:t>
            </w:r>
          </w:p>
        </w:tc>
        <w:tc>
          <w:tcPr>
            <w:tcW w:w="0" w:type="dxa"/>
            <w:vAlign w:val="bottom"/>
          </w:tcPr>
          <w:p>
            <w:pPr>
              <w:spacing w:after="0"/>
              <w:rPr>
                <w:sz w:val="1"/>
                <w:szCs w:val="1"/>
                <w:color w:val="auto"/>
              </w:rPr>
            </w:pPr>
          </w:p>
        </w:tc>
      </w:tr>
      <w:tr>
        <w:trPr>
          <w:trHeight w:val="259"/>
        </w:trPr>
        <w:tc>
          <w:tcPr>
            <w:tcW w:w="2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Pr>
          <w:p>
            <w:pPr>
              <w:spacing w:after="0"/>
              <w:rPr>
                <w:sz w:val="22"/>
                <w:szCs w:val="22"/>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approach</w:t>
            </w:r>
          </w:p>
        </w:tc>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between comparable sales</w:t>
            </w:r>
          </w:p>
        </w:tc>
        <w:tc>
          <w:tcPr>
            <w:tcW w:w="0" w:type="dxa"/>
            <w:vAlign w:val="bottom"/>
          </w:tcPr>
          <w:p>
            <w:pPr>
              <w:spacing w:after="0"/>
              <w:rPr>
                <w:sz w:val="1"/>
                <w:szCs w:val="1"/>
                <w:color w:val="auto"/>
              </w:rPr>
            </w:pPr>
          </w:p>
        </w:tc>
      </w:tr>
      <w:tr>
        <w:trPr>
          <w:trHeight w:val="506"/>
        </w:trPr>
        <w:tc>
          <w:tcPr>
            <w:tcW w:w="2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Mortgage and</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comparison</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differences</w:t>
            </w:r>
          </w:p>
        </w:tc>
        <w:tc>
          <w:tcPr>
            <w:tcW w:w="0" w:type="dxa"/>
            <w:vAlign w:val="bottom"/>
          </w:tcPr>
          <w:p>
            <w:pPr>
              <w:spacing w:after="0"/>
              <w:rPr>
                <w:sz w:val="1"/>
                <w:szCs w:val="1"/>
                <w:color w:val="auto"/>
              </w:rPr>
            </w:pPr>
          </w:p>
        </w:tc>
      </w:tr>
      <w:tr>
        <w:trPr>
          <w:trHeight w:val="241"/>
        </w:trPr>
        <w:tc>
          <w:tcPr>
            <w:tcW w:w="2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Installment (1)</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80" w:type="dxa"/>
            <w:vAlign w:val="bottom"/>
          </w:tcPr>
          <w:p>
            <w:pPr>
              <w:spacing w:after="0"/>
              <w:rPr>
                <w:sz w:val="20"/>
                <w:szCs w:val="20"/>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approach</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between comparable sales</w:t>
            </w:r>
          </w:p>
        </w:tc>
        <w:tc>
          <w:tcPr>
            <w:tcW w:w="0" w:type="dxa"/>
            <w:vAlign w:val="bottom"/>
          </w:tcPr>
          <w:p>
            <w:pPr>
              <w:spacing w:after="0"/>
              <w:rPr>
                <w:sz w:val="1"/>
                <w:szCs w:val="1"/>
                <w:color w:val="auto"/>
              </w:rPr>
            </w:pPr>
          </w:p>
        </w:tc>
      </w:tr>
      <w:tr>
        <w:trPr>
          <w:trHeight w:val="488"/>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comparison</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differences</w:t>
            </w:r>
          </w:p>
        </w:tc>
        <w:tc>
          <w:tcPr>
            <w:tcW w:w="0" w:type="dxa"/>
            <w:vAlign w:val="bottom"/>
          </w:tcPr>
          <w:p>
            <w:pPr>
              <w:spacing w:after="0"/>
              <w:rPr>
                <w:sz w:val="1"/>
                <w:szCs w:val="1"/>
                <w:color w:val="auto"/>
              </w:rPr>
            </w:pPr>
          </w:p>
        </w:tc>
      </w:tr>
      <w:tr>
        <w:trPr>
          <w:trHeight w:val="259"/>
        </w:trPr>
        <w:tc>
          <w:tcPr>
            <w:tcW w:w="2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80" w:type="dxa"/>
            <w:vAlign w:val="bottom"/>
          </w:tcPr>
          <w:p>
            <w:pPr>
              <w:spacing w:after="0"/>
              <w:rPr>
                <w:sz w:val="22"/>
                <w:szCs w:val="22"/>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approach</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between comparable sales</w:t>
            </w:r>
          </w:p>
        </w:tc>
        <w:tc>
          <w:tcPr>
            <w:tcW w:w="0" w:type="dxa"/>
            <w:vAlign w:val="bottom"/>
          </w:tcPr>
          <w:p>
            <w:pPr>
              <w:spacing w:after="0"/>
              <w:rPr>
                <w:sz w:val="1"/>
                <w:szCs w:val="1"/>
                <w:color w:val="auto"/>
              </w:rPr>
            </w:pPr>
          </w:p>
        </w:tc>
      </w:tr>
      <w:tr>
        <w:trPr>
          <w:trHeight w:val="506"/>
        </w:trPr>
        <w:tc>
          <w:tcPr>
            <w:tcW w:w="2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Mortgage and</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comparison</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differences</w:t>
            </w:r>
          </w:p>
        </w:tc>
        <w:tc>
          <w:tcPr>
            <w:tcW w:w="0" w:type="dxa"/>
            <w:vAlign w:val="bottom"/>
          </w:tcPr>
          <w:p>
            <w:pPr>
              <w:spacing w:after="0"/>
              <w:rPr>
                <w:sz w:val="1"/>
                <w:szCs w:val="1"/>
                <w:color w:val="auto"/>
              </w:rPr>
            </w:pPr>
          </w:p>
        </w:tc>
      </w:tr>
      <w:tr>
        <w:trPr>
          <w:trHeight w:val="241"/>
        </w:trPr>
        <w:tc>
          <w:tcPr>
            <w:tcW w:w="2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Installment (1)</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tcPr>
          <w:p>
            <w:pPr>
              <w:spacing w:after="0"/>
              <w:rPr>
                <w:sz w:val="20"/>
                <w:szCs w:val="20"/>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approach</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between comparable sales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-2016125</wp:posOffset>
            </wp:positionV>
            <wp:extent cx="6863080" cy="3048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6863080" cy="304800"/>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-1541780</wp:posOffset>
            </wp:positionV>
            <wp:extent cx="6863080" cy="3048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6863080" cy="304800"/>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-1067435</wp:posOffset>
            </wp:positionV>
            <wp:extent cx="6863080" cy="144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6863080" cy="144145"/>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-779145</wp:posOffset>
            </wp:positionV>
            <wp:extent cx="6863080" cy="3048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6863080" cy="304800"/>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-304800</wp:posOffset>
            </wp:positionV>
            <wp:extent cx="6863080" cy="3048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6863080" cy="304800"/>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Weighted</w:t>
      </w:r>
    </w:p>
    <w:p>
      <w:pPr>
        <w:spacing w:after="0" w:line="29" w:lineRule="exact"/>
        <w:rPr>
          <w:sz w:val="20"/>
          <w:szCs w:val="20"/>
          <w:color w:val="auto"/>
        </w:rPr>
      </w:pPr>
    </w:p>
    <w:p>
      <w:pPr>
        <w:ind w:left="8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Range</w:t>
      </w:r>
      <w:r>
        <w:rPr>
          <w:sz w:val="20"/>
          <w:szCs w:val="20"/>
          <w:color w:val="auto"/>
        </w:rPr>
        <w:tab/>
      </w:r>
      <w:r>
        <w:rPr>
          <w:rFonts w:ascii="Times New Roman" w:cs="Times New Roman" w:eastAsia="Times New Roman" w:hAnsi="Times New Roman"/>
          <w:sz w:val="18"/>
          <w:szCs w:val="18"/>
          <w:b w:val="1"/>
          <w:bCs w:val="1"/>
          <w:color w:val="auto"/>
        </w:rPr>
        <w:t>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20955</wp:posOffset>
            </wp:positionV>
            <wp:extent cx="19570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1957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60" w:type="dxa"/>
        <w:tblCellMar>
          <w:top w:w="0" w:type="dxa"/>
          <w:left w:w="0" w:type="dxa"/>
          <w:bottom w:w="0" w:type="dxa"/>
          <w:right w:w="0" w:type="dxa"/>
        </w:tblCellMar>
      </w:tblPr>
      <w:tr>
        <w:trPr>
          <w:trHeight w:val="232"/>
        </w:trPr>
        <w:tc>
          <w:tcPr>
            <w:tcW w:w="152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w w:val="96"/>
              </w:rPr>
              <w:t>(5.0)% to 6.0%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747"/>
        </w:trPr>
        <w:tc>
          <w:tcPr>
            <w:tcW w:w="152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(4.1) to 10.5</w:t>
            </w:r>
          </w:p>
        </w:tc>
        <w:tc>
          <w:tcPr>
            <w:tcW w:w="9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58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w w:val="96"/>
              </w:rPr>
              <w:t>41.7% to 20.0%</w:t>
            </w:r>
          </w:p>
        </w:tc>
        <w:tc>
          <w:tcPr>
            <w:tcW w:w="9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6"/>
              </w:rPr>
              <w:t>(0.4)%</w:t>
            </w:r>
          </w:p>
        </w:tc>
      </w:tr>
      <w:tr>
        <w:trPr>
          <w:trHeight w:val="747"/>
        </w:trPr>
        <w:tc>
          <w:tcPr>
            <w:tcW w:w="158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(73.3) to 65.2</w:t>
            </w:r>
          </w:p>
        </w:tc>
        <w:tc>
          <w:tcPr>
            <w:tcW w:w="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(5.3)</w:t>
            </w:r>
          </w:p>
        </w:tc>
      </w:tr>
    </w:tbl>
    <w:p>
      <w:pPr>
        <w:spacing w:after="0" w:line="481" w:lineRule="exact"/>
        <w:rPr>
          <w:sz w:val="20"/>
          <w:szCs w:val="20"/>
          <w:color w:val="auto"/>
        </w:rPr>
      </w:pPr>
    </w:p>
    <w:p>
      <w:pPr>
        <w:sectPr>
          <w:pgSz w:w="11900" w:h="16838" w:orient="portrait"/>
          <w:cols w:equalWidth="0" w:num="2">
            <w:col w:w="8020" w:space="460"/>
            <w:col w:w="2760"/>
          </w:cols>
          <w:pgMar w:left="320" w:top="121" w:right="339" w:bottom="1440" w:gutter="0" w:footer="0" w:header="0"/>
          <w:type w:val="continuous"/>
        </w:sectPr>
      </w:pPr>
    </w:p>
    <w:p>
      <w:pPr>
        <w:spacing w:after="0" w:line="73" w:lineRule="exact"/>
        <w:rPr>
          <w:sz w:val="20"/>
          <w:szCs w:val="20"/>
          <w:color w:val="auto"/>
        </w:rPr>
      </w:pPr>
    </w:p>
    <w:p>
      <w:pPr>
        <w:jc w:val="both"/>
        <w:ind w:left="580" w:right="20" w:hanging="556"/>
        <w:spacing w:after="0" w:line="262" w:lineRule="auto"/>
        <w:tabs>
          <w:tab w:leader="none" w:pos="5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valuation techniques and unobservable inputs discussed above, at December 31, 2023 and 2022 certain collateral dependent installment loans totaling approximately $0.45 million and $0.30 million are secured by collateral other than real estate. For the majority of these loans, we apply internal discount rates to industry valuation guides.</w:t>
      </w:r>
    </w:p>
    <w:p>
      <w:pPr>
        <w:spacing w:after="0" w:line="283" w:lineRule="exact"/>
        <w:rPr>
          <w:sz w:val="20"/>
          <w:szCs w:val="20"/>
          <w:color w:val="auto"/>
        </w:rPr>
      </w:pPr>
    </w:p>
    <w:p>
      <w:pPr>
        <w:ind w:firstLine="320"/>
        <w:spacing w:after="0" w:line="277" w:lineRule="auto"/>
        <w:rPr>
          <w:sz w:val="20"/>
          <w:szCs w:val="20"/>
          <w:color w:val="auto"/>
        </w:rPr>
      </w:pPr>
      <w:r>
        <w:rPr>
          <w:rFonts w:ascii="Times New Roman" w:cs="Times New Roman" w:eastAsia="Times New Roman" w:hAnsi="Times New Roman"/>
          <w:sz w:val="18"/>
          <w:szCs w:val="18"/>
          <w:color w:val="auto"/>
        </w:rPr>
        <w:t>The following table reflects the difference between the aggregate fair value and the aggregate remaining contractual principal balance outstanding for loans held for sale for which the fair value option has been elected at December 31: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0" w:type="dxa"/>
            <w:vAlign w:val="bottom"/>
          </w:tcPr>
          <w:p>
            <w:pPr>
              <w:spacing w:after="0"/>
              <w:rPr>
                <w:sz w:val="1"/>
                <w:szCs w:val="1"/>
                <w:color w:val="auto"/>
              </w:rPr>
            </w:pPr>
          </w:p>
        </w:tc>
      </w:tr>
      <w:tr>
        <w:trPr>
          <w:trHeight w:val="263"/>
        </w:trPr>
        <w:tc>
          <w:tcPr>
            <w:tcW w:w="34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Difference</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0" w:type="dxa"/>
            <w:vAlign w:val="bottom"/>
          </w:tcPr>
          <w:p>
            <w:pPr>
              <w:spacing w:after="0"/>
              <w:rPr>
                <w:sz w:val="1"/>
                <w:szCs w:val="1"/>
                <w:color w:val="auto"/>
              </w:rPr>
            </w:pPr>
          </w:p>
        </w:tc>
      </w:tr>
      <w:tr>
        <w:trPr>
          <w:trHeight w:val="230"/>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40" w:type="dxa"/>
            <w:vAlign w:val="bottom"/>
            <w:vMerge w:val="continue"/>
          </w:tcPr>
          <w:p>
            <w:pPr>
              <w:spacing w:after="0"/>
              <w:rPr>
                <w:sz w:val="18"/>
                <w:szCs w:val="18"/>
                <w:color w:val="auto"/>
              </w:rPr>
            </w:pP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12,063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12,124</w:t>
            </w:r>
          </w:p>
        </w:tc>
        <w:tc>
          <w:tcPr>
            <w:tcW w:w="0" w:type="dxa"/>
            <w:vAlign w:val="bottom"/>
          </w:tcPr>
          <w:p>
            <w:pPr>
              <w:spacing w:after="0"/>
              <w:rPr>
                <w:sz w:val="1"/>
                <w:szCs w:val="1"/>
                <w:color w:val="auto"/>
              </w:rPr>
            </w:pPr>
          </w:p>
        </w:tc>
      </w:tr>
      <w:tr>
        <w:trPr>
          <w:trHeight w:val="227"/>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26,518</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28,860</w:t>
            </w:r>
          </w:p>
        </w:tc>
        <w:tc>
          <w:tcPr>
            <w:tcW w:w="0" w:type="dxa"/>
            <w:vAlign w:val="bottom"/>
          </w:tcPr>
          <w:p>
            <w:pPr>
              <w:spacing w:after="0"/>
              <w:rPr>
                <w:sz w:val="1"/>
                <w:szCs w:val="1"/>
                <w:color w:val="auto"/>
              </w:rPr>
            </w:pPr>
          </w:p>
        </w:tc>
      </w:tr>
      <w:tr>
        <w:trPr>
          <w:trHeight w:val="227"/>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55,470</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1,051</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54,419</w:t>
            </w:r>
          </w:p>
        </w:tc>
        <w:tc>
          <w:tcPr>
            <w:tcW w:w="0" w:type="dxa"/>
            <w:vAlign w:val="bottom"/>
          </w:tcPr>
          <w:p>
            <w:pPr>
              <w:spacing w:after="0"/>
              <w:rPr>
                <w:sz w:val="1"/>
                <w:szCs w:val="1"/>
                <w:color w:val="auto"/>
              </w:rPr>
            </w:pPr>
          </w:p>
        </w:tc>
      </w:tr>
      <w:tr>
        <w:trPr>
          <w:trHeight w:val="895"/>
        </w:trPr>
        <w:tc>
          <w:tcPr>
            <w:tcW w:w="3440" w:type="dxa"/>
            <w:vAlign w:val="bottom"/>
          </w:tcPr>
          <w:p>
            <w:pPr>
              <w:spacing w:after="0"/>
              <w:rPr>
                <w:sz w:val="24"/>
                <w:szCs w:val="24"/>
                <w:color w:val="auto"/>
              </w:rPr>
            </w:pPr>
          </w:p>
        </w:tc>
        <w:tc>
          <w:tcPr>
            <w:tcW w:w="3180" w:type="dxa"/>
            <w:vAlign w:val="bottom"/>
          </w:tcPr>
          <w:p>
            <w:pPr>
              <w:jc w:val="right"/>
              <w:ind w:right="771"/>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44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FAIR VALUES OF FINANCIAL INSTRUMENTS</w:t>
      </w:r>
    </w:p>
    <w:p>
      <w:pPr>
        <w:spacing w:after="0" w:line="224"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181"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estimated recorded book balances and fair values at December 31 follow: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Fair Value Using</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5"/>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9"/>
        </w:trPr>
        <w:tc>
          <w:tcPr>
            <w:tcW w:w="3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3"/>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60"/>
        </w:trPr>
        <w:tc>
          <w:tcPr>
            <w:tcW w:w="3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73"/>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00" w:type="dxa"/>
            <w:vAlign w:val="bottom"/>
          </w:tcPr>
          <w:p>
            <w:pPr>
              <w:spacing w:after="0"/>
              <w:rPr>
                <w:sz w:val="15"/>
                <w:szCs w:val="15"/>
                <w:color w:val="auto"/>
              </w:rPr>
            </w:pPr>
          </w:p>
        </w:tc>
        <w:tc>
          <w:tcPr>
            <w:tcW w:w="136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00" w:type="dxa"/>
            <w:vAlign w:val="bottom"/>
          </w:tcPr>
          <w:p>
            <w:pPr>
              <w:spacing w:after="0"/>
              <w:rPr>
                <w:sz w:val="15"/>
                <w:szCs w:val="15"/>
                <w:color w:val="auto"/>
              </w:rPr>
            </w:pPr>
          </w:p>
        </w:tc>
        <w:tc>
          <w:tcPr>
            <w:tcW w:w="12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r>
      <w:tr>
        <w:trPr>
          <w:trHeight w:val="173"/>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for</w:t>
            </w:r>
          </w:p>
        </w:tc>
        <w:tc>
          <w:tcPr>
            <w:tcW w:w="200" w:type="dxa"/>
            <w:vAlign w:val="bottom"/>
          </w:tcPr>
          <w:p>
            <w:pPr>
              <w:spacing w:after="0"/>
              <w:rPr>
                <w:sz w:val="15"/>
                <w:szCs w:val="15"/>
                <w:color w:val="auto"/>
              </w:rPr>
            </w:pPr>
          </w:p>
        </w:tc>
        <w:tc>
          <w:tcPr>
            <w:tcW w:w="136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5"/>
                <w:szCs w:val="15"/>
                <w:color w:val="auto"/>
              </w:rPr>
            </w:pPr>
          </w:p>
        </w:tc>
        <w:tc>
          <w:tcPr>
            <w:tcW w:w="12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Un-</w:t>
            </w:r>
          </w:p>
        </w:tc>
      </w:tr>
      <w:tr>
        <w:trPr>
          <w:trHeight w:val="160"/>
        </w:trPr>
        <w:tc>
          <w:tcPr>
            <w:tcW w:w="3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Identical</w:t>
            </w:r>
          </w:p>
        </w:tc>
        <w:tc>
          <w:tcPr>
            <w:tcW w:w="200" w:type="dxa"/>
            <w:vAlign w:val="bottom"/>
          </w:tcPr>
          <w:p>
            <w:pPr>
              <w:spacing w:after="0"/>
              <w:rPr>
                <w:sz w:val="13"/>
                <w:szCs w:val="13"/>
                <w:color w:val="auto"/>
              </w:rPr>
            </w:pPr>
          </w:p>
        </w:tc>
        <w:tc>
          <w:tcPr>
            <w:tcW w:w="136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300" w:type="dxa"/>
            <w:vAlign w:val="bottom"/>
          </w:tcPr>
          <w:p>
            <w:pPr>
              <w:spacing w:after="0"/>
              <w:rPr>
                <w:sz w:val="13"/>
                <w:szCs w:val="13"/>
                <w:color w:val="auto"/>
              </w:rPr>
            </w:pPr>
          </w:p>
        </w:tc>
        <w:tc>
          <w:tcPr>
            <w:tcW w:w="12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9"/>
              </w:rPr>
              <w:t>observable</w:t>
            </w:r>
          </w:p>
        </w:tc>
      </w:tr>
      <w:tr>
        <w:trPr>
          <w:trHeight w:val="173"/>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6"/>
              </w:rPr>
              <w:t>Book</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5"/>
                <w:szCs w:val="15"/>
                <w:color w:val="auto"/>
              </w:rPr>
            </w:pPr>
          </w:p>
        </w:tc>
        <w:tc>
          <w:tcPr>
            <w:tcW w:w="136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00" w:type="dxa"/>
            <w:vAlign w:val="bottom"/>
          </w:tcPr>
          <w:p>
            <w:pPr>
              <w:spacing w:after="0"/>
              <w:rPr>
                <w:sz w:val="15"/>
                <w:szCs w:val="15"/>
                <w:color w:val="auto"/>
              </w:rPr>
            </w:pPr>
          </w:p>
        </w:tc>
        <w:tc>
          <w:tcPr>
            <w:tcW w:w="12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200"/>
        </w:trPr>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20" w:type="dxa"/>
            <w:vAlign w:val="bottom"/>
          </w:tcPr>
          <w:p>
            <w:pPr>
              <w:spacing w:after="0"/>
              <w:rPr>
                <w:sz w:val="17"/>
                <w:szCs w:val="17"/>
                <w:color w:val="auto"/>
              </w:rPr>
            </w:pPr>
          </w:p>
        </w:tc>
        <w:tc>
          <w:tcPr>
            <w:tcW w:w="132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7"/>
                <w:szCs w:val="17"/>
                <w:color w:val="auto"/>
              </w:rPr>
            </w:pPr>
          </w:p>
        </w:tc>
        <w:tc>
          <w:tcPr>
            <w:tcW w:w="13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7"/>
                <w:szCs w:val="17"/>
                <w:color w:val="auto"/>
              </w:rPr>
            </w:pPr>
          </w:p>
        </w:tc>
        <w:tc>
          <w:tcPr>
            <w:tcW w:w="136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7"/>
                <w:szCs w:val="17"/>
                <w:color w:val="auto"/>
              </w:rPr>
            </w:pPr>
          </w:p>
        </w:tc>
        <w:tc>
          <w:tcPr>
            <w:tcW w:w="12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8"/>
              </w:rPr>
              <w:t>(Level 3)</w:t>
            </w:r>
          </w:p>
        </w:tc>
      </w:tr>
      <w:tr>
        <w:trPr>
          <w:trHeight w:val="25"/>
        </w:trPr>
        <w:tc>
          <w:tcPr>
            <w:tcW w:w="3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0"/>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0"/>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0"/>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due from banks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68,208</w:t>
            </w:r>
          </w:p>
        </w:tc>
        <w:tc>
          <w:tcPr>
            <w:tcW w:w="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68,208</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68,208</w:t>
            </w:r>
          </w:p>
        </w:tc>
        <w:tc>
          <w:tcPr>
            <w:tcW w:w="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bearing deposits</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101,573</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101,573</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101,573</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679,350</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679,350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679,350</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Securities held to maturity</w:t>
            </w:r>
          </w:p>
        </w:tc>
        <w:tc>
          <w:tcPr>
            <w:tcW w:w="260" w:type="dxa"/>
            <w:vAlign w:val="bottom"/>
          </w:tcPr>
          <w:p>
            <w:pPr>
              <w:spacing w:after="0"/>
              <w:rPr>
                <w:sz w:val="17"/>
                <w:szCs w:val="17"/>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353,988</w:t>
            </w:r>
          </w:p>
        </w:tc>
        <w:tc>
          <w:tcPr>
            <w:tcW w:w="320" w:type="dxa"/>
            <w:vAlign w:val="bottom"/>
          </w:tcPr>
          <w:p>
            <w:pPr>
              <w:spacing w:after="0"/>
              <w:rPr>
                <w:sz w:val="17"/>
                <w:szCs w:val="17"/>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318,606</w:t>
            </w:r>
          </w:p>
        </w:tc>
        <w:tc>
          <w:tcPr>
            <w:tcW w:w="200" w:type="dxa"/>
            <w:vAlign w:val="bottom"/>
          </w:tcPr>
          <w:p>
            <w:pPr>
              <w:spacing w:after="0"/>
              <w:rPr>
                <w:sz w:val="17"/>
                <w:szCs w:val="17"/>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318,606</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77"/>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Federal Home Loan Bank and Federal Reserve Bank</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03"/>
        </w:trPr>
        <w:tc>
          <w:tcPr>
            <w:tcW w:w="35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Stock</w:t>
            </w: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16,821</w:t>
            </w:r>
          </w:p>
        </w:tc>
        <w:tc>
          <w:tcPr>
            <w:tcW w:w="3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loans and loans held for sale</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3,748,306</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3,453,790</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12,063</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3,441,727</w:t>
            </w: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19,044</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19,044</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58</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6,486</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38,683</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38,683</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38,683</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Deposits with no stated maturity (1)</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3,704,808</w:t>
            </w: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3,704,808</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3,704,808</w:t>
            </w:r>
          </w:p>
        </w:tc>
        <w:tc>
          <w:tcPr>
            <w:tcW w:w="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Deposits with stated maturity (1)</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918,071</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914,404</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914,404</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borrowings</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50,026</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49,831</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49,831</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Subordinated debt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39,510</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40,352</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40,352</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Subordinated debentures</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39,728</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38,103</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38,103</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interest payable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6,534</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6,534</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482</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6,052</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21,835</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21,835</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21,835</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2"/>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Assets</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due from banks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70,180</w:t>
            </w:r>
          </w:p>
        </w:tc>
        <w:tc>
          <w:tcPr>
            <w:tcW w:w="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70,180</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70,180</w:t>
            </w:r>
          </w:p>
        </w:tc>
        <w:tc>
          <w:tcPr>
            <w:tcW w:w="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bearing deposits</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4,191</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4,191</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4,191</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779,347</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779,347</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779,347</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Securities held to maturity</w:t>
            </w:r>
          </w:p>
        </w:tc>
        <w:tc>
          <w:tcPr>
            <w:tcW w:w="260" w:type="dxa"/>
            <w:vAlign w:val="bottom"/>
          </w:tcPr>
          <w:p>
            <w:pPr>
              <w:spacing w:after="0"/>
              <w:rPr>
                <w:sz w:val="17"/>
                <w:szCs w:val="17"/>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374,818</w:t>
            </w:r>
          </w:p>
        </w:tc>
        <w:tc>
          <w:tcPr>
            <w:tcW w:w="320" w:type="dxa"/>
            <w:vAlign w:val="bottom"/>
          </w:tcPr>
          <w:p>
            <w:pPr>
              <w:spacing w:after="0"/>
              <w:rPr>
                <w:sz w:val="17"/>
                <w:szCs w:val="17"/>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335,418</w:t>
            </w:r>
          </w:p>
        </w:tc>
        <w:tc>
          <w:tcPr>
            <w:tcW w:w="200" w:type="dxa"/>
            <w:vAlign w:val="bottom"/>
          </w:tcPr>
          <w:p>
            <w:pPr>
              <w:spacing w:after="0"/>
              <w:rPr>
                <w:sz w:val="17"/>
                <w:szCs w:val="17"/>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335,418</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77"/>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Federal Home Loan Bank and Federal Reserve Bank</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03"/>
        </w:trPr>
        <w:tc>
          <w:tcPr>
            <w:tcW w:w="35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Stock</w:t>
            </w: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17,653</w:t>
            </w:r>
          </w:p>
        </w:tc>
        <w:tc>
          <w:tcPr>
            <w:tcW w:w="3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loans and loans held for sale</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3,459,802</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3,185,518</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20,367</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26,518</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3,138,633</w:t>
            </w: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16,513</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16,513</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6,503</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10,009</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39,747</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39,747</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39,747</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Deposits with no stated maturity (1)</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3,798,848</w:t>
            </w: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3,798,848</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3,798,848</w:t>
            </w:r>
          </w:p>
        </w:tc>
        <w:tc>
          <w:tcPr>
            <w:tcW w:w="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Deposits with stated maturity (1)</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580,221</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573,739</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573,739</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borrowings</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86,006</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86,006</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86,006</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Subordinated debt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39,433</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41,058</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41,058</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Subordinated debentures</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39,660</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38,982</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38,982</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interest payable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2,287</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2,287</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415</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1,872</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35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2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19,127</w:t>
            </w:r>
          </w:p>
        </w:tc>
        <w:tc>
          <w:tcPr>
            <w:tcW w:w="320" w:type="dxa"/>
            <w:vAlign w:val="bottom"/>
          </w:tcPr>
          <w:p>
            <w:pPr>
              <w:spacing w:after="0"/>
              <w:rPr>
                <w:sz w:val="16"/>
                <w:szCs w:val="16"/>
                <w:color w:val="auto"/>
              </w:rPr>
            </w:pPr>
          </w:p>
        </w:tc>
        <w:tc>
          <w:tcPr>
            <w:tcW w:w="1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19,127</w:t>
            </w:r>
          </w:p>
        </w:tc>
        <w:tc>
          <w:tcPr>
            <w:tcW w:w="200" w:type="dxa"/>
            <w:vAlign w:val="bottom"/>
          </w:tcPr>
          <w:p>
            <w:pPr>
              <w:spacing w:after="0"/>
              <w:rPr>
                <w:sz w:val="16"/>
                <w:szCs w:val="16"/>
                <w:color w:val="auto"/>
              </w:rPr>
            </w:pP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19,127</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 – Not applicable</w:t>
      </w:r>
    </w:p>
    <w:p>
      <w:pPr>
        <w:spacing w:after="0" w:line="52" w:lineRule="exact"/>
        <w:rPr>
          <w:sz w:val="20"/>
          <w:szCs w:val="20"/>
          <w:color w:val="auto"/>
        </w:rPr>
      </w:pPr>
    </w:p>
    <w:p>
      <w:pPr>
        <w:ind w:left="480" w:right="20" w:hanging="456"/>
        <w:spacing w:after="0" w:line="182" w:lineRule="auto"/>
        <w:tabs>
          <w:tab w:leader="none" w:pos="480" w:val="left"/>
        </w:tabs>
        <w:numPr>
          <w:ilvl w:val="0"/>
          <w:numId w:val="48"/>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3"/>
          <w:szCs w:val="13"/>
          <w:color w:val="auto"/>
        </w:rPr>
        <w:t>Deposits with no stated maturity include reciprocal deposits with a recorded book balance of $723.014 million and $555.781 million at December 31, 2023 and 2022, respectively. Deposits with a stated maturity include reciprocal deposits with a recorded book balance of $109.006 million and $46.794 million at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The fair values for commitments to extend credit and standby letters of credit are estimated to approximate their aggregate book balance, which is nominal, and therefore are not disclosed.</w:t>
      </w:r>
    </w:p>
    <w:p>
      <w:pPr>
        <w:spacing w:after="0" w:line="163"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63"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176" w:lineRule="exact"/>
        <w:rPr>
          <w:sz w:val="20"/>
          <w:szCs w:val="20"/>
          <w:color w:val="auto"/>
        </w:rPr>
      </w:pPr>
    </w:p>
    <w:p>
      <w:pPr>
        <w:jc w:val="both"/>
        <w:ind w:firstLine="320"/>
        <w:spacing w:after="0" w:line="277" w:lineRule="auto"/>
        <w:rPr>
          <w:sz w:val="20"/>
          <w:szCs w:val="20"/>
          <w:color w:val="auto"/>
        </w:rPr>
      </w:pPr>
      <w:r>
        <w:rPr>
          <w:rFonts w:ascii="Times New Roman" w:cs="Times New Roman" w:eastAsia="Times New Roman" w:hAnsi="Times New Roman"/>
          <w:sz w:val="18"/>
          <w:szCs w:val="18"/>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 ACCUMULATED OTHER COMPREHENSIVE INCOME (LOSS)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changes in accumulated other comprehensive income (loss) (‘‘AOCIL’’), net of tax during the years ended December 31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Dispropor-</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300"/>
              <w:spacing w:after="0" w:line="182"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w w:val="98"/>
              </w:rPr>
              <w:t>tionate</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Losses on</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Tax Effects</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(Losses) on</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200" w:type="dxa"/>
            <w:vAlign w:val="bottom"/>
          </w:tcPr>
          <w:p>
            <w:pPr>
              <w:spacing w:after="0"/>
              <w:rPr>
                <w:sz w:val="11"/>
                <w:szCs w:val="11"/>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Gains on</w:t>
            </w: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3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vMerge w:val="restart"/>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w w:val="96"/>
              </w:rPr>
              <w:t>Transferred to</w:t>
            </w:r>
          </w:p>
        </w:tc>
        <w:tc>
          <w:tcPr>
            <w:tcW w:w="16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3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00" w:type="dxa"/>
            <w:vAlign w:val="bottom"/>
          </w:tcPr>
          <w:p>
            <w:pPr>
              <w:spacing w:after="0"/>
              <w:rPr>
                <w:sz w:val="5"/>
                <w:szCs w:val="5"/>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80" w:type="dxa"/>
            <w:vAlign w:val="bottom"/>
            <w:gridSpan w:val="3"/>
          </w:tcPr>
          <w:p>
            <w:pPr>
              <w:jc w:val="center"/>
              <w:ind w:right="1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Securities HTM</w:t>
            </w:r>
          </w:p>
        </w:tc>
        <w:tc>
          <w:tcPr>
            <w:tcW w:w="1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restart"/>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0"/>
        </w:trPr>
        <w:tc>
          <w:tcPr>
            <w:tcW w:w="3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AFS</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AFS</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Instruments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(92,763)</w:t>
            </w:r>
          </w:p>
        </w:tc>
        <w:tc>
          <w:tcPr>
            <w:tcW w:w="0" w:type="dxa"/>
            <w:vAlign w:val="bottom"/>
          </w:tcPr>
          <w:p>
            <w:pPr>
              <w:spacing w:after="0"/>
              <w:rPr>
                <w:sz w:val="1"/>
                <w:szCs w:val="1"/>
                <w:color w:val="auto"/>
              </w:rPr>
            </w:pPr>
          </w:p>
        </w:tc>
      </w:tr>
      <w:tr>
        <w:trPr>
          <w:trHeight w:val="222"/>
        </w:trPr>
        <w:tc>
          <w:tcPr>
            <w:tcW w:w="3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reclassifications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20,101</w:t>
            </w:r>
          </w:p>
        </w:tc>
        <w:tc>
          <w:tcPr>
            <w:tcW w:w="0" w:type="dxa"/>
            <w:vAlign w:val="bottom"/>
          </w:tcPr>
          <w:p>
            <w:pPr>
              <w:spacing w:after="0"/>
              <w:rPr>
                <w:sz w:val="1"/>
                <w:szCs w:val="1"/>
                <w:color w:val="auto"/>
              </w:rPr>
            </w:pPr>
          </w:p>
        </w:tc>
      </w:tr>
      <w:tr>
        <w:trPr>
          <w:trHeight w:val="227"/>
        </w:trPr>
        <w:tc>
          <w:tcPr>
            <w:tcW w:w="3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AOCIL</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153"/>
        </w:trPr>
        <w:tc>
          <w:tcPr>
            <w:tcW w:w="3600" w:type="dxa"/>
            <w:vAlign w:val="bottom"/>
          </w:tcPr>
          <w:p>
            <w:pPr>
              <w:ind w:left="460"/>
              <w:spacing w:after="0" w:line="154" w:lineRule="exact"/>
              <w:rPr>
                <w:sz w:val="20"/>
                <w:szCs w:val="20"/>
                <w:color w:val="auto"/>
              </w:rPr>
            </w:pPr>
            <w:r>
              <w:rPr>
                <w:rFonts w:ascii="Times New Roman" w:cs="Times New Roman" w:eastAsia="Times New Roman" w:hAnsi="Times New Roman"/>
                <w:sz w:val="17"/>
                <w:szCs w:val="17"/>
                <w:color w:val="auto"/>
              </w:rPr>
              <w:t>Net current period other comprehensive</w:t>
            </w: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36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income</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20,621</w:t>
            </w:r>
          </w:p>
        </w:tc>
        <w:tc>
          <w:tcPr>
            <w:tcW w:w="0" w:type="dxa"/>
            <w:vAlign w:val="bottom"/>
          </w:tcPr>
          <w:p>
            <w:pPr>
              <w:spacing w:after="0"/>
              <w:rPr>
                <w:sz w:val="1"/>
                <w:szCs w:val="1"/>
                <w:color w:val="auto"/>
              </w:rPr>
            </w:pPr>
          </w:p>
        </w:tc>
      </w:tr>
      <w:tr>
        <w:trPr>
          <w:trHeight w:val="245"/>
        </w:trPr>
        <w:tc>
          <w:tcPr>
            <w:tcW w:w="3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(72,142)</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2"/>
        </w:trPr>
        <w:tc>
          <w:tcPr>
            <w:tcW w:w="3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loss before</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6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reclassifications</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(93,481)</w:t>
            </w:r>
          </w:p>
        </w:tc>
        <w:tc>
          <w:tcPr>
            <w:tcW w:w="0" w:type="dxa"/>
            <w:vAlign w:val="bottom"/>
          </w:tcPr>
          <w:p>
            <w:pPr>
              <w:spacing w:after="0"/>
              <w:rPr>
                <w:sz w:val="1"/>
                <w:szCs w:val="1"/>
                <w:color w:val="auto"/>
              </w:rPr>
            </w:pPr>
          </w:p>
        </w:tc>
      </w:tr>
      <w:tr>
        <w:trPr>
          <w:trHeight w:val="227"/>
        </w:trPr>
        <w:tc>
          <w:tcPr>
            <w:tcW w:w="3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Amounts reclassified from AOCIL</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153"/>
        </w:trPr>
        <w:tc>
          <w:tcPr>
            <w:tcW w:w="3600" w:type="dxa"/>
            <w:vAlign w:val="bottom"/>
            <w:tcBorders>
              <w:top w:val="single" w:sz="8" w:color="CCEEFF"/>
            </w:tcBorders>
            <w:shd w:val="clear" w:color="auto" w:fill="CCEEFF"/>
          </w:tcPr>
          <w:p>
            <w:pPr>
              <w:ind w:left="500"/>
              <w:spacing w:after="0" w:line="154" w:lineRule="exact"/>
              <w:rPr>
                <w:sz w:val="20"/>
                <w:szCs w:val="20"/>
                <w:color w:val="auto"/>
              </w:rPr>
            </w:pPr>
            <w:r>
              <w:rPr>
                <w:rFonts w:ascii="Times New Roman" w:cs="Times New Roman" w:eastAsia="Times New Roman" w:hAnsi="Times New Roman"/>
                <w:sz w:val="17"/>
                <w:szCs w:val="17"/>
                <w:color w:val="auto"/>
              </w:rPr>
              <w:t>Net current period other comprehensive</w:t>
            </w:r>
          </w:p>
        </w:tc>
        <w:tc>
          <w:tcPr>
            <w:tcW w:w="2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3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loss</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(75,041)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(93,264)</w:t>
            </w:r>
          </w:p>
        </w:tc>
        <w:tc>
          <w:tcPr>
            <w:tcW w:w="0" w:type="dxa"/>
            <w:vAlign w:val="bottom"/>
          </w:tcPr>
          <w:p>
            <w:pPr>
              <w:spacing w:after="0"/>
              <w:rPr>
                <w:sz w:val="1"/>
                <w:szCs w:val="1"/>
                <w:color w:val="auto"/>
              </w:rPr>
            </w:pPr>
          </w:p>
        </w:tc>
      </w:tr>
      <w:tr>
        <w:trPr>
          <w:trHeight w:val="220"/>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(92,763)</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0" w:type="dxa"/>
            <w:vAlign w:val="bottom"/>
          </w:tcPr>
          <w:p>
            <w:pPr>
              <w:spacing w:after="0"/>
              <w:rPr>
                <w:sz w:val="1"/>
                <w:szCs w:val="1"/>
                <w:color w:val="auto"/>
              </w:rPr>
            </w:pPr>
          </w:p>
        </w:tc>
      </w:tr>
      <w:tr>
        <w:trPr>
          <w:trHeight w:val="222"/>
        </w:trPr>
        <w:tc>
          <w:tcPr>
            <w:tcW w:w="3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loss before</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reclassifications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(8,408)</w:t>
            </w:r>
          </w:p>
        </w:tc>
        <w:tc>
          <w:tcPr>
            <w:tcW w:w="0" w:type="dxa"/>
            <w:vAlign w:val="bottom"/>
          </w:tcPr>
          <w:p>
            <w:pPr>
              <w:spacing w:after="0"/>
              <w:rPr>
                <w:sz w:val="1"/>
                <w:szCs w:val="1"/>
                <w:color w:val="auto"/>
              </w:rPr>
            </w:pPr>
          </w:p>
        </w:tc>
      </w:tr>
      <w:tr>
        <w:trPr>
          <w:trHeight w:val="227"/>
        </w:trPr>
        <w:tc>
          <w:tcPr>
            <w:tcW w:w="3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AOCIL</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02"/>
        </w:trPr>
        <w:tc>
          <w:tcPr>
            <w:tcW w:w="3600" w:type="dxa"/>
            <w:vAlign w:val="bottom"/>
          </w:tcPr>
          <w:p>
            <w:pPr>
              <w:ind w:left="500"/>
              <w:spacing w:after="0" w:line="201" w:lineRule="exact"/>
              <w:rPr>
                <w:sz w:val="20"/>
                <w:szCs w:val="20"/>
                <w:color w:val="auto"/>
              </w:rPr>
            </w:pPr>
            <w:r>
              <w:rPr>
                <w:rFonts w:ascii="Times New Roman" w:cs="Times New Roman" w:eastAsia="Times New Roman" w:hAnsi="Times New Roman"/>
                <w:sz w:val="18"/>
                <w:szCs w:val="18"/>
                <w:color w:val="auto"/>
              </w:rPr>
              <w:t>Net current period other comprehensive</w:t>
            </w: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3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0" w:type="dxa"/>
            <w:vAlign w:val="bottom"/>
          </w:tcPr>
          <w:p>
            <w:pPr>
              <w:spacing w:after="0"/>
              <w:rPr>
                <w:sz w:val="1"/>
                <w:szCs w:val="1"/>
                <w:color w:val="auto"/>
              </w:rPr>
            </w:pPr>
          </w:p>
        </w:tc>
      </w:tr>
      <w:tr>
        <w:trPr>
          <w:trHeight w:val="245"/>
        </w:trPr>
        <w:tc>
          <w:tcPr>
            <w:tcW w:w="3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8"/>
              </w:rPr>
              <w:t>(5,798)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the remaining unrealized loss to be accreted on securities that were transferred from AFS to HTM on April 1, 2022.</w:t>
      </w:r>
    </w:p>
    <w:p>
      <w:pPr>
        <w:spacing w:after="0" w:line="220" w:lineRule="exact"/>
        <w:rPr>
          <w:sz w:val="20"/>
          <w:szCs w:val="20"/>
          <w:color w:val="auto"/>
        </w:rPr>
      </w:pPr>
    </w:p>
    <w:p>
      <w:pPr>
        <w:jc w:val="both"/>
        <w:ind w:firstLine="320"/>
        <w:spacing w:after="0" w:line="253" w:lineRule="auto"/>
        <w:rPr>
          <w:sz w:val="20"/>
          <w:szCs w:val="20"/>
          <w:color w:val="auto"/>
        </w:rPr>
      </w:pPr>
      <w:r>
        <w:rPr>
          <w:rFonts w:ascii="Times New Roman" w:cs="Times New Roman" w:eastAsia="Times New Roman" w:hAnsi="Times New Roman"/>
          <w:sz w:val="18"/>
          <w:szCs w:val="18"/>
          <w:color w:val="auto"/>
        </w:rPr>
        <w:t>The disproportionate tax effects from securities AFS arose primarily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from other comprehensive income to earnings is done by the portfolio method whereby the effects will remain in AOCIL as long as we carry a more than inconsequential portfolio of securities AFS.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reclassifications out of each component of AOCIL for the years ended December 31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Reclassified</w:t>
            </w:r>
          </w:p>
        </w:tc>
        <w:tc>
          <w:tcPr>
            <w:tcW w:w="1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From</w:t>
            </w:r>
          </w:p>
        </w:tc>
        <w:tc>
          <w:tcPr>
            <w:tcW w:w="100" w:type="dxa"/>
            <w:vAlign w:val="bottom"/>
          </w:tcPr>
          <w:p>
            <w:pPr>
              <w:spacing w:after="0"/>
              <w:rPr>
                <w:sz w:val="18"/>
                <w:szCs w:val="18"/>
                <w:color w:val="auto"/>
              </w:rPr>
            </w:pPr>
          </w:p>
        </w:tc>
        <w:tc>
          <w:tcPr>
            <w:tcW w:w="470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Affected Line Item in</w:t>
            </w:r>
          </w:p>
        </w:tc>
        <w:tc>
          <w:tcPr>
            <w:tcW w:w="0" w:type="dxa"/>
            <w:vAlign w:val="bottom"/>
          </w:tcPr>
          <w:p>
            <w:pPr>
              <w:spacing w:after="0"/>
              <w:rPr>
                <w:sz w:val="1"/>
                <w:szCs w:val="1"/>
                <w:color w:val="auto"/>
              </w:rPr>
            </w:pPr>
          </w:p>
        </w:tc>
      </w:tr>
      <w:tr>
        <w:trPr>
          <w:trHeight w:val="263"/>
        </w:trPr>
        <w:tc>
          <w:tcPr>
            <w:tcW w:w="496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AOCIL Component</w:t>
            </w:r>
          </w:p>
        </w:tc>
        <w:tc>
          <w:tcPr>
            <w:tcW w:w="140" w:type="dxa"/>
            <w:vAlign w:val="bottom"/>
          </w:tcPr>
          <w:p>
            <w:pPr>
              <w:spacing w:after="0"/>
              <w:rPr>
                <w:sz w:val="22"/>
                <w:szCs w:val="22"/>
                <w:color w:val="auto"/>
              </w:rPr>
            </w:pPr>
          </w:p>
        </w:tc>
        <w:tc>
          <w:tcPr>
            <w:tcW w:w="132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AOCIL</w:t>
            </w:r>
          </w:p>
        </w:tc>
        <w:tc>
          <w:tcPr>
            <w:tcW w:w="100" w:type="dxa"/>
            <w:vAlign w:val="bottom"/>
          </w:tcPr>
          <w:p>
            <w:pPr>
              <w:spacing w:after="0"/>
              <w:rPr>
                <w:sz w:val="22"/>
                <w:szCs w:val="22"/>
                <w:color w:val="auto"/>
              </w:rPr>
            </w:pPr>
          </w:p>
        </w:tc>
        <w:tc>
          <w:tcPr>
            <w:tcW w:w="470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0" w:type="dxa"/>
            <w:vAlign w:val="bottom"/>
          </w:tcPr>
          <w:p>
            <w:pPr>
              <w:spacing w:after="0"/>
              <w:rPr>
                <w:sz w:val="1"/>
                <w:szCs w:val="1"/>
                <w:color w:val="auto"/>
              </w:rPr>
            </w:pPr>
          </w:p>
        </w:tc>
      </w:tr>
      <w:tr>
        <w:trPr>
          <w:trHeight w:val="230"/>
        </w:trPr>
        <w:tc>
          <w:tcPr>
            <w:tcW w:w="4700" w:type="dxa"/>
            <w:vAlign w:val="bottom"/>
            <w:tcBorders>
              <w:top w:val="single" w:sz="8" w:color="auto"/>
            </w:tcBorders>
            <w:vMerge w:val="restart"/>
          </w:tcPr>
          <w:p>
            <w:pPr>
              <w:jc w:val="right"/>
              <w:ind w:right="4231"/>
              <w:spacing w:after="0"/>
              <w:rPr>
                <w:sz w:val="20"/>
                <w:szCs w:val="20"/>
                <w:color w:val="auto"/>
              </w:rPr>
            </w:pPr>
            <w:r>
              <w:rPr>
                <w:rFonts w:ascii="Times New Roman" w:cs="Times New Roman" w:eastAsia="Times New Roman" w:hAnsi="Times New Roman"/>
                <w:sz w:val="18"/>
                <w:szCs w:val="18"/>
                <w:color w:val="auto"/>
                <w:w w:val="99"/>
              </w:rPr>
              <w:t>2023</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9"/>
                <w:szCs w:val="19"/>
                <w:color w:val="auto"/>
              </w:rPr>
            </w:pPr>
          </w:p>
        </w:tc>
        <w:tc>
          <w:tcPr>
            <w:tcW w:w="47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4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(losses) on securities available for sale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23"/>
                <w:szCs w:val="23"/>
                <w:color w:val="auto"/>
              </w:rPr>
            </w:pP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(losses) on securities available for sale</w:t>
            </w:r>
          </w:p>
        </w:tc>
        <w:tc>
          <w:tcPr>
            <w:tcW w:w="0" w:type="dxa"/>
            <w:vAlign w:val="bottom"/>
          </w:tcPr>
          <w:p>
            <w:pPr>
              <w:spacing w:after="0"/>
              <w:rPr>
                <w:sz w:val="1"/>
                <w:szCs w:val="1"/>
                <w:color w:val="auto"/>
              </w:rPr>
            </w:pPr>
          </w:p>
        </w:tc>
      </w:tr>
      <w:tr>
        <w:trPr>
          <w:trHeight w:val="227"/>
        </w:trPr>
        <w:tc>
          <w:tcPr>
            <w:tcW w:w="47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0" w:type="dxa"/>
            <w:vAlign w:val="bottom"/>
          </w:tcPr>
          <w:p>
            <w:pPr>
              <w:spacing w:after="0"/>
              <w:rPr>
                <w:sz w:val="1"/>
                <w:szCs w:val="1"/>
                <w:color w:val="auto"/>
              </w:rPr>
            </w:pPr>
          </w:p>
        </w:tc>
      </w:tr>
      <w:tr>
        <w:trPr>
          <w:trHeight w:val="245"/>
        </w:trPr>
        <w:tc>
          <w:tcPr>
            <w:tcW w:w="47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 net of tax</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9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gains on 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21"/>
                <w:szCs w:val="21"/>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0" w:type="dxa"/>
            <w:vAlign w:val="bottom"/>
          </w:tcPr>
          <w:p>
            <w:pPr>
              <w:spacing w:after="0"/>
              <w:rPr>
                <w:sz w:val="1"/>
                <w:szCs w:val="1"/>
                <w:color w:val="auto"/>
              </w:rPr>
            </w:pPr>
          </w:p>
        </w:tc>
      </w:tr>
      <w:tr>
        <w:trPr>
          <w:trHeight w:val="254"/>
        </w:trPr>
        <w:tc>
          <w:tcPr>
            <w:tcW w:w="47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2"/>
                <w:szCs w:val="22"/>
                <w:color w:val="auto"/>
              </w:rPr>
            </w:pP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0" w:type="dxa"/>
            <w:vAlign w:val="bottom"/>
          </w:tcPr>
          <w:p>
            <w:pPr>
              <w:spacing w:after="0"/>
              <w:rPr>
                <w:sz w:val="1"/>
                <w:szCs w:val="1"/>
                <w:color w:val="auto"/>
              </w:rPr>
            </w:pPr>
          </w:p>
        </w:tc>
      </w:tr>
      <w:tr>
        <w:trPr>
          <w:trHeight w:val="253"/>
        </w:trPr>
        <w:tc>
          <w:tcPr>
            <w:tcW w:w="4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22"/>
                <w:szCs w:val="22"/>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 net of tax</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1"/>
                <w:szCs w:val="21"/>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reclassifications for the period, net of tax</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700" w:type="dxa"/>
            <w:vAlign w:val="bottom"/>
          </w:tcPr>
          <w:p>
            <w:pPr>
              <w:jc w:val="right"/>
              <w:ind w:right="4231"/>
              <w:spacing w:after="0"/>
              <w:rPr>
                <w:sz w:val="20"/>
                <w:szCs w:val="20"/>
                <w:color w:val="auto"/>
              </w:rPr>
            </w:pPr>
            <w:r>
              <w:rPr>
                <w:rFonts w:ascii="Times New Roman" w:cs="Times New Roman" w:eastAsia="Times New Roman" w:hAnsi="Times New Roman"/>
                <w:sz w:val="18"/>
                <w:szCs w:val="18"/>
                <w:color w:val="auto"/>
                <w:w w:val="99"/>
              </w:rPr>
              <w:t>2022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4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(losses) on securities available for sale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23"/>
                <w:szCs w:val="23"/>
                <w:color w:val="auto"/>
              </w:rPr>
            </w:pP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(losses) on securities available for sale</w:t>
            </w:r>
          </w:p>
        </w:tc>
        <w:tc>
          <w:tcPr>
            <w:tcW w:w="0" w:type="dxa"/>
            <w:vAlign w:val="bottom"/>
          </w:tcPr>
          <w:p>
            <w:pPr>
              <w:spacing w:after="0"/>
              <w:rPr>
                <w:sz w:val="1"/>
                <w:szCs w:val="1"/>
                <w:color w:val="auto"/>
              </w:rPr>
            </w:pPr>
          </w:p>
        </w:tc>
      </w:tr>
      <w:tr>
        <w:trPr>
          <w:trHeight w:val="227"/>
        </w:trPr>
        <w:tc>
          <w:tcPr>
            <w:tcW w:w="47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0" w:type="dxa"/>
            <w:vAlign w:val="bottom"/>
          </w:tcPr>
          <w:p>
            <w:pPr>
              <w:spacing w:after="0"/>
              <w:rPr>
                <w:sz w:val="1"/>
                <w:szCs w:val="1"/>
                <w:color w:val="auto"/>
              </w:rPr>
            </w:pPr>
          </w:p>
        </w:tc>
      </w:tr>
      <w:tr>
        <w:trPr>
          <w:trHeight w:val="245"/>
        </w:trPr>
        <w:tc>
          <w:tcPr>
            <w:tcW w:w="47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 net of tax</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4940" w:type="dxa"/>
            <w:vAlign w:val="bottom"/>
          </w:tcPr>
          <w:p>
            <w:pPr>
              <w:jc w:val="right"/>
              <w:ind w:right="4491"/>
              <w:spacing w:after="0"/>
              <w:rPr>
                <w:sz w:val="20"/>
                <w:szCs w:val="20"/>
                <w:color w:val="auto"/>
              </w:rPr>
            </w:pPr>
            <w:r>
              <w:rPr>
                <w:rFonts w:ascii="Times New Roman" w:cs="Times New Roman" w:eastAsia="Times New Roman" w:hAnsi="Times New Roman"/>
                <w:sz w:val="18"/>
                <w:szCs w:val="18"/>
                <w:color w:val="auto"/>
                <w:w w:val="94"/>
              </w:rPr>
              <w:t>2021</w:t>
            </w: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61"/>
        </w:trPr>
        <w:tc>
          <w:tcPr>
            <w:tcW w:w="494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Unrealized gains (losses) on securities available for sale</w:t>
            </w:r>
          </w:p>
        </w:tc>
        <w:tc>
          <w:tcPr>
            <w:tcW w:w="5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32"/>
        </w:trPr>
        <w:tc>
          <w:tcPr>
            <w:tcW w:w="49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20"/>
        </w:trPr>
        <w:tc>
          <w:tcPr>
            <w:tcW w:w="4940" w:type="dxa"/>
            <w:vAlign w:val="bottom"/>
          </w:tcPr>
          <w:p>
            <w:pPr>
              <w:spacing w:after="0"/>
              <w:rPr>
                <w:sz w:val="19"/>
                <w:szCs w:val="19"/>
                <w:color w:val="auto"/>
              </w:rPr>
            </w:pPr>
          </w:p>
        </w:tc>
        <w:tc>
          <w:tcPr>
            <w:tcW w:w="5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r>
      <w:tr>
        <w:trPr>
          <w:trHeight w:val="20"/>
        </w:trPr>
        <w:tc>
          <w:tcPr>
            <w:tcW w:w="4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-643255</wp:posOffset>
            </wp:positionV>
            <wp:extent cx="7117080" cy="144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7117080" cy="144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-329565</wp:posOffset>
            </wp:positionV>
            <wp:extent cx="7117080" cy="144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7117080" cy="144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color w:val="auto"/>
        </w:rPr>
        <w:t>Net gains (losses) on securities available for sale Income tax expense</w:t>
      </w:r>
    </w:p>
    <w:p>
      <w:pPr>
        <w:spacing w:after="0"/>
        <w:rPr>
          <w:sz w:val="20"/>
          <w:szCs w:val="20"/>
          <w:color w:val="auto"/>
        </w:rPr>
      </w:pPr>
      <w:r>
        <w:rPr>
          <w:rFonts w:ascii="Times New Roman" w:cs="Times New Roman" w:eastAsia="Times New Roman" w:hAnsi="Times New Roman"/>
          <w:sz w:val="18"/>
          <w:szCs w:val="18"/>
          <w:color w:val="auto"/>
        </w:rPr>
        <w:t>Reclassifications, net of tax</w:t>
      </w:r>
    </w:p>
    <w:p>
      <w:pPr>
        <w:spacing w:after="0" w:line="251" w:lineRule="exact"/>
        <w:rPr>
          <w:sz w:val="20"/>
          <w:szCs w:val="20"/>
          <w:color w:val="auto"/>
        </w:rPr>
      </w:pPr>
    </w:p>
    <w:p>
      <w:pPr>
        <w:sectPr>
          <w:pgSz w:w="11900" w:h="16838" w:orient="portrait"/>
          <w:cols w:equalWidth="0" w:num="2">
            <w:col w:w="6420" w:space="120"/>
            <w:col w:w="4700"/>
          </w:cols>
          <w:pgMar w:left="320" w:top="121" w:right="339"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 INDEPENDENT BANK CORPORATION (PARENT COMPANY ONLY) FINANCIAL INFORMATION</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Presented below are condensed financial statements for our parent company.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FINANCIAL CONDITION</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30"/>
        </w:trPr>
        <w:tc>
          <w:tcPr>
            <w:tcW w:w="6620" w:type="dxa"/>
            <w:vAlign w:val="bottom"/>
            <w:vMerge w:val="restart"/>
          </w:tcPr>
          <w:p>
            <w:pPr>
              <w:ind w:left="3780"/>
              <w:spacing w:after="0"/>
              <w:rPr>
                <w:sz w:val="20"/>
                <w:szCs w:val="20"/>
                <w:color w:val="auto"/>
              </w:rPr>
            </w:pPr>
            <w:r>
              <w:rPr>
                <w:rFonts w:ascii="Times New Roman" w:cs="Times New Roman" w:eastAsia="Times New Roman" w:hAnsi="Times New Roman"/>
                <w:sz w:val="18"/>
                <w:szCs w:val="18"/>
                <w:color w:val="auto"/>
              </w:rPr>
              <w:t>ASSETS</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10,502</w:t>
            </w:r>
          </w:p>
        </w:tc>
        <w:tc>
          <w:tcPr>
            <w:tcW w:w="0" w:type="dxa"/>
            <w:vAlign w:val="bottom"/>
          </w:tcPr>
          <w:p>
            <w:pPr>
              <w:spacing w:after="0"/>
              <w:rPr>
                <w:sz w:val="1"/>
                <w:szCs w:val="1"/>
                <w:color w:val="auto"/>
              </w:rPr>
            </w:pP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bearing deposits - time</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436,887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376,930</w:t>
            </w:r>
          </w:p>
        </w:tc>
        <w:tc>
          <w:tcPr>
            <w:tcW w:w="0" w:type="dxa"/>
            <w:vAlign w:val="bottom"/>
          </w:tcPr>
          <w:p>
            <w:pPr>
              <w:spacing w:after="0"/>
              <w:rPr>
                <w:sz w:val="1"/>
                <w:szCs w:val="1"/>
                <w:color w:val="auto"/>
              </w:rPr>
            </w:pPr>
          </w:p>
        </w:tc>
      </w:tr>
      <w:tr>
        <w:trPr>
          <w:trHeight w:val="227"/>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income and other assets</w:t>
            </w:r>
          </w:p>
        </w:tc>
        <w:tc>
          <w:tcPr>
            <w:tcW w:w="9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0" w:type="dxa"/>
            <w:vAlign w:val="bottom"/>
          </w:tcPr>
          <w:p>
            <w:pPr>
              <w:spacing w:after="0"/>
              <w:rPr>
                <w:sz w:val="1"/>
                <w:szCs w:val="1"/>
                <w:color w:val="auto"/>
              </w:rPr>
            </w:pPr>
          </w:p>
        </w:tc>
      </w:tr>
      <w:tr>
        <w:trPr>
          <w:trHeight w:val="245"/>
        </w:trPr>
        <w:tc>
          <w:tcPr>
            <w:tcW w:w="6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487,825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433,652</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debt</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39,510</w:t>
            </w:r>
          </w:p>
        </w:tc>
        <w:tc>
          <w:tcPr>
            <w:tcW w:w="100" w:type="dxa"/>
            <w:vAlign w:val="bottom"/>
          </w:tcPr>
          <w:p>
            <w:pPr>
              <w:spacing w:after="0"/>
              <w:rPr>
                <w:sz w:val="19"/>
                <w:szCs w:val="19"/>
                <w:color w:val="auto"/>
              </w:rPr>
            </w:pPr>
          </w:p>
        </w:tc>
        <w:tc>
          <w:tcPr>
            <w:tcW w:w="5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39,433</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debentures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39,660</w:t>
            </w:r>
          </w:p>
        </w:tc>
        <w:tc>
          <w:tcPr>
            <w:tcW w:w="0" w:type="dxa"/>
            <w:vAlign w:val="bottom"/>
          </w:tcPr>
          <w:p>
            <w:pPr>
              <w:spacing w:after="0"/>
              <w:rPr>
                <w:sz w:val="1"/>
                <w:szCs w:val="1"/>
                <w:color w:val="auto"/>
              </w:rPr>
            </w:pP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405,401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348,511</w:t>
            </w:r>
          </w:p>
        </w:tc>
        <w:tc>
          <w:tcPr>
            <w:tcW w:w="0" w:type="dxa"/>
            <w:vAlign w:val="bottom"/>
          </w:tcPr>
          <w:p>
            <w:pPr>
              <w:spacing w:after="0"/>
              <w:rPr>
                <w:sz w:val="1"/>
                <w:szCs w:val="1"/>
                <w:color w:val="auto"/>
              </w:rPr>
            </w:pPr>
          </w:p>
        </w:tc>
      </w:tr>
      <w:tr>
        <w:trPr>
          <w:trHeight w:val="220"/>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487,825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433,652</w:t>
            </w:r>
          </w:p>
        </w:tc>
        <w:tc>
          <w:tcPr>
            <w:tcW w:w="0" w:type="dxa"/>
            <w:vAlign w:val="bottom"/>
          </w:tcPr>
          <w:p>
            <w:pPr>
              <w:spacing w:after="0"/>
              <w:rPr>
                <w:sz w:val="1"/>
                <w:szCs w:val="1"/>
                <w:color w:val="auto"/>
              </w:rPr>
            </w:pPr>
          </w:p>
        </w:tc>
      </w:tr>
      <w:tr>
        <w:trPr>
          <w:trHeight w:val="20"/>
        </w:trPr>
        <w:tc>
          <w:tcPr>
            <w:tcW w:w="8180" w:type="dxa"/>
            <w:vAlign w:val="bottom"/>
            <w:gridSpan w:val="4"/>
            <w:vMerge w:val="restart"/>
          </w:tcPr>
          <w:p>
            <w:pPr>
              <w:ind w:left="370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4"/>
        </w:trPr>
        <w:tc>
          <w:tcPr>
            <w:tcW w:w="818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6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6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30"/>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from subsidiary</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24,000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0" w:type="dxa"/>
            <w:vAlign w:val="bottom"/>
          </w:tcPr>
          <w:p>
            <w:pPr>
              <w:spacing w:after="0"/>
              <w:rPr>
                <w:sz w:val="1"/>
                <w:szCs w:val="1"/>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0"/>
        </w:trPr>
        <w:tc>
          <w:tcPr>
            <w:tcW w:w="6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Income</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25,413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32,088</w:t>
            </w:r>
          </w:p>
        </w:tc>
        <w:tc>
          <w:tcPr>
            <w:tcW w:w="0" w:type="dxa"/>
            <w:vAlign w:val="bottom"/>
          </w:tcPr>
          <w:p>
            <w:pPr>
              <w:spacing w:after="0"/>
              <w:rPr>
                <w:sz w:val="1"/>
                <w:szCs w:val="1"/>
                <w:color w:val="auto"/>
              </w:rPr>
            </w:pPr>
          </w:p>
        </w:tc>
      </w:tr>
      <w:tr>
        <w:trPr>
          <w:trHeight w:val="247"/>
        </w:trPr>
        <w:tc>
          <w:tcPr>
            <w:tcW w:w="66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0" w:type="dxa"/>
            <w:vAlign w:val="bottom"/>
          </w:tcPr>
          <w:p>
            <w:pPr>
              <w:spacing w:after="0"/>
              <w:rPr>
                <w:sz w:val="1"/>
                <w:szCs w:val="1"/>
                <w:color w:val="auto"/>
              </w:rPr>
            </w:pPr>
          </w:p>
        </w:tc>
      </w:tr>
      <w:tr>
        <w:trPr>
          <w:trHeight w:val="227"/>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Administrative and other expenses</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2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0" w:type="dxa"/>
            <w:vAlign w:val="bottom"/>
          </w:tcPr>
          <w:p>
            <w:pPr>
              <w:spacing w:after="0"/>
              <w:rPr>
                <w:sz w:val="1"/>
                <w:szCs w:val="1"/>
                <w:color w:val="auto"/>
              </w:rPr>
            </w:pPr>
          </w:p>
        </w:tc>
      </w:tr>
      <w:tr>
        <w:trPr>
          <w:trHeight w:val="247"/>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Income Tax and Equity in Undistributed Net Income of Subsidiaries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18,553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27,676</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(1,215)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47"/>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Equity in Undistributed Net Income of Subsidiaries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19,768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28,724</w:t>
            </w:r>
          </w:p>
        </w:tc>
        <w:tc>
          <w:tcPr>
            <w:tcW w:w="0" w:type="dxa"/>
            <w:vAlign w:val="bottom"/>
          </w:tcPr>
          <w:p>
            <w:pPr>
              <w:spacing w:after="0"/>
              <w:rPr>
                <w:sz w:val="1"/>
                <w:szCs w:val="1"/>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undistributed net income of subsidiaries</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39,299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34,171</w:t>
            </w:r>
          </w:p>
        </w:tc>
        <w:tc>
          <w:tcPr>
            <w:tcW w:w="0" w:type="dxa"/>
            <w:vAlign w:val="bottom"/>
          </w:tcPr>
          <w:p>
            <w:pPr>
              <w:spacing w:after="0"/>
              <w:rPr>
                <w:sz w:val="1"/>
                <w:szCs w:val="1"/>
                <w:color w:val="auto"/>
              </w:rPr>
            </w:pPr>
          </w:p>
        </w:tc>
      </w:tr>
      <w:tr>
        <w:trPr>
          <w:trHeight w:val="220"/>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59,067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63,351</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62,895</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5500"/>
              <w:spacing w:after="0"/>
              <w:rPr>
                <w:sz w:val="20"/>
                <w:szCs w:val="20"/>
                <w:color w:val="auto"/>
              </w:rPr>
            </w:pPr>
            <w:r>
              <w:rPr>
                <w:rFonts w:ascii="Times New Roman" w:cs="Times New Roman" w:eastAsia="Times New Roman" w:hAnsi="Times New Roman"/>
                <w:sz w:val="18"/>
                <w:szCs w:val="18"/>
                <w:color w:val="auto"/>
              </w:rPr>
              <w:t>126</w:t>
            </w: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5"/>
        </w:trPr>
        <w:tc>
          <w:tcPr>
            <w:tcW w:w="66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66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gridSpan w:val="4"/>
          </w:tcPr>
          <w:p>
            <w:pPr>
              <w:ind w:left="370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66"/>
        </w:trPr>
        <w:tc>
          <w:tcPr>
            <w:tcW w:w="6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711"/>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20" w:type="dxa"/>
            <w:vAlign w:val="bottom"/>
            <w:tcBorders>
              <w:bottom w:val="single" w:sz="8" w:color="auto"/>
            </w:tcBorders>
          </w:tcPr>
          <w:p>
            <w:pPr>
              <w:spacing w:after="0"/>
              <w:rPr>
                <w:sz w:val="24"/>
                <w:szCs w:val="24"/>
                <w:color w:val="auto"/>
              </w:rPr>
            </w:pPr>
          </w:p>
        </w:tc>
      </w:tr>
      <w:tr>
        <w:trPr>
          <w:trHeight w:val="220"/>
        </w:trPr>
        <w:tc>
          <w:tcPr>
            <w:tcW w:w="6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0"/>
        </w:trPr>
        <w:tc>
          <w:tcPr>
            <w:tcW w:w="6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62,895</w:t>
            </w:r>
          </w:p>
        </w:tc>
      </w:tr>
      <w:tr>
        <w:trPr>
          <w:trHeight w:val="202"/>
        </w:trPr>
        <w:tc>
          <w:tcPr>
            <w:tcW w:w="66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w w:val="99"/>
              </w:rPr>
              <w:t>ADJUSTMENTS TO RECONCILE NET INCOME TO NET CASH FROM OPERATING</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2"/>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based compensation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discount on subordinated debt and debentures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decrease in accrued income and other assets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accrued expenses and other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7"/>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Equity in undistributed net income of subsidiaries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(34,171)</w:t>
            </w:r>
          </w:p>
        </w:tc>
      </w:tr>
      <w:tr>
        <w:trPr>
          <w:trHeight w:val="22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(33,066)</w:t>
            </w:r>
          </w:p>
        </w:tc>
      </w:tr>
      <w:tr>
        <w:trPr>
          <w:trHeight w:val="220"/>
        </w:trPr>
        <w:tc>
          <w:tcPr>
            <w:tcW w:w="6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29,829</w:t>
            </w:r>
          </w:p>
        </w:tc>
      </w:tr>
      <w:tr>
        <w:trPr>
          <w:trHeight w:val="220"/>
        </w:trPr>
        <w:tc>
          <w:tcPr>
            <w:tcW w:w="6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USED IN INVESTING ACTIVITIES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interest bearing deposits - time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w:t>
            </w:r>
          </w:p>
        </w:tc>
      </w:tr>
      <w:tr>
        <w:trPr>
          <w:trHeight w:val="227"/>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Maturity of interest bearing deposits - time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160,000</w:t>
            </w:r>
          </w:p>
        </w:tc>
      </w:tr>
      <w:tr>
        <w:trPr>
          <w:trHeight w:val="22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6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USED IN FINANCING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paid</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(18,155)</w:t>
            </w: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r>
      <w:tr>
        <w:trPr>
          <w:trHeight w:val="22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based compensation withholding obligation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27"/>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(17,269)</w:t>
            </w:r>
          </w:p>
        </w:tc>
      </w:tr>
      <w:tr>
        <w:trPr>
          <w:trHeight w:val="220"/>
        </w:trPr>
        <w:tc>
          <w:tcPr>
            <w:tcW w:w="6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(34,202)</w:t>
            </w:r>
          </w:p>
        </w:tc>
      </w:tr>
      <w:tr>
        <w:trPr>
          <w:trHeight w:val="220"/>
        </w:trPr>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r>
      <w:tr>
        <w:trPr>
          <w:trHeight w:val="227"/>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10,466</w:t>
            </w:r>
          </w:p>
        </w:tc>
      </w:tr>
      <w:tr>
        <w:trPr>
          <w:trHeight w:val="245"/>
        </w:trPr>
        <w:tc>
          <w:tcPr>
            <w:tcW w:w="66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 REVENUE FROM CONTRACTS WITH CUSTOMERS</w:t>
      </w:r>
    </w:p>
    <w:p>
      <w:pPr>
        <w:spacing w:after="0" w:line="224" w:lineRule="exact"/>
        <w:rPr>
          <w:sz w:val="20"/>
          <w:szCs w:val="20"/>
          <w:color w:val="auto"/>
        </w:rPr>
      </w:pPr>
    </w:p>
    <w:p>
      <w:pPr>
        <w:jc w:val="both"/>
        <w:ind w:firstLine="320"/>
        <w:spacing w:after="0" w:line="254" w:lineRule="auto"/>
        <w:rPr>
          <w:sz w:val="20"/>
          <w:szCs w:val="20"/>
          <w:color w:val="auto"/>
        </w:rPr>
      </w:pPr>
      <w:r>
        <w:rPr>
          <w:rFonts w:ascii="Times New Roman" w:cs="Times New Roman" w:eastAsia="Times New Roman" w:hAnsi="Times New Roman"/>
          <w:sz w:val="18"/>
          <w:szCs w:val="18"/>
          <w:color w:val="auto"/>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gains (losses) on securities AFS, mortgage loan servicing, net and bank owned life insurance and were approximately 86.8%, 84.1% and 84.6% of total revenues at December 31, 2023, 2022 and 2021, respectively.</w:t>
      </w:r>
    </w:p>
    <w:p>
      <w:pPr>
        <w:spacing w:after="0" w:line="186"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18"/>
          <w:szCs w:val="18"/>
          <w:color w:val="auto"/>
        </w:rPr>
        <w:t>Material sources of revenue that are included in the scope of this topic include service charges on deposit accounts,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December 31, 2023 and 2022.</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Service charges on deposit accounts and other deposit related income</w:t>
      </w:r>
      <w:r>
        <w:rPr>
          <w:rFonts w:ascii="Times New Roman" w:cs="Times New Roman" w:eastAsia="Times New Roman" w:hAnsi="Times New Roman"/>
          <w:sz w:val="18"/>
          <w:szCs w:val="18"/>
          <w:color w:val="auto"/>
        </w:rPr>
        <w:t>: Revenues are earned on depository accounts for commercial and retail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181"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Interchange income: </w:t>
      </w:r>
      <w:r>
        <w:rPr>
          <w:rFonts w:ascii="Times New Roman" w:cs="Times New Roman" w:eastAsia="Times New Roman" w:hAnsi="Times New Roman"/>
          <w:sz w:val="18"/>
          <w:szCs w:val="18"/>
          <w:color w:val="auto"/>
        </w:rPr>
        <w:t>Interchange income primarily includes debit card interchange and network revenues. Debit card interchange and network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earned on debit card transactions conducted through payment networks such as MasterCard, NYCE (during 2021) and Accel. Interchange income is recognized concurrently with the delivery of services on a daily basis. Interchange and network revenues are presented gross of interchange expenses, which are presented separately as a component of non-interest expense.</w:t>
      </w:r>
    </w:p>
    <w:p>
      <w:pPr>
        <w:spacing w:after="0" w:line="177"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Investment and insurance commissions: </w:t>
      </w:r>
      <w:r>
        <w:rPr>
          <w:rFonts w:ascii="Times New Roman" w:cs="Times New Roman" w:eastAsia="Times New Roman" w:hAnsi="Times New Roman"/>
          <w:sz w:val="18"/>
          <w:szCs w:val="18"/>
          <w:color w:val="auto"/>
        </w:rPr>
        <w:t>Investment and insurance commissions include fees and commissions from asset management, custody,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recordkeeping, investment advisory and other services provided to our customers. Revenue is recognized on an accrual basis at the time the services are performed and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177" w:lineRule="exact"/>
        <w:rPr>
          <w:sz w:val="20"/>
          <w:szCs w:val="20"/>
          <w:color w:val="auto"/>
        </w:rPr>
      </w:pPr>
    </w:p>
    <w:p>
      <w:pPr>
        <w:jc w:val="both"/>
        <w:ind w:firstLine="320"/>
        <w:spacing w:after="0" w:line="255" w:lineRule="auto"/>
        <w:rPr>
          <w:sz w:val="20"/>
          <w:szCs w:val="20"/>
          <w:color w:val="auto"/>
        </w:rPr>
      </w:pPr>
      <w:r>
        <w:rPr>
          <w:rFonts w:ascii="Times New Roman" w:cs="Times New Roman" w:eastAsia="Times New Roman" w:hAnsi="Times New Roman"/>
          <w:sz w:val="18"/>
          <w:szCs w:val="18"/>
          <w:i w:val="1"/>
          <w:iCs w:val="1"/>
          <w:color w:val="auto"/>
        </w:rPr>
        <w:t>Net (gains) losses on other real estate and repossessed assets</w:t>
      </w:r>
      <w:r>
        <w:rPr>
          <w:rFonts w:ascii="Times New Roman" w:cs="Times New Roman" w:eastAsia="Times New Roman" w:hAnsi="Times New Roman"/>
          <w:sz w:val="18"/>
          <w:szCs w:val="18"/>
          <w:color w:val="auto"/>
        </w:rPr>
        <w:t>: We record a gain or loss from the sale of other real estate when control of the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transfers to the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2023, 2022 or 2021 that were financed by us.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Disaggregation of our revenue sources by attribute for the years ended December 31 follow:</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2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Investment</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Charges</w:t>
            </w:r>
          </w:p>
        </w:tc>
        <w:tc>
          <w:tcPr>
            <w:tcW w:w="2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Deposit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on Deposit</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Interchange</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Insurance</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3"/>
        </w:trPr>
        <w:tc>
          <w:tcPr>
            <w:tcW w:w="35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Accounts</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Commissions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5"/>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2"/>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7"/>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Overdraft fees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9,686</w:t>
            </w: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 service charges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r>
      <w:tr>
        <w:trPr>
          <w:trHeight w:val="227"/>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ATM fees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Overdraft fees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7"/>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ATM fees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Interchange income</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w:t>
            </w:r>
          </w:p>
        </w:tc>
      </w:tr>
      <w:tr>
        <w:trPr>
          <w:trHeight w:val="227"/>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 revenue</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based revenue</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r>
      <w:tr>
        <w:trPr>
          <w:trHeight w:val="227"/>
        </w:trPr>
        <w:tc>
          <w:tcPr>
            <w:tcW w:w="3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45"/>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32,903</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2"/>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Reconciliation to Consolidated Statement of</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9"/>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Non-interest income - other:</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7"/>
        </w:trPr>
        <w:tc>
          <w:tcPr>
            <w:tcW w:w="3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deposit related income</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r>
      <w:tr>
        <w:trPr>
          <w:trHeight w:val="267"/>
        </w:trPr>
        <w:tc>
          <w:tcPr>
            <w:tcW w:w="3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w:t>
            </w:r>
          </w:p>
        </w:tc>
      </w:tr>
      <w:tr>
        <w:trPr>
          <w:trHeight w:val="227"/>
        </w:trPr>
        <w:tc>
          <w:tcPr>
            <w:tcW w:w="3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Bank owned life insurance (1)</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27"/>
        </w:trPr>
        <w:tc>
          <w:tcPr>
            <w:tcW w:w="3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(1)</w:t>
            </w: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5,459</w:t>
            </w:r>
          </w:p>
        </w:tc>
      </w:tr>
      <w:tr>
        <w:trPr>
          <w:trHeight w:val="245"/>
        </w:trPr>
        <w:tc>
          <w:tcPr>
            <w:tcW w:w="35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Excluded from the scope of ASC Topic 606.</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2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Investment</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Charges</w:t>
            </w:r>
          </w:p>
        </w:tc>
        <w:tc>
          <w:tcPr>
            <w:tcW w:w="2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Deposit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on Deposit</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Interchange</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Insurance</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3"/>
        </w:trPr>
        <w:tc>
          <w:tcPr>
            <w:tcW w:w="35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Accounts</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Commissions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5"/>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2"/>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7"/>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Overdraft fees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w:t>
            </w: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 service charges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r>
      <w:tr>
        <w:trPr>
          <w:trHeight w:val="227"/>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ATM fees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Overdraft fees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27"/>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ATM fees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Interchange income</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w:t>
            </w:r>
          </w:p>
        </w:tc>
      </w:tr>
      <w:tr>
        <w:trPr>
          <w:trHeight w:val="227"/>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 revenue</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based revenue</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27"/>
        </w:trPr>
        <w:tc>
          <w:tcPr>
            <w:tcW w:w="3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45"/>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31,643</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2"/>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Reconciliation to Consolidated Statement of</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9"/>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Non-interest income - other:</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7"/>
        </w:trPr>
        <w:tc>
          <w:tcPr>
            <w:tcW w:w="3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deposit related income</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r>
      <w:tr>
        <w:trPr>
          <w:trHeight w:val="227"/>
        </w:trPr>
        <w:tc>
          <w:tcPr>
            <w:tcW w:w="3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w:t>
            </w:r>
          </w:p>
        </w:tc>
      </w:tr>
      <w:tr>
        <w:trPr>
          <w:trHeight w:val="227"/>
        </w:trPr>
        <w:tc>
          <w:tcPr>
            <w:tcW w:w="3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Bank owned life insurance (1)</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27"/>
        </w:trPr>
        <w:tc>
          <w:tcPr>
            <w:tcW w:w="3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(1)</w:t>
            </w: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4,977</w:t>
            </w:r>
          </w:p>
        </w:tc>
      </w:tr>
      <w:tr>
        <w:trPr>
          <w:trHeight w:val="245"/>
        </w:trPr>
        <w:tc>
          <w:tcPr>
            <w:tcW w:w="35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10,737</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Excluded from the scope of ASC Topic 606.</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2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Investment</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Charges</w:t>
            </w:r>
          </w:p>
        </w:tc>
        <w:tc>
          <w:tcPr>
            <w:tcW w:w="2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Deposit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on Deposit</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Interchange</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Insurance</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3"/>
        </w:trPr>
        <w:tc>
          <w:tcPr>
            <w:tcW w:w="35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Accounts</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Commissions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5"/>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2"/>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7"/>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Overdraft fees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w:t>
            </w: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 service charges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27"/>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ATM fees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Overdraft fees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27"/>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ATM fees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Interchange income</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14,045</w:t>
            </w:r>
          </w:p>
        </w:tc>
      </w:tr>
      <w:tr>
        <w:trPr>
          <w:trHeight w:val="227"/>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 revenue</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r>
      <w:tr>
        <w:trPr>
          <w:trHeight w:val="22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based revenue</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227"/>
        </w:trPr>
        <w:tc>
          <w:tcPr>
            <w:tcW w:w="3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45"/>
        </w:trPr>
        <w:tc>
          <w:tcPr>
            <w:tcW w:w="3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29,098</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73"/>
        </w:trPr>
        <w:tc>
          <w:tcPr>
            <w:tcW w:w="3500" w:type="dxa"/>
            <w:vAlign w:val="bottom"/>
            <w:shd w:val="clear" w:color="auto" w:fill="CCEEFF"/>
          </w:tcPr>
          <w:p>
            <w:pPr>
              <w:ind w:left="140"/>
              <w:spacing w:after="0" w:line="174" w:lineRule="exact"/>
              <w:rPr>
                <w:sz w:val="20"/>
                <w:szCs w:val="20"/>
                <w:color w:val="auto"/>
              </w:rPr>
            </w:pPr>
            <w:r>
              <w:rPr>
                <w:rFonts w:ascii="Times New Roman" w:cs="Times New Roman" w:eastAsia="Times New Roman" w:hAnsi="Times New Roman"/>
                <w:sz w:val="18"/>
                <w:szCs w:val="18"/>
                <w:color w:val="auto"/>
              </w:rPr>
              <w:t>Reconciliation to Consolidated Statement of</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0"/>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Operations:</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Non-interest income - other:</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3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deposit related income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r>
      <w:tr>
        <w:trPr>
          <w:trHeight w:val="227"/>
        </w:trPr>
        <w:tc>
          <w:tcPr>
            <w:tcW w:w="3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r>
      <w:tr>
        <w:trPr>
          <w:trHeight w:val="227"/>
        </w:trPr>
        <w:tc>
          <w:tcPr>
            <w:tcW w:w="3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Bank owned life insurance (1)</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27"/>
        </w:trPr>
        <w:tc>
          <w:tcPr>
            <w:tcW w:w="3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(1)</w:t>
            </w: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w:t>
            </w:r>
          </w:p>
        </w:tc>
      </w:tr>
      <w:tr>
        <w:trPr>
          <w:trHeight w:val="245"/>
        </w:trPr>
        <w:tc>
          <w:tcPr>
            <w:tcW w:w="35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Excluded from the scope of ASC Topic 606.</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60" w:type="dxa"/>
            <w:vAlign w:val="bottom"/>
            <w:gridSpan w:val="14"/>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QUARTERLY FINANCIAL DATA (UNAUDITED)</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7520" w:type="dxa"/>
            <w:vAlign w:val="bottom"/>
            <w:gridSpan w:val="16"/>
          </w:tcPr>
          <w:p>
            <w:pPr>
              <w:ind w:left="320"/>
              <w:spacing w:after="0"/>
              <w:rPr>
                <w:sz w:val="20"/>
                <w:szCs w:val="20"/>
                <w:color w:val="auto"/>
              </w:rPr>
            </w:pPr>
            <w:r>
              <w:rPr>
                <w:rFonts w:ascii="Times New Roman" w:cs="Times New Roman" w:eastAsia="Times New Roman" w:hAnsi="Times New Roman"/>
                <w:sz w:val="18"/>
                <w:szCs w:val="18"/>
                <w:color w:val="auto"/>
              </w:rPr>
              <w:t>A summary of selected quarterly results of operations for the years ended December 31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jc w:val="center"/>
              <w:ind w:left="311"/>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4"/>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20" w:type="dxa"/>
            <w:vAlign w:val="bottom"/>
            <w:tcBorders>
              <w:bottom w:val="single" w:sz="8" w:color="auto"/>
            </w:tcBorders>
            <w:gridSpan w:val="4"/>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4"/>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0"/>
        </w:trPr>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gridSpan w:val="10"/>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(In thousands, except per share amounts)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53,936</w:t>
            </w:r>
          </w:p>
        </w:tc>
        <w:tc>
          <w:tcPr>
            <w:tcW w:w="3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57,948</w:t>
            </w:r>
          </w:p>
        </w:tc>
        <w:tc>
          <w:tcPr>
            <w:tcW w:w="80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62,432</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65,361</w:t>
            </w:r>
          </w:p>
        </w:tc>
        <w:tc>
          <w:tcPr>
            <w:tcW w:w="0" w:type="dxa"/>
            <w:vAlign w:val="bottom"/>
          </w:tcPr>
          <w:p>
            <w:pPr>
              <w:spacing w:after="0"/>
              <w:rPr>
                <w:sz w:val="1"/>
                <w:szCs w:val="1"/>
                <w:color w:val="auto"/>
              </w:rPr>
            </w:pPr>
          </w:p>
        </w:tc>
      </w:tr>
      <w:tr>
        <w:trPr>
          <w:trHeight w:val="227"/>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Net interest income</w:t>
            </w: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38,441</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38,350</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39,427</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40,111</w:t>
            </w:r>
          </w:p>
        </w:tc>
        <w:tc>
          <w:tcPr>
            <w:tcW w:w="0" w:type="dxa"/>
            <w:vAlign w:val="bottom"/>
          </w:tcPr>
          <w:p>
            <w:pPr>
              <w:spacing w:after="0"/>
              <w:rPr>
                <w:sz w:val="1"/>
                <w:szCs w:val="1"/>
                <w:color w:val="auto"/>
              </w:rPr>
            </w:pPr>
          </w:p>
        </w:tc>
      </w:tr>
      <w:tr>
        <w:trPr>
          <w:trHeight w:val="227"/>
        </w:trPr>
        <w:tc>
          <w:tcPr>
            <w:tcW w:w="2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2,160</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27"/>
        </w:trPr>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before income tax</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15,875</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18,202</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21,652</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17,947</w:t>
            </w:r>
          </w:p>
        </w:tc>
        <w:tc>
          <w:tcPr>
            <w:tcW w:w="0" w:type="dxa"/>
            <w:vAlign w:val="bottom"/>
          </w:tcPr>
          <w:p>
            <w:pPr>
              <w:spacing w:after="0"/>
              <w:rPr>
                <w:sz w:val="1"/>
                <w:szCs w:val="1"/>
                <w:color w:val="auto"/>
              </w:rPr>
            </w:pPr>
          </w:p>
        </w:tc>
      </w:tr>
      <w:tr>
        <w:trPr>
          <w:trHeight w:val="227"/>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12,991</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14,790</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17,543</w:t>
            </w: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13,743</w:t>
            </w:r>
          </w:p>
        </w:tc>
        <w:tc>
          <w:tcPr>
            <w:tcW w:w="0" w:type="dxa"/>
            <w:vAlign w:val="bottom"/>
          </w:tcPr>
          <w:p>
            <w:pPr>
              <w:spacing w:after="0"/>
              <w:rPr>
                <w:sz w:val="1"/>
                <w:szCs w:val="1"/>
                <w:color w:val="auto"/>
              </w:rPr>
            </w:pPr>
          </w:p>
        </w:tc>
      </w:tr>
      <w:tr>
        <w:trPr>
          <w:trHeight w:val="267"/>
        </w:trPr>
        <w:tc>
          <w:tcPr>
            <w:tcW w:w="2220" w:type="dxa"/>
            <w:vAlign w:val="bottom"/>
            <w:gridSpan w:val="2"/>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Net income per common share</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0.62</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27"/>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0.61</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67"/>
        </w:trPr>
        <w:tc>
          <w:tcPr>
            <w:tcW w:w="1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34,741</w:t>
            </w:r>
          </w:p>
        </w:tc>
        <w:tc>
          <w:tcPr>
            <w:tcW w:w="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38,364</w:t>
            </w:r>
          </w:p>
        </w:tc>
        <w:tc>
          <w:tcPr>
            <w:tcW w:w="80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44,925</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50,978</w:t>
            </w:r>
          </w:p>
        </w:tc>
        <w:tc>
          <w:tcPr>
            <w:tcW w:w="0" w:type="dxa"/>
            <w:vAlign w:val="bottom"/>
          </w:tcPr>
          <w:p>
            <w:pPr>
              <w:spacing w:after="0"/>
              <w:rPr>
                <w:sz w:val="1"/>
                <w:szCs w:val="1"/>
                <w:color w:val="auto"/>
              </w:rPr>
            </w:pPr>
          </w:p>
        </w:tc>
      </w:tr>
      <w:tr>
        <w:trPr>
          <w:trHeight w:val="227"/>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Net interest income</w:t>
            </w: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33,001</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36,061</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39,897</w:t>
            </w: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40,602</w:t>
            </w:r>
          </w:p>
        </w:tc>
        <w:tc>
          <w:tcPr>
            <w:tcW w:w="0" w:type="dxa"/>
            <w:vAlign w:val="bottom"/>
          </w:tcPr>
          <w:p>
            <w:pPr>
              <w:spacing w:after="0"/>
              <w:rPr>
                <w:sz w:val="1"/>
                <w:szCs w:val="1"/>
                <w:color w:val="auto"/>
              </w:rPr>
            </w:pPr>
          </w:p>
        </w:tc>
      </w:tr>
      <w:tr>
        <w:trPr>
          <w:trHeight w:val="227"/>
        </w:trPr>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3"/>
          </w:tcPr>
          <w:p>
            <w:pPr>
              <w:jc w:val="right"/>
              <w:ind w:right="231"/>
              <w:spacing w:after="0"/>
              <w:rPr>
                <w:sz w:val="20"/>
                <w:szCs w:val="20"/>
                <w:color w:val="auto"/>
              </w:rPr>
            </w:pPr>
            <w:r>
              <w:rPr>
                <w:rFonts w:ascii="Times New Roman" w:cs="Times New Roman" w:eastAsia="Times New Roman" w:hAnsi="Times New Roman"/>
                <w:sz w:val="18"/>
                <w:szCs w:val="18"/>
                <w:color w:val="auto"/>
              </w:rPr>
              <w:t>(1,573)</w:t>
            </w:r>
          </w:p>
        </w:tc>
        <w:tc>
          <w:tcPr>
            <w:tcW w:w="7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27"/>
        </w:trPr>
        <w:tc>
          <w:tcPr>
            <w:tcW w:w="2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22,072</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15,880</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21,247</w:t>
            </w: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18,589</w:t>
            </w:r>
          </w:p>
        </w:tc>
        <w:tc>
          <w:tcPr>
            <w:tcW w:w="0" w:type="dxa"/>
            <w:vAlign w:val="bottom"/>
          </w:tcPr>
          <w:p>
            <w:pPr>
              <w:spacing w:after="0"/>
              <w:rPr>
                <w:sz w:val="1"/>
                <w:szCs w:val="1"/>
                <w:color w:val="auto"/>
              </w:rPr>
            </w:pPr>
          </w:p>
        </w:tc>
      </w:tr>
      <w:tr>
        <w:trPr>
          <w:trHeight w:val="227"/>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17,967</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13,001</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15,086</w:t>
            </w:r>
          </w:p>
        </w:tc>
        <w:tc>
          <w:tcPr>
            <w:tcW w:w="0" w:type="dxa"/>
            <w:vAlign w:val="bottom"/>
          </w:tcPr>
          <w:p>
            <w:pPr>
              <w:spacing w:after="0"/>
              <w:rPr>
                <w:sz w:val="1"/>
                <w:szCs w:val="1"/>
                <w:color w:val="auto"/>
              </w:rPr>
            </w:pPr>
          </w:p>
        </w:tc>
      </w:tr>
      <w:tr>
        <w:trPr>
          <w:trHeight w:val="267"/>
        </w:trPr>
        <w:tc>
          <w:tcPr>
            <w:tcW w:w="2220" w:type="dxa"/>
            <w:vAlign w:val="bottom"/>
            <w:gridSpan w:val="2"/>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Net income per common share</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0.85</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32"/>
        </w:trPr>
        <w:tc>
          <w:tcPr>
            <w:tcW w:w="1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0.84</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409"/>
        </w:trPr>
        <w:tc>
          <w:tcPr>
            <w:tcW w:w="1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0" w:type="dxa"/>
            <w:vAlign w:val="bottom"/>
            <w:gridSpan w:val="10"/>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98"/>
              </w:rPr>
              <w:t>QUARTERLY SUMMARY (UNAUDITED)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6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8"/>
                <w:szCs w:val="18"/>
                <w:b w:val="1"/>
                <w:bCs w:val="1"/>
                <w:color w:val="auto"/>
              </w:rPr>
              <w:t>Reported Sales Prices of Common Shares</w:t>
            </w: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6"/>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7"/>
              </w:rPr>
              <w:t>Cash Dividends</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Declared</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600" w:type="dxa"/>
            <w:vAlign w:val="bottom"/>
          </w:tcPr>
          <w:p>
            <w:pPr>
              <w:spacing w:after="0"/>
              <w:rPr>
                <w:sz w:val="19"/>
                <w:szCs w:val="19"/>
                <w:color w:val="auto"/>
              </w:rPr>
            </w:pPr>
          </w:p>
        </w:tc>
        <w:tc>
          <w:tcPr>
            <w:tcW w:w="120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60" w:type="dxa"/>
            <w:vAlign w:val="bottom"/>
          </w:tcPr>
          <w:p>
            <w:pPr>
              <w:spacing w:after="0"/>
              <w:rPr>
                <w:sz w:val="19"/>
                <w:szCs w:val="19"/>
                <w:color w:val="auto"/>
              </w:rPr>
            </w:pPr>
          </w:p>
        </w:tc>
        <w:tc>
          <w:tcPr>
            <w:tcW w:w="86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Low</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Close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High</w:t>
            </w:r>
          </w:p>
        </w:tc>
        <w:tc>
          <w:tcPr>
            <w:tcW w:w="360" w:type="dxa"/>
            <w:vAlign w:val="bottom"/>
          </w:tcPr>
          <w:p>
            <w:pPr>
              <w:spacing w:after="0"/>
              <w:rPr>
                <w:sz w:val="19"/>
                <w:szCs w:val="19"/>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Low</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w w:val="99"/>
              </w:rPr>
              <w:t>Close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0"/>
        </w:trPr>
        <w:tc>
          <w:tcPr>
            <w:tcW w:w="1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620" w:type="dxa"/>
            <w:vAlign w:val="bottom"/>
            <w:tcBorders>
              <w:top w:val="single" w:sz="8" w:color="auto"/>
            </w:tcBorders>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24.73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0.23</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27"/>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6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19.33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2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21.35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3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6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26.99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bl>
    <w:p>
      <w:pPr>
        <w:spacing w:after="0" w:line="270"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We have approximately 1,200 holders of record of our common stock. Our common stock trades on the NASDAQ Global Select Market System under the symbol “IBCP.” The prices shown above are supplied by NASDAQ and reflect the inter-dealer prices and may not include retail markups, markdowns or commissions. There may have been transactions or quotations at higher or lower prices of which we are not aware.</w:t>
      </w:r>
    </w:p>
    <w:p>
      <w:pPr>
        <w:spacing w:after="0" w:line="176"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In addition to limitations imposed by the provisions of the Michigan Business Corporation Act (which, among other things, limits us from paying dividends to the extent we are insolvent), our ability to pay dividends is limited by our ability to obtain funds from our Bank and by regulatory capital guidelines applicable to us (see note #20).</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40"/>
          </w:cols>
          <w:pgMar w:left="320" w:top="121"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color w:val="auto"/>
        </w:rPr>
        <w:t>Exhibit 21</w:t>
      </w:r>
    </w:p>
    <w:p>
      <w:pPr>
        <w:spacing w:after="0" w:line="231"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3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INDEPENDENT BANK CORPORATION</w:t>
            </w: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Subsidiaries of the Registrant</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6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IBC Capital Finance III</w:t>
            </w:r>
          </w:p>
        </w:tc>
        <w:tc>
          <w:tcPr>
            <w:tcW w:w="1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State of Incorporation</w:t>
            </w:r>
          </w:p>
        </w:tc>
        <w:tc>
          <w:tcPr>
            <w:tcW w:w="0" w:type="dxa"/>
            <w:vAlign w:val="bottom"/>
          </w:tcPr>
          <w:p>
            <w:pPr>
              <w:spacing w:after="0"/>
              <w:rPr>
                <w:sz w:val="1"/>
                <w:szCs w:val="1"/>
                <w:color w:val="auto"/>
              </w:rPr>
            </w:pPr>
          </w:p>
        </w:tc>
      </w:tr>
      <w:tr>
        <w:trPr>
          <w:trHeight w:val="242"/>
        </w:trPr>
        <w:tc>
          <w:tcPr>
            <w:tcW w:w="6340" w:type="dxa"/>
            <w:vAlign w:val="bottom"/>
            <w:gridSpan w:val="3"/>
            <w:vMerge w:val="continue"/>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Grand Rapids, Michigan</w:t>
            </w:r>
          </w:p>
        </w:tc>
        <w:tc>
          <w:tcPr>
            <w:tcW w:w="360" w:type="dxa"/>
            <w:vAlign w:val="bottom"/>
          </w:tcPr>
          <w:p>
            <w:pPr>
              <w:spacing w:after="0"/>
              <w:rPr>
                <w:sz w:val="19"/>
                <w:szCs w:val="19"/>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7"/>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IBC Capital Finance IV</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Grand Rapids, Michigan</w:t>
            </w:r>
          </w:p>
        </w:tc>
        <w:tc>
          <w:tcPr>
            <w:tcW w:w="360" w:type="dxa"/>
            <w:vAlign w:val="bottom"/>
          </w:tcPr>
          <w:p>
            <w:pPr>
              <w:spacing w:after="0"/>
              <w:rPr>
                <w:sz w:val="19"/>
                <w:szCs w:val="19"/>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7"/>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Midwest Guaranty Trust I</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Grand Rapids, Michigan</w:t>
            </w:r>
          </w:p>
        </w:tc>
        <w:tc>
          <w:tcPr>
            <w:tcW w:w="360" w:type="dxa"/>
            <w:vAlign w:val="bottom"/>
          </w:tcPr>
          <w:p>
            <w:pPr>
              <w:spacing w:after="0"/>
              <w:rPr>
                <w:sz w:val="19"/>
                <w:szCs w:val="19"/>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7"/>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TCSB Statutory Trust I</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Grand Rapids, Michigan</w:t>
            </w:r>
          </w:p>
        </w:tc>
        <w:tc>
          <w:tcPr>
            <w:tcW w:w="360" w:type="dxa"/>
            <w:vAlign w:val="bottom"/>
          </w:tcPr>
          <w:p>
            <w:pPr>
              <w:spacing w:after="0"/>
              <w:rPr>
                <w:sz w:val="19"/>
                <w:szCs w:val="19"/>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7"/>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Bank</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Grand Rapids, Michigan</w:t>
            </w:r>
          </w:p>
        </w:tc>
        <w:tc>
          <w:tcPr>
            <w:tcW w:w="360" w:type="dxa"/>
            <w:vAlign w:val="bottom"/>
          </w:tcPr>
          <w:p>
            <w:pPr>
              <w:spacing w:after="0"/>
              <w:rPr>
                <w:sz w:val="19"/>
                <w:szCs w:val="19"/>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27"/>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IB Advisory Services, Inc., Grand Rapids, Michigan</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 subsidiary of Independent Bank)</w:t>
            </w:r>
          </w:p>
        </w:tc>
        <w:tc>
          <w:tcPr>
            <w:tcW w:w="360" w:type="dxa"/>
            <w:vAlign w:val="bottom"/>
          </w:tcPr>
          <w:p>
            <w:pPr>
              <w:spacing w:after="0"/>
              <w:rPr>
                <w:sz w:val="19"/>
                <w:szCs w:val="19"/>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27"/>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Title Services, Inc., Grand Rapids, Michigan</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 subsidiary of Independent Bank Corporation)</w:t>
            </w:r>
          </w:p>
        </w:tc>
        <w:tc>
          <w:tcPr>
            <w:tcW w:w="360" w:type="dxa"/>
            <w:vAlign w:val="bottom"/>
          </w:tcPr>
          <w:p>
            <w:pPr>
              <w:spacing w:after="0"/>
              <w:rPr>
                <w:sz w:val="19"/>
                <w:szCs w:val="19"/>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27"/>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Life Insurance Trust, Grand Rapids, Michigan</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 subsidiary of Independent Bank)</w:t>
            </w:r>
          </w:p>
        </w:tc>
        <w:tc>
          <w:tcPr>
            <w:tcW w:w="360" w:type="dxa"/>
            <w:vAlign w:val="bottom"/>
          </w:tcPr>
          <w:p>
            <w:pPr>
              <w:spacing w:after="0"/>
              <w:rPr>
                <w:sz w:val="20"/>
                <w:szCs w:val="20"/>
                <w:color w:val="auto"/>
              </w:rPr>
            </w:pPr>
          </w:p>
        </w:tc>
        <w:tc>
          <w:tcPr>
            <w:tcW w:w="15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Table excludes insignificant subsidiaries, such as single-member limited liability companies formed solely to hold other real estate.</w:t>
      </w:r>
    </w:p>
    <w:p>
      <w:pPr>
        <w:sectPr>
          <w:pgSz w:w="11900" w:h="16838" w:orient="portrait"/>
          <w:cols w:equalWidth="0" w:num="1">
            <w:col w:w="11240"/>
          </w:cols>
          <w:pgMar w:left="320" w:top="1162"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1" w:lineRule="exact"/>
        <w:rPr>
          <w:sz w:val="20"/>
          <w:szCs w:val="20"/>
          <w:color w:val="auto"/>
        </w:rPr>
      </w:pPr>
    </w:p>
    <w:p>
      <w:pPr>
        <w:ind w:firstLine="320"/>
        <w:spacing w:after="0" w:line="220"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333-89072, 333-125484, 333-189437, 333-221177, 333-222358, and 333-255976) on Form S-8 of Independent Bank Corporation of our report dated March 8, 2024 relating to the consolidated financial statements and</w:t>
      </w:r>
    </w:p>
    <w:p>
      <w:pPr>
        <w:spacing w:after="0" w:line="1"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8"/>
          <w:szCs w:val="18"/>
          <w:color w:val="auto"/>
        </w:rPr>
        <w:t>effectiveness of internal control over financial reporting appearing in the Annual Report on Form 10-K of Independent Bank Corporation for the year ended December 31, 2023.</w:t>
      </w:r>
    </w:p>
    <w:p>
      <w:pPr>
        <w:spacing w:after="0" w:line="3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Crowe LLP</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Bend, Indiana</w:t>
      </w:r>
    </w:p>
    <w:p>
      <w:pPr>
        <w:spacing w:after="0"/>
        <w:rPr>
          <w:sz w:val="20"/>
          <w:szCs w:val="20"/>
          <w:color w:val="auto"/>
        </w:rPr>
      </w:pPr>
      <w:r>
        <w:rPr>
          <w:rFonts w:ascii="Times New Roman" w:cs="Times New Roman" w:eastAsia="Times New Roman" w:hAnsi="Times New Roman"/>
          <w:sz w:val="18"/>
          <w:szCs w:val="18"/>
          <w:color w:val="auto"/>
        </w:rPr>
        <w:t>March 8, 2024</w:t>
      </w:r>
    </w:p>
    <w:p>
      <w:pPr>
        <w:sectPr>
          <w:pgSz w:w="11900" w:h="16838" w:orient="portrait"/>
          <w:cols w:equalWidth="0" w:num="1">
            <w:col w:w="11240"/>
          </w:cols>
          <w:pgMar w:left="320" w:top="1108"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B. Kessel, certify that:</w:t>
      </w:r>
    </w:p>
    <w:p>
      <w:pPr>
        <w:spacing w:after="0" w:line="220" w:lineRule="exact"/>
        <w:rPr>
          <w:sz w:val="20"/>
          <w:szCs w:val="20"/>
          <w:color w:val="auto"/>
        </w:rPr>
      </w:pPr>
    </w:p>
    <w:p>
      <w:pPr>
        <w:ind w:left="640" w:hanging="633"/>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Independent Bank Corporation;</w:t>
      </w:r>
    </w:p>
    <w:p>
      <w:pPr>
        <w:spacing w:after="0" w:line="25" w:lineRule="exact"/>
        <w:rPr>
          <w:rFonts w:ascii="Times New Roman" w:cs="Times New Roman" w:eastAsia="Times New Roman" w:hAnsi="Times New Roman"/>
          <w:sz w:val="18"/>
          <w:szCs w:val="18"/>
          <w:color w:val="auto"/>
        </w:rPr>
      </w:pPr>
    </w:p>
    <w:p>
      <w:pPr>
        <w:jc w:val="both"/>
        <w:ind w:left="640" w:hanging="633"/>
        <w:spacing w:after="0" w:line="247"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640" w:hanging="633"/>
        <w:spacing w:after="0" w:line="247"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40" w:hanging="633"/>
        <w:spacing w:after="0" w:line="247"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jc w:val="both"/>
        <w:ind w:left="1280" w:hanging="633"/>
        <w:spacing w:after="0" w:line="247" w:lineRule="auto"/>
        <w:tabs>
          <w:tab w:leader="none" w:pos="127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280" w:hanging="633"/>
        <w:spacing w:after="0" w:line="247" w:lineRule="auto"/>
        <w:tabs>
          <w:tab w:leader="none" w:pos="126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280" w:hanging="633"/>
        <w:spacing w:after="0" w:line="247" w:lineRule="auto"/>
        <w:tabs>
          <w:tab w:leader="none" w:pos="127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80" w:hanging="633"/>
        <w:spacing w:after="0" w:line="247" w:lineRule="auto"/>
        <w:tabs>
          <w:tab w:leader="none" w:pos="126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640" w:hanging="633"/>
        <w:spacing w:after="0" w:line="247"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80" w:right="20" w:hanging="633"/>
        <w:spacing w:after="0" w:line="247" w:lineRule="auto"/>
        <w:tabs>
          <w:tab w:leader="none" w:pos="127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80" w:hanging="633"/>
        <w:spacing w:after="0" w:line="255" w:lineRule="auto"/>
        <w:tabs>
          <w:tab w:leader="none" w:pos="126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2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8, 2024</w:t>
      </w:r>
      <w:r>
        <w:rPr>
          <w:sz w:val="20"/>
          <w:szCs w:val="20"/>
          <w:color w:val="auto"/>
        </w:rPr>
        <w:tab/>
      </w:r>
      <w:r>
        <w:rPr>
          <w:rFonts w:ascii="Times New Roman" w:cs="Times New Roman" w:eastAsia="Times New Roman" w:hAnsi="Times New Roman"/>
          <w:sz w:val="17"/>
          <w:szCs w:val="17"/>
          <w:u w:val="single" w:color="auto"/>
          <w:color w:val="auto"/>
        </w:rPr>
        <w:t>/s/ William B. Kessel</w:t>
      </w:r>
    </w:p>
    <w:p>
      <w:pPr>
        <w:spacing w:after="0" w:line="6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William B. Kessel</w:t>
      </w:r>
    </w:p>
    <w:p>
      <w:pPr>
        <w:spacing w:after="0" w:line="4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35"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Gavin A. Mohr, certify that:</w:t>
      </w:r>
    </w:p>
    <w:p>
      <w:pPr>
        <w:spacing w:after="0" w:line="220" w:lineRule="exact"/>
        <w:rPr>
          <w:sz w:val="20"/>
          <w:szCs w:val="20"/>
          <w:color w:val="auto"/>
        </w:rPr>
      </w:pPr>
    </w:p>
    <w:p>
      <w:pPr>
        <w:ind w:left="640" w:hanging="633"/>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Independent Bank Corporation;</w:t>
      </w:r>
    </w:p>
    <w:p>
      <w:pPr>
        <w:spacing w:after="0" w:line="25" w:lineRule="exact"/>
        <w:rPr>
          <w:rFonts w:ascii="Times New Roman" w:cs="Times New Roman" w:eastAsia="Times New Roman" w:hAnsi="Times New Roman"/>
          <w:sz w:val="18"/>
          <w:szCs w:val="18"/>
          <w:color w:val="auto"/>
        </w:rPr>
      </w:pPr>
    </w:p>
    <w:p>
      <w:pPr>
        <w:jc w:val="both"/>
        <w:ind w:left="640" w:hanging="633"/>
        <w:spacing w:after="0" w:line="247"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640" w:hanging="633"/>
        <w:spacing w:after="0" w:line="247"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40" w:hanging="633"/>
        <w:spacing w:after="0" w:line="247"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jc w:val="both"/>
        <w:ind w:left="1280" w:hanging="633"/>
        <w:spacing w:after="0" w:line="247" w:lineRule="auto"/>
        <w:tabs>
          <w:tab w:leader="none" w:pos="127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280" w:hanging="633"/>
        <w:spacing w:after="0" w:line="247" w:lineRule="auto"/>
        <w:tabs>
          <w:tab w:leader="none" w:pos="126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280" w:hanging="633"/>
        <w:spacing w:after="0" w:line="247" w:lineRule="auto"/>
        <w:tabs>
          <w:tab w:leader="none" w:pos="127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80" w:hanging="633"/>
        <w:spacing w:after="0" w:line="247" w:lineRule="auto"/>
        <w:tabs>
          <w:tab w:leader="none" w:pos="126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640" w:hanging="633"/>
        <w:spacing w:after="0" w:line="247"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80" w:right="20" w:hanging="633"/>
        <w:spacing w:after="0" w:line="247" w:lineRule="auto"/>
        <w:tabs>
          <w:tab w:leader="none" w:pos="127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80" w:hanging="633"/>
        <w:spacing w:after="0" w:line="255" w:lineRule="auto"/>
        <w:tabs>
          <w:tab w:leader="none" w:pos="126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35"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8, 2024</w:t>
      </w:r>
      <w:r>
        <w:rPr>
          <w:sz w:val="20"/>
          <w:szCs w:val="20"/>
          <w:color w:val="auto"/>
        </w:rPr>
        <w:tab/>
      </w:r>
      <w:r>
        <w:rPr>
          <w:rFonts w:ascii="Times New Roman" w:cs="Times New Roman" w:eastAsia="Times New Roman" w:hAnsi="Times New Roman"/>
          <w:sz w:val="17"/>
          <w:szCs w:val="17"/>
          <w:u w:val="single" w:color="auto"/>
          <w:color w:val="auto"/>
        </w:rPr>
        <w:t>/s/ Gavin A. Mohr</w:t>
      </w:r>
    </w:p>
    <w:p>
      <w:pPr>
        <w:spacing w:after="0" w:line="4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Gavin A. Mohr</w:t>
      </w:r>
    </w:p>
    <w:p>
      <w:pPr>
        <w:spacing w:after="0" w:line="4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35"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2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I, William B. Kessel, President and Chief Executive Officer of Independent Bank Corporation, certify pursuant to Section 906 of the Sarbanes-Oxley Act of 2002 that:</w:t>
      </w:r>
    </w:p>
    <w:p>
      <w:pPr>
        <w:spacing w:after="0" w:line="163" w:lineRule="exact"/>
        <w:rPr>
          <w:sz w:val="20"/>
          <w:szCs w:val="20"/>
          <w:color w:val="auto"/>
        </w:rPr>
      </w:pPr>
    </w:p>
    <w:p>
      <w:pPr>
        <w:ind w:left="320" w:hanging="313"/>
        <w:spacing w:after="0" w:line="277" w:lineRule="auto"/>
        <w:tabs>
          <w:tab w:leader="none" w:pos="31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annual period ended December 31, 2023, which this statement accompanies, fully complies with requirements of Section 13(a) or 15(d) of the Securities Exchange Act of 1934 and;</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1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annual report on Form 10-K for the annual period ended December 31, 2023, fairly presents, in all material respects, the financial condition and results of operations of Independent Bank Corporation.</w:t>
      </w:r>
    </w:p>
    <w:p>
      <w:pPr>
        <w:spacing w:after="0" w:line="216"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8, 2024</w:t>
      </w:r>
      <w:r>
        <w:rPr>
          <w:sz w:val="20"/>
          <w:szCs w:val="20"/>
          <w:color w:val="auto"/>
        </w:rPr>
        <w:tab/>
      </w:r>
      <w:r>
        <w:rPr>
          <w:rFonts w:ascii="Times New Roman" w:cs="Times New Roman" w:eastAsia="Times New Roman" w:hAnsi="Times New Roman"/>
          <w:sz w:val="17"/>
          <w:szCs w:val="17"/>
          <w:u w:val="single" w:color="auto"/>
          <w:color w:val="auto"/>
        </w:rPr>
        <w:t>/s/ William B. Kessel</w:t>
      </w:r>
    </w:p>
    <w:p>
      <w:pPr>
        <w:spacing w:after="0" w:line="4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William B. Kessel</w:t>
      </w:r>
    </w:p>
    <w:p>
      <w:pPr>
        <w:spacing w:after="0" w:line="4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ectPr>
          <w:pgSz w:w="11900" w:h="16838" w:orient="portrait"/>
          <w:cols w:equalWidth="0" w:num="1">
            <w:col w:w="11240"/>
          </w:cols>
          <w:pgMar w:left="320" w:top="1135"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Gavin A. Mohr, Chief Financial Officer of Independent Bank Corporation, certify pursuant to Section 906 of the Sarbanes-Oxley Act of 2002 that:</w:t>
      </w:r>
    </w:p>
    <w:p>
      <w:pPr>
        <w:spacing w:after="0" w:line="220" w:lineRule="exact"/>
        <w:rPr>
          <w:sz w:val="20"/>
          <w:szCs w:val="20"/>
          <w:color w:val="auto"/>
        </w:rPr>
      </w:pPr>
    </w:p>
    <w:p>
      <w:pPr>
        <w:ind w:left="320" w:hanging="313"/>
        <w:spacing w:after="0" w:line="277" w:lineRule="auto"/>
        <w:tabs>
          <w:tab w:leader="none" w:pos="31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annual period ended December 31, 2023, which this statement accompanies, fully complies with requirements of Section 13(a) or 15(d) of the Securities Exchange Act of 1934 and;</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1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annual report on Form 10-K for the annual period ended December 31, 2023, fairly presents, in all material respects, the financial condition and results of operations of Independent Bank Corporation.</w:t>
      </w:r>
    </w:p>
    <w:p>
      <w:pPr>
        <w:spacing w:after="0" w:line="216"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8, 2024</w:t>
      </w:r>
      <w:r>
        <w:rPr>
          <w:sz w:val="20"/>
          <w:szCs w:val="20"/>
          <w:color w:val="auto"/>
        </w:rPr>
        <w:tab/>
      </w:r>
      <w:r>
        <w:rPr>
          <w:rFonts w:ascii="Times New Roman" w:cs="Times New Roman" w:eastAsia="Times New Roman" w:hAnsi="Times New Roman"/>
          <w:sz w:val="17"/>
          <w:szCs w:val="17"/>
          <w:u w:val="single" w:color="auto"/>
          <w:color w:val="auto"/>
        </w:rPr>
        <w:t>/s/ Gavin A. Mohr</w:t>
      </w:r>
    </w:p>
    <w:p>
      <w:pPr>
        <w:spacing w:after="0" w:line="4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Gavin A. Mohr</w:t>
      </w:r>
    </w:p>
    <w:p>
      <w:pPr>
        <w:spacing w:after="0" w:line="4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ectPr>
          <w:pgSz w:w="11900" w:h="16838" w:orient="portrait"/>
          <w:cols w:equalWidth="0" w:num="1">
            <w:col w:w="11240"/>
          </w:cols>
          <w:pgMar w:left="320" w:top="1135" w:right="339" w:bottom="1440" w:gutter="0" w:footer="0" w:header="0"/>
        </w:sectPr>
      </w:pPr>
    </w:p>
    <w:bookmarkStart w:id="143" w:name="page144"/>
    <w:bookmarkEnd w:id="143"/>
    <w:p>
      <w:pPr>
        <w:spacing w:after="0" w:line="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97</w:t>
      </w:r>
    </w:p>
    <w:p>
      <w:pPr>
        <w:spacing w:after="0" w:line="2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AMENDED AND RESTATED</w:t>
      </w:r>
    </w:p>
    <w:p>
      <w:pPr>
        <w:spacing w:after="0" w:line="2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INDEPENDENT BANK CORPORATION ["the Company"]</w:t>
      </w:r>
    </w:p>
    <w:p>
      <w:pPr>
        <w:spacing w:after="0" w:line="2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CLAWBACK POLICY</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Introduction</w:t>
      </w:r>
    </w:p>
    <w:p>
      <w:pPr>
        <w:spacing w:after="0" w:line="319" w:lineRule="exact"/>
        <w:rPr>
          <w:sz w:val="20"/>
          <w:szCs w:val="20"/>
          <w:color w:val="auto"/>
        </w:rPr>
      </w:pPr>
    </w:p>
    <w:p>
      <w:pPr>
        <w:jc w:val="both"/>
        <w:ind w:right="120" w:firstLine="640"/>
        <w:spacing w:after="0" w:line="278" w:lineRule="auto"/>
        <w:rPr>
          <w:sz w:val="20"/>
          <w:szCs w:val="20"/>
          <w:color w:val="auto"/>
        </w:rPr>
      </w:pPr>
      <w:r>
        <w:rPr>
          <w:rFonts w:ascii="Times New Roman" w:cs="Times New Roman" w:eastAsia="Times New Roman" w:hAnsi="Times New Roman"/>
          <w:sz w:val="21"/>
          <w:szCs w:val="21"/>
          <w:color w:val="auto"/>
        </w:rPr>
        <w:t>This Clawback Policy (the "</w:t>
      </w:r>
      <w:r>
        <w:rPr>
          <w:rFonts w:ascii="Times New Roman" w:cs="Times New Roman" w:eastAsia="Times New Roman" w:hAnsi="Times New Roman"/>
          <w:sz w:val="21"/>
          <w:szCs w:val="21"/>
          <w:b w:val="1"/>
          <w:bCs w:val="1"/>
          <w:color w:val="auto"/>
        </w:rPr>
        <w:t>Policy</w:t>
      </w:r>
      <w:r>
        <w:rPr>
          <w:rFonts w:ascii="Times New Roman" w:cs="Times New Roman" w:eastAsia="Times New Roman" w:hAnsi="Times New Roman"/>
          <w:sz w:val="21"/>
          <w:szCs w:val="21"/>
          <w:color w:val="auto"/>
        </w:rPr>
        <w:t>") is intended to comply with Section 10D of the Securities Exchange Act of 1934 (the "</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as well as Nasdaq Listing Rule 5608 (the "</w:t>
      </w:r>
      <w:r>
        <w:rPr>
          <w:rFonts w:ascii="Times New Roman" w:cs="Times New Roman" w:eastAsia="Times New Roman" w:hAnsi="Times New Roman"/>
          <w:sz w:val="21"/>
          <w:szCs w:val="21"/>
          <w:b w:val="1"/>
          <w:bCs w:val="1"/>
          <w:color w:val="auto"/>
        </w:rPr>
        <w:t>Listing Standard</w:t>
      </w:r>
      <w:r>
        <w:rPr>
          <w:rFonts w:ascii="Times New Roman" w:cs="Times New Roman" w:eastAsia="Times New Roman" w:hAnsi="Times New Roman"/>
          <w:sz w:val="21"/>
          <w:szCs w:val="21"/>
          <w:color w:val="auto"/>
        </w:rPr>
        <w:t>") and Section 304 of the Sarbanes-Oxley Act of 2002, and provides for the recoupment of certain compensation from Executive Officers in the event of a Restatement (as defined herein) or Improper Conduct (as defined 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Recoupment</w:t>
      </w:r>
    </w:p>
    <w:p>
      <w:pPr>
        <w:spacing w:after="0" w:line="336" w:lineRule="exact"/>
        <w:rPr>
          <w:sz w:val="20"/>
          <w:szCs w:val="20"/>
          <w:color w:val="auto"/>
        </w:rPr>
      </w:pPr>
    </w:p>
    <w:p>
      <w:pPr>
        <w:ind w:right="120" w:firstLine="636"/>
        <w:spacing w:after="0" w:line="301" w:lineRule="auto"/>
        <w:tabs>
          <w:tab w:leader="none" w:pos="1184"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Mandatory Recoupment</w:t>
      </w:r>
      <w:r>
        <w:rPr>
          <w:rFonts w:ascii="Times New Roman" w:cs="Times New Roman" w:eastAsia="Times New Roman" w:hAnsi="Times New Roman"/>
          <w:sz w:val="21"/>
          <w:szCs w:val="21"/>
          <w:color w:val="auto"/>
        </w:rPr>
        <w:t>. If the Company is required to prepare a Restatement, the Company shall promptly recoup the amount of any Erroneous Award Compensation received by any Executive Officer during the Applicable Period.</w:t>
      </w:r>
    </w:p>
    <w:p>
      <w:pPr>
        <w:spacing w:after="0" w:line="168" w:lineRule="exact"/>
        <w:rPr>
          <w:rFonts w:ascii="Times New Roman" w:cs="Times New Roman" w:eastAsia="Times New Roman" w:hAnsi="Times New Roman"/>
          <w:sz w:val="21"/>
          <w:szCs w:val="21"/>
          <w:color w:val="auto"/>
        </w:rPr>
      </w:pPr>
    </w:p>
    <w:p>
      <w:pPr>
        <w:jc w:val="both"/>
        <w:ind w:right="100" w:firstLine="636"/>
        <w:spacing w:after="0" w:line="283" w:lineRule="auto"/>
        <w:tabs>
          <w:tab w:leader="none" w:pos="1183"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Discretionary Recoupment</w:t>
      </w:r>
      <w:r>
        <w:rPr>
          <w:rFonts w:ascii="Times New Roman" w:cs="Times New Roman" w:eastAsia="Times New Roman" w:hAnsi="Times New Roman"/>
          <w:sz w:val="21"/>
          <w:szCs w:val="21"/>
          <w:color w:val="auto"/>
        </w:rPr>
        <w:t>. If any person who is or was an Executive Officer has engaged in Improper Conduct that either has resulted in, or could reasonably be expected to result in, an Adverse Effect, then the Board shall recover all or any portion of the Recoverable Incentive paid to any such Executive Officer during the Applicable Period.</w:t>
      </w:r>
    </w:p>
    <w:p>
      <w:pPr>
        <w:spacing w:after="0" w:line="186" w:lineRule="exact"/>
        <w:rPr>
          <w:rFonts w:ascii="Times New Roman" w:cs="Times New Roman" w:eastAsia="Times New Roman" w:hAnsi="Times New Roman"/>
          <w:sz w:val="21"/>
          <w:szCs w:val="21"/>
          <w:color w:val="auto"/>
        </w:rPr>
      </w:pPr>
    </w:p>
    <w:p>
      <w:pPr>
        <w:jc w:val="both"/>
        <w:ind w:right="100" w:firstLine="636"/>
        <w:spacing w:after="0" w:line="281" w:lineRule="auto"/>
        <w:tabs>
          <w:tab w:leader="none" w:pos="1184"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Discretionary Recoupment; Further Actions</w:t>
      </w:r>
      <w:r>
        <w:rPr>
          <w:rFonts w:ascii="Times New Roman" w:cs="Times New Roman" w:eastAsia="Times New Roman" w:hAnsi="Times New Roman"/>
          <w:sz w:val="21"/>
          <w:szCs w:val="21"/>
          <w:color w:val="auto"/>
        </w:rPr>
        <w:t>. In addition, the Board may, in its sole discretion and in the reasonable exercise of its business judgment, determine whether and to what extent additional action is appropriate to address the circumstances surrounding such Improper Conduct so as to minimize the likelihood of any recurrence and to impose such other discipline as it deems appropriate.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Definitions</w:t>
      </w:r>
    </w:p>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For purposes of this Policy, the following terms shall have the following meanings:</w:t>
      </w:r>
    </w:p>
    <w:p>
      <w:pPr>
        <w:spacing w:after="0" w:line="75" w:lineRule="exact"/>
        <w:rPr>
          <w:sz w:val="20"/>
          <w:szCs w:val="20"/>
          <w:color w:val="auto"/>
        </w:rPr>
      </w:pPr>
    </w:p>
    <w:p>
      <w:pPr>
        <w:ind w:left="960" w:right="760" w:hanging="335"/>
        <w:spacing w:after="0" w:line="278" w:lineRule="auto"/>
        <w:tabs>
          <w:tab w:leader="none" w:pos="95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Adverse Effect</w:t>
      </w:r>
      <w:r>
        <w:rPr>
          <w:rFonts w:ascii="Times New Roman" w:cs="Times New Roman" w:eastAsia="Times New Roman" w:hAnsi="Times New Roman"/>
          <w:sz w:val="21"/>
          <w:szCs w:val="21"/>
          <w:color w:val="auto"/>
        </w:rPr>
        <w:t>" means any significant adverse impact on the reputation of, or a significant adverse economic consequence for, the Company or any of its subsidiaries.</w:t>
      </w:r>
    </w:p>
    <w:p>
      <w:pPr>
        <w:jc w:val="both"/>
        <w:ind w:left="960" w:right="740" w:hanging="335"/>
        <w:spacing w:after="0" w:line="272" w:lineRule="auto"/>
        <w:tabs>
          <w:tab w:leader="none" w:pos="95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Applicable Period</w:t>
      </w:r>
      <w:r>
        <w:rPr>
          <w:rFonts w:ascii="Times New Roman" w:cs="Times New Roman" w:eastAsia="Times New Roman" w:hAnsi="Times New Roman"/>
          <w:sz w:val="21"/>
          <w:szCs w:val="21"/>
          <w:color w:val="auto"/>
        </w:rPr>
        <w:t>" means (i) in the case of any Restatement, the three-year period preceding the date on which the Company is required to prepare the Restatement and (ii) in the case of any Improper Conduct, the three-year period preceding the date of the Improper Conduct, as determined by the</w:t>
      </w:r>
    </w:p>
    <w:p>
      <w:pPr>
        <w:sectPr>
          <w:pgSz w:w="11900" w:h="16838" w:orient="portrait"/>
          <w:cols w:equalWidth="0" w:num="1">
            <w:col w:w="11140"/>
          </w:cols>
          <w:pgMar w:left="420" w:top="1440" w:right="339" w:bottom="1440" w:gutter="0" w:footer="0" w:header="0"/>
        </w:sectPr>
      </w:pPr>
    </w:p>
    <w:bookmarkStart w:id="144" w:name="page145"/>
    <w:bookmarkEnd w:id="144"/>
    <w:p>
      <w:pPr>
        <w:jc w:val="both"/>
        <w:ind w:left="980"/>
        <w:spacing w:after="0" w:line="264" w:lineRule="auto"/>
        <w:rPr>
          <w:sz w:val="20"/>
          <w:szCs w:val="20"/>
          <w:color w:val="auto"/>
        </w:rPr>
      </w:pPr>
      <w:r>
        <w:rPr>
          <w:rFonts w:ascii="Times New Roman" w:cs="Times New Roman" w:eastAsia="Times New Roman" w:hAnsi="Times New Roman"/>
          <w:sz w:val="21"/>
          <w:szCs w:val="21"/>
          <w:color w:val="auto"/>
        </w:rPr>
        <w:t>Board. The date on which the Company is required to prepare a Restatement is the earlier to occur of (1) the date the Board concludes, or reasonably should have concluded, that the Company is required to prepare a Restatement or (2) the date a court, regulator or other legally authorized body directs the Company to prepare a Restatement, in each case regardless of if or when the restated financial statements are filed.</w:t>
      </w:r>
    </w:p>
    <w:p>
      <w:pPr>
        <w:spacing w:after="0" w:line="41" w:lineRule="exact"/>
        <w:rPr>
          <w:sz w:val="20"/>
          <w:szCs w:val="20"/>
          <w:color w:val="auto"/>
        </w:rPr>
      </w:pPr>
    </w:p>
    <w:p>
      <w:pPr>
        <w:jc w:val="both"/>
        <w:ind w:left="980" w:hanging="335"/>
        <w:spacing w:after="0" w:line="272" w:lineRule="auto"/>
        <w:tabs>
          <w:tab w:leader="none" w:pos="97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means the Board of Directors, the Compensation Committee of the Board of Directors or such other committee of the Board of Directors that, at the relevant time, has authority for making determinations as to the compensation of Executive Officers.</w:t>
      </w:r>
    </w:p>
    <w:p>
      <w:pPr>
        <w:spacing w:after="0" w:line="32" w:lineRule="exact"/>
        <w:rPr>
          <w:rFonts w:ascii="Times New Roman" w:cs="Times New Roman" w:eastAsia="Times New Roman" w:hAnsi="Times New Roman"/>
          <w:sz w:val="20"/>
          <w:szCs w:val="20"/>
          <w:color w:val="auto"/>
        </w:rPr>
      </w:pPr>
    </w:p>
    <w:p>
      <w:pPr>
        <w:jc w:val="both"/>
        <w:ind w:left="980" w:right="20" w:hanging="335"/>
        <w:spacing w:after="0" w:line="262" w:lineRule="auto"/>
        <w:tabs>
          <w:tab w:leader="none" w:pos="97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Erroneously Awarded Compensation</w:t>
      </w:r>
      <w:r>
        <w:rPr>
          <w:rFonts w:ascii="Times New Roman" w:cs="Times New Roman" w:eastAsia="Times New Roman" w:hAnsi="Times New Roman"/>
          <w:sz w:val="21"/>
          <w:szCs w:val="21"/>
          <w:color w:val="auto"/>
        </w:rPr>
        <w:t>" means the amount of Performance- Based Compensation received by the Executive Officer that exceeds the amount of Performance-Based Compensation that would have been received by the Executive Officer had it been determined based upon the restated amounts. In addition, Erroneously Awarded Compensation shall be determined by the Board without regard to any taxes paid by the Executive Officer with respect to any Erroneously Awarded Compensation.</w:t>
      </w:r>
    </w:p>
    <w:p>
      <w:pPr>
        <w:spacing w:after="0" w:line="29" w:lineRule="exact"/>
        <w:rPr>
          <w:rFonts w:ascii="Times New Roman" w:cs="Times New Roman" w:eastAsia="Times New Roman" w:hAnsi="Times New Roman"/>
          <w:sz w:val="20"/>
          <w:szCs w:val="20"/>
          <w:color w:val="auto"/>
        </w:rPr>
      </w:pPr>
    </w:p>
    <w:p>
      <w:pPr>
        <w:ind w:left="980" w:hanging="335"/>
        <w:spacing w:after="0"/>
        <w:tabs>
          <w:tab w:leader="none" w:pos="98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means the Securities Exchange Act of 1934, as amended.</w:t>
      </w:r>
    </w:p>
    <w:p>
      <w:pPr>
        <w:spacing w:after="0" w:line="92" w:lineRule="exact"/>
        <w:rPr>
          <w:rFonts w:ascii="Times New Roman" w:cs="Times New Roman" w:eastAsia="Times New Roman" w:hAnsi="Times New Roman"/>
          <w:sz w:val="20"/>
          <w:szCs w:val="20"/>
          <w:color w:val="auto"/>
        </w:rPr>
      </w:pPr>
    </w:p>
    <w:p>
      <w:pPr>
        <w:ind w:left="980" w:hanging="335"/>
        <w:spacing w:after="0" w:line="292" w:lineRule="auto"/>
        <w:tabs>
          <w:tab w:leader="none" w:pos="97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Executive Officer</w:t>
      </w:r>
      <w:r>
        <w:rPr>
          <w:rFonts w:ascii="Times New Roman" w:cs="Times New Roman" w:eastAsia="Times New Roman" w:hAnsi="Times New Roman"/>
          <w:sz w:val="21"/>
          <w:szCs w:val="21"/>
          <w:color w:val="auto"/>
        </w:rPr>
        <w:t>" means any person who is or was during the Applicable Period an executive officer of the Company, as determined pursuant to Rule 3b-7 promulgated under the Exchange Act (or any successor rule).</w:t>
      </w:r>
    </w:p>
    <w:p>
      <w:pPr>
        <w:spacing w:after="0" w:line="12" w:lineRule="exact"/>
        <w:rPr>
          <w:rFonts w:ascii="Times New Roman" w:cs="Times New Roman" w:eastAsia="Times New Roman" w:hAnsi="Times New Roman"/>
          <w:sz w:val="20"/>
          <w:szCs w:val="20"/>
          <w:color w:val="auto"/>
        </w:rPr>
      </w:pPr>
    </w:p>
    <w:p>
      <w:pPr>
        <w:jc w:val="both"/>
        <w:ind w:left="980" w:hanging="335"/>
        <w:spacing w:after="0" w:line="272" w:lineRule="auto"/>
        <w:tabs>
          <w:tab w:leader="none" w:pos="97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Improper Conduct</w:t>
      </w:r>
      <w:r>
        <w:rPr>
          <w:rFonts w:ascii="Times New Roman" w:cs="Times New Roman" w:eastAsia="Times New Roman" w:hAnsi="Times New Roman"/>
          <w:sz w:val="21"/>
          <w:szCs w:val="21"/>
          <w:color w:val="auto"/>
        </w:rPr>
        <w:t>" means an Executive Officer's willful misconduct (including, but not limited to, fraud, bribery or other illegal acts) or gross negligence, which, in either case, includes any failure to report properly, or to take appropriate remedial action with respect to, such misconduct or gross negligence by another person.</w:t>
      </w:r>
    </w:p>
    <w:p>
      <w:pPr>
        <w:spacing w:after="0" w:line="32" w:lineRule="exact"/>
        <w:rPr>
          <w:rFonts w:ascii="Times New Roman" w:cs="Times New Roman" w:eastAsia="Times New Roman" w:hAnsi="Times New Roman"/>
          <w:sz w:val="20"/>
          <w:szCs w:val="20"/>
          <w:color w:val="auto"/>
        </w:rPr>
      </w:pPr>
    </w:p>
    <w:p>
      <w:pPr>
        <w:jc w:val="both"/>
        <w:ind w:left="980" w:right="20" w:hanging="335"/>
        <w:spacing w:after="0" w:line="265" w:lineRule="auto"/>
        <w:tabs>
          <w:tab w:leader="none" w:pos="97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Incentive Compensation</w:t>
      </w:r>
      <w:r>
        <w:rPr>
          <w:rFonts w:ascii="Times New Roman" w:cs="Times New Roman" w:eastAsia="Times New Roman" w:hAnsi="Times New Roman"/>
          <w:sz w:val="21"/>
          <w:szCs w:val="21"/>
          <w:color w:val="auto"/>
        </w:rPr>
        <w:t>" means any compensation granted, earned or vested under the Company's Annual Incentive Compensation Plan or Long Term Incentive Plan or any successor plan, respectively, or any other Company plan or program that provides for the grant or payment of incentive- based compensation.</w:t>
      </w:r>
    </w:p>
    <w:p>
      <w:pPr>
        <w:spacing w:after="0" w:line="40" w:lineRule="exact"/>
        <w:rPr>
          <w:rFonts w:ascii="Times New Roman" w:cs="Times New Roman" w:eastAsia="Times New Roman" w:hAnsi="Times New Roman"/>
          <w:sz w:val="20"/>
          <w:szCs w:val="20"/>
          <w:color w:val="auto"/>
        </w:rPr>
      </w:pPr>
    </w:p>
    <w:p>
      <w:pPr>
        <w:ind w:left="980" w:right="20" w:hanging="335"/>
        <w:spacing w:after="0" w:line="292" w:lineRule="auto"/>
        <w:tabs>
          <w:tab w:leader="none" w:pos="97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Performance-Based Compensation</w:t>
      </w:r>
      <w:r>
        <w:rPr>
          <w:rFonts w:ascii="Times New Roman" w:cs="Times New Roman" w:eastAsia="Times New Roman" w:hAnsi="Times New Roman"/>
          <w:sz w:val="21"/>
          <w:szCs w:val="21"/>
          <w:color w:val="auto"/>
        </w:rPr>
        <w:t>" means any Incentive Compensation that is granted, earned, or vested based wholly or in part upon the attainment of a financial reporting measure.</w:t>
      </w:r>
    </w:p>
    <w:p>
      <w:pPr>
        <w:spacing w:after="0" w:line="12" w:lineRule="exact"/>
        <w:rPr>
          <w:rFonts w:ascii="Times New Roman" w:cs="Times New Roman" w:eastAsia="Times New Roman" w:hAnsi="Times New Roman"/>
          <w:sz w:val="20"/>
          <w:szCs w:val="20"/>
          <w:color w:val="auto"/>
        </w:rPr>
      </w:pPr>
    </w:p>
    <w:p>
      <w:pPr>
        <w:jc w:val="both"/>
        <w:ind w:left="980" w:hanging="335"/>
        <w:spacing w:after="0" w:line="258" w:lineRule="auto"/>
        <w:tabs>
          <w:tab w:leader="none" w:pos="97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Recoverable Incentive</w:t>
      </w:r>
      <w:r>
        <w:rPr>
          <w:rFonts w:ascii="Times New Roman" w:cs="Times New Roman" w:eastAsia="Times New Roman" w:hAnsi="Times New Roman"/>
          <w:sz w:val="21"/>
          <w:szCs w:val="21"/>
          <w:color w:val="auto"/>
        </w:rPr>
        <w:t>" means the amount of any Incentive Compensation paid to or in respect of an Executive Officer during the Applicable Period that, in the case of any Improper Conduct, the Board determines, in its sole discretion, to be appropriate in light of the scope and nature of the Improper Conduct. The amount of any Recoverable Incentive shall not be reduced by any taxes paid on such compensation by an Executive Officer.</w:t>
      </w:r>
    </w:p>
    <w:p>
      <w:pPr>
        <w:spacing w:after="0" w:line="62" w:lineRule="exact"/>
        <w:rPr>
          <w:rFonts w:ascii="Times New Roman" w:cs="Times New Roman" w:eastAsia="Times New Roman" w:hAnsi="Times New Roman"/>
          <w:sz w:val="20"/>
          <w:szCs w:val="20"/>
          <w:color w:val="auto"/>
        </w:rPr>
      </w:pPr>
    </w:p>
    <w:p>
      <w:pPr>
        <w:ind w:left="980" w:right="20" w:hanging="335"/>
        <w:spacing w:after="0" w:line="292" w:lineRule="auto"/>
        <w:tabs>
          <w:tab w:leader="none" w:pos="97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Restatement</w:t>
      </w:r>
      <w:r>
        <w:rPr>
          <w:rFonts w:ascii="Times New Roman" w:cs="Times New Roman" w:eastAsia="Times New Roman" w:hAnsi="Times New Roman"/>
          <w:sz w:val="21"/>
          <w:szCs w:val="21"/>
          <w:color w:val="auto"/>
        </w:rPr>
        <w:t>" means an accounting restatement of the Company's financial statements due to the Company's material noncompliance with any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420"/>
          </w:cols>
          <w:pgMar w:left="400" w:top="1380" w:right="1079" w:bottom="1440" w:gutter="0" w:footer="0" w:header="0"/>
        </w:sectPr>
      </w:pPr>
    </w:p>
    <w:bookmarkStart w:id="145" w:name="page146"/>
    <w:bookmarkEnd w:id="145"/>
    <w:p>
      <w:pPr>
        <w:spacing w:after="0" w:line="180" w:lineRule="exact"/>
        <w:rPr>
          <w:sz w:val="20"/>
          <w:szCs w:val="20"/>
          <w:color w:val="auto"/>
        </w:rPr>
      </w:pPr>
    </w:p>
    <w:p>
      <w:pPr>
        <w:jc w:val="both"/>
        <w:ind w:left="980" w:right="640"/>
        <w:spacing w:after="0" w:line="264" w:lineRule="auto"/>
        <w:rPr>
          <w:sz w:val="20"/>
          <w:szCs w:val="20"/>
          <w:color w:val="auto"/>
        </w:rPr>
      </w:pPr>
      <w:r>
        <w:rPr>
          <w:rFonts w:ascii="Times New Roman" w:cs="Times New Roman" w:eastAsia="Times New Roman" w:hAnsi="Times New Roman"/>
          <w:sz w:val="21"/>
          <w:szCs w:val="21"/>
          <w:color w:val="auto"/>
        </w:rPr>
        <w:t>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28" w:lineRule="exact"/>
        <w:rPr>
          <w:sz w:val="20"/>
          <w:szCs w:val="20"/>
          <w:color w:val="auto"/>
        </w:rPr>
      </w:pPr>
    </w:p>
    <w:p>
      <w:pPr>
        <w:ind w:left="980" w:hanging="335"/>
        <w:spacing w:after="0"/>
        <w:tabs>
          <w:tab w:leader="none" w:pos="9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w:t>
      </w:r>
      <w:r>
        <w:rPr>
          <w:rFonts w:ascii="Times New Roman" w:cs="Times New Roman" w:eastAsia="Times New Roman" w:hAnsi="Times New Roman"/>
          <w:sz w:val="21"/>
          <w:szCs w:val="21"/>
          <w:color w:val="auto"/>
        </w:rPr>
        <w:t>" means the Securities and Exchange Commission.</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u w:val="single" w:color="auto"/>
          <w:color w:val="auto"/>
        </w:rPr>
        <w:t>Method of Recoupment</w:t>
      </w:r>
    </w:p>
    <w:p>
      <w:pPr>
        <w:spacing w:after="0" w:line="323" w:lineRule="exact"/>
        <w:rPr>
          <w:sz w:val="20"/>
          <w:szCs w:val="20"/>
          <w:color w:val="auto"/>
        </w:rPr>
      </w:pPr>
    </w:p>
    <w:p>
      <w:pPr>
        <w:ind w:left="20" w:firstLine="640"/>
        <w:spacing w:after="0" w:line="314" w:lineRule="auto"/>
        <w:rPr>
          <w:sz w:val="20"/>
          <w:szCs w:val="20"/>
          <w:color w:val="auto"/>
        </w:rPr>
      </w:pPr>
      <w:r>
        <w:rPr>
          <w:rFonts w:ascii="Times New Roman" w:cs="Times New Roman" w:eastAsia="Times New Roman" w:hAnsi="Times New Roman"/>
          <w:sz w:val="21"/>
          <w:szCs w:val="21"/>
          <w:color w:val="auto"/>
        </w:rPr>
        <w:t>The Board will determine, in its sole discretion, the method for recouping any Recoverable Incentive or Erroneously Awarded Compensation, which may include, without limitation:</w:t>
      </w:r>
    </w:p>
    <w:p>
      <w:pPr>
        <w:spacing w:after="0" w:line="129" w:lineRule="exact"/>
        <w:rPr>
          <w:sz w:val="20"/>
          <w:szCs w:val="20"/>
          <w:color w:val="auto"/>
        </w:rPr>
      </w:pPr>
    </w:p>
    <w:p>
      <w:pPr>
        <w:ind w:left="1300" w:hanging="645"/>
        <w:spacing w:after="0"/>
        <w:tabs>
          <w:tab w:leader="none" w:pos="130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requiring reimbursement of cash Incentive Compensation previously paid;</w:t>
      </w:r>
    </w:p>
    <w:p>
      <w:pPr>
        <w:spacing w:after="0" w:line="238" w:lineRule="exact"/>
        <w:rPr>
          <w:rFonts w:ascii="Times New Roman" w:cs="Times New Roman" w:eastAsia="Times New Roman" w:hAnsi="Times New Roman"/>
          <w:sz w:val="21"/>
          <w:szCs w:val="21"/>
          <w:color w:val="auto"/>
        </w:rPr>
      </w:pPr>
    </w:p>
    <w:p>
      <w:pPr>
        <w:ind w:left="20" w:firstLine="636"/>
        <w:spacing w:after="0" w:line="301" w:lineRule="auto"/>
        <w:tabs>
          <w:tab w:leader="none" w:pos="1203"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seeking recovery of any gain realized on the vesting, exercise, settlement, sale, transfer or other disposition of any equity-based awards under the Company's Long Term Incentive Plan;</w:t>
      </w:r>
    </w:p>
    <w:p>
      <w:pPr>
        <w:spacing w:after="0" w:line="168" w:lineRule="exact"/>
        <w:rPr>
          <w:rFonts w:ascii="Times New Roman" w:cs="Times New Roman" w:eastAsia="Times New Roman" w:hAnsi="Times New Roman"/>
          <w:sz w:val="21"/>
          <w:szCs w:val="21"/>
          <w:color w:val="auto"/>
        </w:rPr>
      </w:pPr>
    </w:p>
    <w:p>
      <w:pPr>
        <w:ind w:left="1200" w:hanging="544"/>
        <w:spacing w:after="0"/>
        <w:tabs>
          <w:tab w:leader="none" w:pos="120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offsetting the recouped amount from any compensation otherwise owed by the Company to the Executive Officer;</w:t>
      </w:r>
    </w:p>
    <w:p>
      <w:pPr>
        <w:spacing w:after="0" w:line="252"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cancelling outstanding vested or unvested equity awards; and/or</w:t>
      </w:r>
    </w:p>
    <w:p>
      <w:pPr>
        <w:spacing w:after="0" w:line="238" w:lineRule="exact"/>
        <w:rPr>
          <w:rFonts w:ascii="Times New Roman" w:cs="Times New Roman" w:eastAsia="Times New Roman" w:hAnsi="Times New Roman"/>
          <w:sz w:val="21"/>
          <w:szCs w:val="21"/>
          <w:color w:val="auto"/>
        </w:rPr>
      </w:pPr>
    </w:p>
    <w:p>
      <w:pPr>
        <w:ind w:left="1200" w:hanging="544"/>
        <w:spacing w:after="0"/>
        <w:tabs>
          <w:tab w:leader="none" w:pos="120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taking any other remedial and recovery action permitted by law, as determined by the Board.</w:t>
      </w:r>
    </w:p>
    <w:p>
      <w:pPr>
        <w:spacing w:after="0" w:line="1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u w:val="single" w:color="auto"/>
          <w:color w:val="auto"/>
        </w:rPr>
        <w:t>No Indemnification</w:t>
      </w:r>
    </w:p>
    <w:p>
      <w:pPr>
        <w:spacing w:after="0" w:line="323" w:lineRule="exact"/>
        <w:rPr>
          <w:sz w:val="20"/>
          <w:szCs w:val="20"/>
          <w:color w:val="auto"/>
        </w:rPr>
      </w:pPr>
    </w:p>
    <w:p>
      <w:pPr>
        <w:ind w:left="20" w:right="980" w:firstLine="640"/>
        <w:spacing w:after="0" w:line="301" w:lineRule="auto"/>
        <w:rPr>
          <w:sz w:val="20"/>
          <w:szCs w:val="20"/>
          <w:color w:val="auto"/>
        </w:rPr>
      </w:pPr>
      <w:r>
        <w:rPr>
          <w:rFonts w:ascii="Times New Roman" w:cs="Times New Roman" w:eastAsia="Times New Roman" w:hAnsi="Times New Roman"/>
          <w:sz w:val="21"/>
          <w:szCs w:val="21"/>
          <w:color w:val="auto"/>
        </w:rPr>
        <w:t>The Company shall not indemnify any Executive Officer against the loss of any incorrectly awarded Incentive Compensation or Erroneously Awarded Compensation.</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u w:val="single" w:color="auto"/>
          <w:color w:val="auto"/>
        </w:rPr>
        <w:t>Disclosure</w:t>
      </w:r>
    </w:p>
    <w:p>
      <w:pPr>
        <w:spacing w:after="0" w:line="336" w:lineRule="exact"/>
        <w:rPr>
          <w:sz w:val="20"/>
          <w:szCs w:val="20"/>
          <w:color w:val="auto"/>
        </w:rPr>
      </w:pPr>
    </w:p>
    <w:p>
      <w:pPr>
        <w:jc w:val="both"/>
        <w:ind w:left="20" w:firstLine="640"/>
        <w:spacing w:after="0" w:line="277" w:lineRule="auto"/>
        <w:rPr>
          <w:sz w:val="20"/>
          <w:szCs w:val="20"/>
          <w:color w:val="auto"/>
        </w:rPr>
      </w:pPr>
      <w:r>
        <w:rPr>
          <w:rFonts w:ascii="Times New Roman" w:cs="Times New Roman" w:eastAsia="Times New Roman" w:hAnsi="Times New Roman"/>
          <w:sz w:val="21"/>
          <w:szCs w:val="21"/>
          <w:color w:val="auto"/>
        </w:rPr>
        <w:t>The Company shall disclose to its shareholders not later than the filing of the next following proxy statement the actions taken or the decision not to take action with regard to recovery or non-recovery, as the case may be, of Recoverable Incentive or Erroneously Awarded Compensation (including reporting the aggregate amounts recovered) related to any Restatement or to any Improper Conduct, so long as such event has been previously disclosed in the Company's filings with the SEC.</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060"/>
          </w:cols>
          <w:pgMar w:left="400" w:top="1440" w:right="439" w:bottom="1440" w:gutter="0" w:footer="0" w:header="0"/>
        </w:sectPr>
      </w:pPr>
    </w:p>
    <w:bookmarkStart w:id="146" w:name="page147"/>
    <w:bookmarkEnd w:id="146"/>
    <w:p>
      <w:pPr>
        <w:ind w:left="20"/>
        <w:spacing w:after="0"/>
        <w:rPr>
          <w:sz w:val="20"/>
          <w:szCs w:val="20"/>
          <w:color w:val="auto"/>
        </w:rPr>
      </w:pPr>
      <w:r>
        <w:rPr>
          <w:rFonts w:ascii="Times New Roman" w:cs="Times New Roman" w:eastAsia="Times New Roman" w:hAnsi="Times New Roman"/>
          <w:sz w:val="21"/>
          <w:szCs w:val="21"/>
          <w:b w:val="1"/>
          <w:bCs w:val="1"/>
          <w:u w:val="single" w:color="auto"/>
          <w:color w:val="auto"/>
        </w:rPr>
        <w:t>Effective Date</w:t>
      </w:r>
    </w:p>
    <w:p>
      <w:pPr>
        <w:spacing w:after="0" w:line="319" w:lineRule="exact"/>
        <w:rPr>
          <w:sz w:val="20"/>
          <w:szCs w:val="20"/>
          <w:color w:val="auto"/>
        </w:rPr>
      </w:pPr>
    </w:p>
    <w:p>
      <w:pPr>
        <w:jc w:val="both"/>
        <w:ind w:left="20" w:firstLine="640"/>
        <w:spacing w:after="0" w:line="292" w:lineRule="auto"/>
        <w:rPr>
          <w:sz w:val="20"/>
          <w:szCs w:val="20"/>
          <w:color w:val="auto"/>
        </w:rPr>
      </w:pPr>
      <w:r>
        <w:rPr>
          <w:rFonts w:ascii="Times New Roman" w:cs="Times New Roman" w:eastAsia="Times New Roman" w:hAnsi="Times New Roman"/>
          <w:sz w:val="21"/>
          <w:szCs w:val="21"/>
          <w:color w:val="auto"/>
        </w:rPr>
        <w:t>This Amended and Restated Policy shall be effective as of the date it is adopted by the Board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and shall apply to Incentive Compensation or Performance-Based Compensation that is approved, awarded or granted to Executive Officers on, after or prior to that date.</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u w:val="single" w:color="auto"/>
          <w:color w:val="auto"/>
        </w:rPr>
        <w:t>Other Recoupment Rights</w:t>
      </w:r>
    </w:p>
    <w:p>
      <w:pPr>
        <w:spacing w:after="0" w:line="323" w:lineRule="exact"/>
        <w:rPr>
          <w:sz w:val="20"/>
          <w:szCs w:val="20"/>
          <w:color w:val="auto"/>
        </w:rPr>
      </w:pPr>
    </w:p>
    <w:p>
      <w:pPr>
        <w:jc w:val="both"/>
        <w:ind w:left="20" w:firstLine="640"/>
        <w:spacing w:after="0" w:line="272" w:lineRule="auto"/>
        <w:rPr>
          <w:sz w:val="20"/>
          <w:szCs w:val="20"/>
          <w:color w:val="auto"/>
        </w:rPr>
      </w:pPr>
      <w:r>
        <w:rPr>
          <w:rFonts w:ascii="Times New Roman" w:cs="Times New Roman" w:eastAsia="Times New Roman" w:hAnsi="Times New Roman"/>
          <w:sz w:val="21"/>
          <w:szCs w:val="21"/>
          <w:color w:val="auto"/>
        </w:rPr>
        <w:t>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an Executive Officer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u w:val="single" w:color="auto"/>
          <w:color w:val="auto"/>
        </w:rPr>
        <w:t>Administration; Interpretation</w:t>
      </w:r>
    </w:p>
    <w:p>
      <w:pPr>
        <w:spacing w:after="0" w:line="323" w:lineRule="exact"/>
        <w:rPr>
          <w:sz w:val="20"/>
          <w:szCs w:val="20"/>
          <w:color w:val="auto"/>
        </w:rPr>
      </w:pPr>
    </w:p>
    <w:p>
      <w:pPr>
        <w:jc w:val="both"/>
        <w:ind w:left="20" w:firstLine="640"/>
        <w:spacing w:after="0" w:line="290" w:lineRule="auto"/>
        <w:rPr>
          <w:sz w:val="20"/>
          <w:szCs w:val="20"/>
          <w:color w:val="auto"/>
        </w:rPr>
      </w:pPr>
      <w:r>
        <w:rPr>
          <w:rFonts w:ascii="Times New Roman" w:cs="Times New Roman" w:eastAsia="Times New Roman" w:hAnsi="Times New Roman"/>
          <w:sz w:val="21"/>
          <w:szCs w:val="21"/>
          <w:color w:val="auto"/>
        </w:rPr>
        <w:t>This Policy shall be administered by the Board or, if so designated by the Board, the Compensation Committee, in which case references herein to the Board shall be deemed references to the Compensation Committee. Any determinations made by the Board shall be final and binding.</w:t>
      </w:r>
    </w:p>
    <w:p>
      <w:pPr>
        <w:spacing w:after="0" w:line="179" w:lineRule="exact"/>
        <w:rPr>
          <w:sz w:val="20"/>
          <w:szCs w:val="20"/>
          <w:color w:val="auto"/>
        </w:rPr>
      </w:pPr>
    </w:p>
    <w:p>
      <w:pPr>
        <w:jc w:val="both"/>
        <w:ind w:left="20" w:firstLine="640"/>
        <w:spacing w:after="0" w:line="290" w:lineRule="auto"/>
        <w:rPr>
          <w:sz w:val="20"/>
          <w:szCs w:val="20"/>
          <w:color w:val="auto"/>
        </w:rPr>
      </w:pPr>
      <w:r>
        <w:rPr>
          <w:rFonts w:ascii="Times New Roman" w:cs="Times New Roman" w:eastAsia="Times New Roman" w:hAnsi="Times New Roman"/>
          <w:sz w:val="21"/>
          <w:szCs w:val="21"/>
          <w:color w:val="auto"/>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the Listing Standard.</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u w:val="single" w:color="auto"/>
          <w:color w:val="auto"/>
        </w:rPr>
        <w:t>Amendment; Termination</w:t>
      </w:r>
    </w:p>
    <w:p>
      <w:pPr>
        <w:spacing w:after="0" w:line="323" w:lineRule="exact"/>
        <w:rPr>
          <w:sz w:val="20"/>
          <w:szCs w:val="20"/>
          <w:color w:val="auto"/>
        </w:rPr>
      </w:pPr>
    </w:p>
    <w:p>
      <w:pPr>
        <w:jc w:val="both"/>
        <w:ind w:left="20" w:firstLine="640"/>
        <w:spacing w:after="0" w:line="283" w:lineRule="auto"/>
        <w:rPr>
          <w:sz w:val="20"/>
          <w:szCs w:val="20"/>
          <w:color w:val="auto"/>
        </w:rPr>
      </w:pPr>
      <w:r>
        <w:rPr>
          <w:rFonts w:ascii="Times New Roman" w:cs="Times New Roman" w:eastAsia="Times New Roman" w:hAnsi="Times New Roman"/>
          <w:sz w:val="21"/>
          <w:szCs w:val="21"/>
          <w:color w:val="auto"/>
        </w:rPr>
        <w:t>The Board may amend this Policy from time to time in its discretion and shall amend this Policy as it deems necessary to reflect the rules and regulations adopted by the Securities and Exchange Commission under Section 10D of the Exchange Act and the Listing Standard.</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u w:val="single" w:color="auto"/>
          <w:color w:val="auto"/>
        </w:rPr>
        <w:t>Impracticability</w:t>
      </w:r>
    </w:p>
    <w:p>
      <w:pPr>
        <w:spacing w:after="0" w:line="323" w:lineRule="exact"/>
        <w:rPr>
          <w:sz w:val="20"/>
          <w:szCs w:val="20"/>
          <w:color w:val="auto"/>
        </w:rPr>
      </w:pPr>
    </w:p>
    <w:p>
      <w:pPr>
        <w:jc w:val="both"/>
        <w:ind w:left="20" w:firstLine="640"/>
        <w:spacing w:after="0" w:line="283" w:lineRule="auto"/>
        <w:rPr>
          <w:sz w:val="20"/>
          <w:szCs w:val="20"/>
          <w:color w:val="auto"/>
        </w:rPr>
      </w:pPr>
      <w:r>
        <w:rPr>
          <w:rFonts w:ascii="Times New Roman" w:cs="Times New Roman" w:eastAsia="Times New Roman" w:hAnsi="Times New Roman"/>
          <w:sz w:val="21"/>
          <w:szCs w:val="21"/>
          <w:color w:val="auto"/>
        </w:rPr>
        <w:t>The Board shall recover any Erroneously Awarded Compensation or Recoverable Incentive in accordance with this Policy unless such recovery would be impracticable, as determined by the Board in accordance with Rule 10D-1 of the Exchange Act and the Listing Standard.</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u w:val="single" w:color="auto"/>
          <w:color w:val="auto"/>
        </w:rPr>
        <w:t>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060"/>
          </w:cols>
          <w:pgMar w:left="400" w:top="1389" w:right="439" w:bottom="1440" w:gutter="0" w:footer="0" w:header="0"/>
        </w:sectPr>
      </w:pPr>
    </w:p>
    <w:bookmarkStart w:id="147" w:name="page148"/>
    <w:bookmarkEnd w:id="147"/>
    <w:p>
      <w:pPr>
        <w:spacing w:after="0" w:line="220" w:lineRule="exact"/>
        <w:rPr>
          <w:sz w:val="20"/>
          <w:szCs w:val="20"/>
          <w:color w:val="auto"/>
        </w:rPr>
      </w:pPr>
    </w:p>
    <w:p>
      <w:pPr>
        <w:ind w:left="20" w:firstLine="640"/>
        <w:spacing w:after="0" w:line="301" w:lineRule="auto"/>
        <w:rPr>
          <w:sz w:val="20"/>
          <w:szCs w:val="20"/>
          <w:color w:val="auto"/>
        </w:rPr>
      </w:pPr>
      <w:r>
        <w:rPr>
          <w:rFonts w:ascii="Times New Roman" w:cs="Times New Roman" w:eastAsia="Times New Roman" w:hAnsi="Times New Roman"/>
          <w:sz w:val="21"/>
          <w:szCs w:val="21"/>
          <w:color w:val="auto"/>
        </w:rPr>
        <w:t>This Policy shall be binding and enforceable against all Executive Officers and their respective beneficiaries, heirs, executors, administrators or other legal representatives.</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10244006_3</w:t>
      </w: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w:t>
      </w:r>
      <w:r>
        <w:rPr>
          <w:rFonts w:ascii="Times New Roman" w:cs="Times New Roman" w:eastAsia="Times New Roman" w:hAnsi="Times New Roman"/>
          <w:sz w:val="14"/>
          <w:szCs w:val="14"/>
          <w:color w:val="auto"/>
        </w:rPr>
        <w:t>PPROVED 9-21-23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w:t>
      </w:r>
    </w:p>
    <w:sectPr>
      <w:pgSz w:w="11900" w:h="16838" w:orient="portrait"/>
      <w:cols w:equalWidth="0" w:num="1">
        <w:col w:w="10480"/>
      </w:cols>
      <w:pgMar w:left="400" w:top="1440"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1."/>
      <w:numFmt w:val="lowerLetter"/>
      <w:start w:val="1"/>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1"/>
      <w:numFmt w:val="decimal"/>
      <w:start w:val="13"/>
    </w:lvl>
  </w:abstractNum>
  <w:abstractNum w:abstractNumId="6">
    <w:nsid w:val="6CEAF087"/>
    <w:multiLevelType w:val="hybridMultilevel"/>
    <w:lvl w:ilvl="0">
      <w:lvlJc w:val="left"/>
      <w:lvlText w:val="%1"/>
      <w:numFmt w:val="decimal"/>
      <w:start w:val="21"/>
    </w:lvl>
  </w:abstractNum>
  <w:abstractNum w:abstractNumId="7">
    <w:nsid w:val="22221A70"/>
    <w:multiLevelType w:val="hybridMultilevel"/>
    <w:lvl w:ilvl="0">
      <w:lvlJc w:val="left"/>
      <w:lvlText w:val="%1"/>
      <w:numFmt w:val="decimal"/>
      <w:start w:val="23"/>
    </w:lvl>
  </w:abstractNum>
  <w:abstractNum w:abstractNumId="8">
    <w:nsid w:val="4516DDE9"/>
    <w:multiLevelType w:val="hybridMultilevel"/>
    <w:lvl w:ilvl="0">
      <w:lvlJc w:val="left"/>
      <w:lvlText w:val="%1"/>
      <w:numFmt w:val="decimal"/>
      <w:start w:val="97"/>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1."/>
      <w:numFmt w:val="decimal"/>
      <w:start w:val="1"/>
    </w:lvl>
  </w:abstractNum>
  <w:abstractNum w:abstractNumId="11">
    <w:nsid w:val="419AC241"/>
    <w:multiLevelType w:val="hybridMultilevel"/>
    <w:lvl w:ilvl="0">
      <w:lvlJc w:val="left"/>
      <w:lvlText w:val="%1."/>
      <w:numFmt w:val="decimal"/>
      <w:start w:val="2"/>
    </w:lvl>
  </w:abstractNum>
  <w:abstractNum w:abstractNumId="12">
    <w:nsid w:val="5577F8E1"/>
    <w:multiLevelType w:val="hybridMultilevel"/>
    <w:lvl w:ilvl="0">
      <w:lvlJc w:val="left"/>
      <w:lvlText w:val="%1."/>
      <w:numFmt w:val="decimal"/>
      <w:start w:val="3"/>
    </w:lvl>
  </w:abstractNum>
  <w:abstractNum w:abstractNumId="13">
    <w:nsid w:val="440BADFC"/>
    <w:multiLevelType w:val="hybridMultilevel"/>
    <w:lvl w:ilvl="0">
      <w:lvlJc w:val="left"/>
      <w:lvlText w:val="(%1)"/>
      <w:numFmt w:val="decimal"/>
      <w:start w:val="60"/>
    </w:lvl>
  </w:abstractNum>
  <w:abstractNum w:abstractNumId="14">
    <w:nsid w:val="5072367"/>
    <w:multiLevelType w:val="hybridMultilevel"/>
    <w:lvl w:ilvl="0">
      <w:lvlJc w:val="left"/>
      <w:lvlText w:val="%1."/>
      <w:numFmt w:val="decimal"/>
      <w:start w:val="4"/>
    </w:lvl>
  </w:abstractNum>
  <w:abstractNum w:abstractNumId="15">
    <w:nsid w:val="3804823E"/>
    <w:multiLevelType w:val="hybridMultilevel"/>
    <w:lvl w:ilvl="0">
      <w:lvlJc w:val="left"/>
      <w:lvlText w:val="%1."/>
      <w:numFmt w:val="decimal"/>
      <w:start w:val="5"/>
    </w:lvl>
  </w:abstractNum>
  <w:abstractNum w:abstractNumId="16">
    <w:nsid w:val="77465F01"/>
    <w:multiLevelType w:val="hybridMultilevel"/>
    <w:lvl w:ilvl="0">
      <w:lvlJc w:val="left"/>
      <w:lvlText w:val="%1."/>
      <w:numFmt w:val="decimal"/>
      <w:start w:val="6"/>
    </w:lvl>
  </w:abstractNum>
  <w:abstractNum w:abstractNumId="17">
    <w:nsid w:val="7724C67E"/>
    <w:multiLevelType w:val="hybridMultilevel"/>
    <w:lvl w:ilvl="0">
      <w:lvlJc w:val="left"/>
      <w:lvlText w:val="(%1)"/>
      <w:numFmt w:val="lowerLetter"/>
      <w:start w:val="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1."/>
      <w:numFmt w:val="decimal"/>
      <w:start w:val="2"/>
    </w:lvl>
    <w:lvl w:ilvl="1">
      <w:lvlJc w:val="left"/>
      <w:lvlText w:val="%2."/>
      <w:numFmt w:val="decimal"/>
      <w:start w:val="3"/>
    </w:lvl>
    <w:lvl w:ilvl="2">
      <w:lvlJc w:val="left"/>
      <w:lvlText w:val="%3."/>
      <w:numFmt w:val="decimal"/>
      <w:start w:val="3"/>
    </w:lvl>
  </w:abstractNum>
  <w:abstractNum w:abstractNumId="20">
    <w:nsid w:val="5E884ADC"/>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abstractNum>
  <w:abstractNum w:abstractNumId="21">
    <w:nsid w:val="51EAD36B"/>
    <w:multiLevelType w:val="hybridMultilevel"/>
    <w:lvl w:ilvl="0">
      <w:lvlJc w:val="left"/>
      <w:lvlText w:val="%1."/>
      <w:numFmt w:val="decimal"/>
      <w:start w:val="6"/>
    </w:lvl>
    <w:lvl w:ilvl="1">
      <w:lvlJc w:val="left"/>
      <w:lvlText w:val="%2."/>
      <w:numFmt w:val="decimal"/>
      <w:start w:val="8"/>
    </w:lvl>
    <w:lvl w:ilvl="2">
      <w:lvlJc w:val="left"/>
      <w:lvlText w:val="%3"/>
      <w:numFmt w:val="decimal"/>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1)"/>
      <w:numFmt w:val="decimal"/>
      <w:start w:val="1"/>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
      <w:numFmt w:val="bullet"/>
      <w:start w:val="1"/>
    </w:lvl>
    <w:lvl w:ilvl="1">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1)"/>
      <w:numFmt w:val="lowerRoman"/>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2"/>
    </w:lvl>
  </w:abstractNum>
  <w:abstractNum w:abstractNumId="43">
    <w:nsid w:val="3DC240FB"/>
    <w:multiLevelType w:val="hybridMultilevel"/>
    <w:lvl w:ilvl="0">
      <w:lvlJc w:val="left"/>
      <w:lvlText w:val="(%1)"/>
      <w:numFmt w:val="decimal"/>
      <w:start w:val="1"/>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1)"/>
      <w:numFmt w:val="decimal"/>
      <w:start w:val="1"/>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1."/>
      <w:numFmt w:val="decimal"/>
      <w:start w:val="1"/>
    </w:lvl>
    <w:lvl w:ilvl="1">
      <w:lvlJc w:val="left"/>
      <w:lvlText w:val="%2)"/>
      <w:numFmt w:val="lowerLetter"/>
      <w:start w:val="1"/>
    </w:lvl>
  </w:abstractNum>
  <w:abstractNum w:abstractNumId="49">
    <w:nsid w:val="520EEDD1"/>
    <w:multiLevelType w:val="hybridMultilevel"/>
    <w:lvl w:ilvl="0">
      <w:lvlJc w:val="left"/>
      <w:lvlText w:val="%1."/>
      <w:numFmt w:val="decimal"/>
      <w:start w:val="1"/>
    </w:lvl>
    <w:lvl w:ilvl="1">
      <w:lvlJc w:val="left"/>
      <w:lvlText w:val="%2)"/>
      <w:numFmt w:val="lowerLetter"/>
      <w:start w:val="1"/>
    </w:lvl>
  </w:abstractNum>
  <w:abstractNum w:abstractNumId="50">
    <w:nsid w:val="374A3FE6"/>
    <w:multiLevelType w:val="hybridMultilevel"/>
    <w:lvl w:ilvl="0">
      <w:lvlJc w:val="left"/>
      <w:lvlText w:val="(%1)"/>
      <w:numFmt w:val="decimal"/>
      <w:start w:val="1"/>
    </w:lvl>
  </w:abstractNum>
  <w:abstractNum w:abstractNumId="51">
    <w:nsid w:val="4F4EF005"/>
    <w:multiLevelType w:val="hybridMultilevel"/>
    <w:lvl w:ilvl="0">
      <w:lvlJc w:val="left"/>
      <w:lvlText w:val="(%1)"/>
      <w:numFmt w:val="decimal"/>
      <w:start w:val="1"/>
    </w:lvl>
  </w:abstractNum>
  <w:abstractNum w:abstractNumId="52">
    <w:nsid w:val="23F9C13C"/>
    <w:multiLevelType w:val="hybridMultilevel"/>
    <w:lvl w:ilvl="0">
      <w:lvlJc w:val="left"/>
      <w:lvlText w:val="(%1)"/>
      <w:numFmt w:val="lowerLetter"/>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4" Type="http://schemas.openxmlformats.org/officeDocument/2006/relationships/image" Target="media/image43.png"/><Relationship Id="rId57" Type="http://schemas.openxmlformats.org/officeDocument/2006/relationships/image" Target="media/image44.png"/><Relationship Id="rId60" Type="http://schemas.openxmlformats.org/officeDocument/2006/relationships/image" Target="media/image45.png"/><Relationship Id="rId63"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jpe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jpeg"/><Relationship Id="rId104" Type="http://schemas.openxmlformats.org/officeDocument/2006/relationships/image" Target="media/image86.jpe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jpe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49" Type="http://schemas.openxmlformats.org/officeDocument/2006/relationships/hyperlink" Target="https://www.sec.gov/Archives/edgar/data/39311/000114036117040856/ex3_1.htm" TargetMode="External"/><Relationship Id="rId50" Type="http://schemas.openxmlformats.org/officeDocument/2006/relationships/hyperlink" Target="https://www.sec.gov/Archives/edgar/data/39311/000156761917000394/h10041717x1_ex3-2.htm" TargetMode="External"/><Relationship Id="rId52" Type="http://schemas.openxmlformats.org/officeDocument/2006/relationships/hyperlink" Target="https://www.sec.gov/Archives/edgar/data/39311/000114036120005031/hc10008974x1_ex4.htm" TargetMode="External"/><Relationship Id="rId53" Type="http://schemas.openxmlformats.org/officeDocument/2006/relationships/hyperlink" Target="https://www.sec.gov/Archives/edgar/data/39311/000114036120012543/ex10_1.htm" TargetMode="External"/><Relationship Id="rId55" Type="http://schemas.openxmlformats.org/officeDocument/2006/relationships/hyperlink" Target="https://www.sec.gov/Archives/edgar/data/39311/000114036117047794/s002003x1_ex10-3.htm" TargetMode="External"/><Relationship Id="rId56" Type="http://schemas.openxmlformats.org/officeDocument/2006/relationships/hyperlink" Target="https://www.sec.gov/Archives/edgar/data/39311/000114036117047794/s002003x1_ex10-4.htm" TargetMode="External"/><Relationship Id="rId58" Type="http://schemas.openxmlformats.org/officeDocument/2006/relationships/hyperlink" Target="https://www.sec.gov/Archives/edgar/data/39311/000114036121007399/nc10020480x1_def14a.htm" TargetMode="External"/><Relationship Id="rId59" Type="http://schemas.openxmlformats.org/officeDocument/2006/relationships/hyperlink" Target="https://www.sec.gov/Archives/edgar/data/39311/000114036119008354/ex10_1.htm" TargetMode="External"/><Relationship Id="rId61" Type="http://schemas.openxmlformats.org/officeDocument/2006/relationships/hyperlink" Target="https://www.sec.gov/Archives/edgar/data/39311/000114036114011558/ex10_12.htm" TargetMode="External"/><Relationship Id="rId62" Type="http://schemas.openxmlformats.org/officeDocument/2006/relationships/hyperlink" Target="https://www.sec.gov/Archives/edgar/data/39311/000156761915000219/s000723x1_ex10-10.htm" TargetMode="External"/><Relationship Id="rId64" Type="http://schemas.openxmlformats.org/officeDocument/2006/relationships/hyperlink" Target="https://www.sec.gov/Archives/edgar/data/39311/000003931123000035/ibcp-20221231xex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2024-03-08T11:51:37Z</dcterms:created>
  <dcterms:modified xsi:type="dcterms:W3CDTF">2024-03-08T11:51:37Z</dcterms:modified>
</cp:coreProperties>
</file>