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5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March 31, 2017</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1141730</wp:posOffset>
            </wp:positionH>
            <wp:positionV relativeFrom="paragraph">
              <wp:posOffset>-10160</wp:posOffset>
            </wp:positionV>
            <wp:extent cx="409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575"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7080" w:type="dxa"/>
            <w:vAlign w:val="bottom"/>
            <w:gridSpan w:val="3"/>
          </w:tcPr>
          <w:p>
            <w:pPr>
              <w:jc w:val="center"/>
              <w:ind w:right="1460"/>
              <w:spacing w:after="0"/>
              <w:rPr>
                <w:sz w:val="20"/>
                <w:szCs w:val="20"/>
                <w:color w:val="auto"/>
              </w:rPr>
            </w:pPr>
            <w:r>
              <w:rPr>
                <w:rFonts w:ascii="Arial" w:cs="Arial" w:eastAsia="Arial" w:hAnsi="Arial"/>
                <w:sz w:val="18"/>
                <w:szCs w:val="18"/>
                <w:color w:val="auto"/>
                <w:w w:val="97"/>
              </w:rPr>
              <w:t>Michigan</w:t>
            </w:r>
          </w:p>
        </w:tc>
        <w:tc>
          <w:tcPr>
            <w:tcW w:w="4340" w:type="dxa"/>
            <w:vAlign w:val="bottom"/>
          </w:tcPr>
          <w:p>
            <w:pPr>
              <w:jc w:val="right"/>
              <w:ind w:right="2270"/>
              <w:spacing w:after="0"/>
              <w:rPr>
                <w:sz w:val="20"/>
                <w:szCs w:val="20"/>
                <w:color w:val="auto"/>
              </w:rPr>
            </w:pPr>
            <w:r>
              <w:rPr>
                <w:rFonts w:ascii="Arial" w:cs="Arial" w:eastAsia="Arial" w:hAnsi="Arial"/>
                <w:sz w:val="18"/>
                <w:szCs w:val="18"/>
                <w:color w:val="auto"/>
              </w:rPr>
              <w:t>38-2032782</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jurisdiction of Incorporation or Organization)</w:t>
            </w:r>
          </w:p>
        </w:tc>
        <w:tc>
          <w:tcPr>
            <w:tcW w:w="2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340" w:type="dxa"/>
            <w:vAlign w:val="bottom"/>
            <w:tcBorders>
              <w:top w:val="single" w:sz="8" w:color="auto"/>
            </w:tcBorders>
          </w:tcPr>
          <w:p>
            <w:pPr>
              <w:jc w:val="center"/>
              <w:ind w:right="115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7080" w:type="dxa"/>
            <w:vAlign w:val="bottom"/>
            <w:gridSpan w:val="3"/>
          </w:tcPr>
          <w:p>
            <w:pPr>
              <w:ind w:left="3840"/>
              <w:spacing w:after="0"/>
              <w:rPr>
                <w:sz w:val="20"/>
                <w:szCs w:val="20"/>
                <w:color w:val="auto"/>
              </w:rPr>
            </w:pPr>
            <w:r>
              <w:rPr>
                <w:rFonts w:ascii="Arial" w:cs="Arial" w:eastAsia="Arial" w:hAnsi="Arial"/>
                <w:sz w:val="18"/>
                <w:szCs w:val="18"/>
                <w:color w:val="auto"/>
                <w:w w:val="92"/>
              </w:rPr>
              <w:t>4200 East Beltline, Grand Rapids, Michigan</w:t>
            </w:r>
          </w:p>
        </w:tc>
        <w:tc>
          <w:tcPr>
            <w:tcW w:w="4340" w:type="dxa"/>
            <w:vAlign w:val="bottom"/>
          </w:tcPr>
          <w:p>
            <w:pPr>
              <w:jc w:val="right"/>
              <w:ind w:right="3750"/>
              <w:spacing w:after="0"/>
              <w:rPr>
                <w:sz w:val="20"/>
                <w:szCs w:val="20"/>
                <w:color w:val="auto"/>
              </w:rPr>
            </w:pPr>
            <w:r>
              <w:rPr>
                <w:rFonts w:ascii="Arial" w:cs="Arial" w:eastAsia="Arial" w:hAnsi="Arial"/>
                <w:sz w:val="18"/>
                <w:szCs w:val="18"/>
                <w:color w:val="auto"/>
                <w:w w:val="95"/>
              </w:rPr>
              <w:t>49525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(616) 527-5820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52" w:lineRule="exact"/>
        <w:rPr>
          <w:sz w:val="24"/>
          <w:szCs w:val="24"/>
          <w:color w:val="auto"/>
        </w:rPr>
      </w:pPr>
    </w:p>
    <w:p>
      <w:pPr>
        <w:ind w:right="180"/>
        <w:spacing w:after="0" w:line="287" w:lineRule="auto"/>
        <w:rPr>
          <w:sz w:val="20"/>
          <w:szCs w:val="20"/>
          <w:color w:val="auto"/>
        </w:rPr>
      </w:pPr>
      <w:r>
        <w:rPr>
          <w:rFonts w:ascii="Arial" w:cs="Arial" w:eastAsia="Arial" w:hAnsi="Arial"/>
          <w:sz w:val="16"/>
          <w:szCs w:val="16"/>
          <w:color w:val="auto"/>
        </w:rPr>
        <w:t>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w:t>
      </w:r>
    </w:p>
    <w:p>
      <w:pPr>
        <w:spacing w:after="0" w:line="1" w:lineRule="exact"/>
        <w:rPr>
          <w:sz w:val="24"/>
          <w:szCs w:val="24"/>
          <w:color w:val="auto"/>
        </w:rPr>
      </w:pPr>
    </w:p>
    <w:p>
      <w:pPr>
        <w:spacing w:after="0" w:line="207" w:lineRule="exact"/>
        <w:tabs>
          <w:tab w:leader="none" w:pos="3320" w:val="left"/>
          <w:tab w:leader="none" w:pos="4180" w:val="left"/>
        </w:tabs>
        <w:rPr>
          <w:sz w:val="20"/>
          <w:szCs w:val="20"/>
          <w:color w:val="auto"/>
        </w:rPr>
      </w:pPr>
      <w:r>
        <w:rPr>
          <w:rFonts w:ascii="Arial" w:cs="Arial" w:eastAsia="Arial" w:hAnsi="Arial"/>
          <w:sz w:val="18"/>
          <w:szCs w:val="18"/>
          <w:color w:val="auto"/>
        </w:rPr>
        <w:t>filing 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9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5" w:lineRule="exact"/>
        <w:rPr>
          <w:sz w:val="24"/>
          <w:szCs w:val="24"/>
          <w:color w:val="auto"/>
        </w:rPr>
      </w:pPr>
    </w:p>
    <w:p>
      <w:pPr>
        <w:ind w:right="7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smaller reporting company or an emerging growth company.</w:t>
      </w:r>
    </w:p>
    <w:p>
      <w:pPr>
        <w:spacing w:after="0" w:line="2" w:lineRule="exact"/>
        <w:rPr>
          <w:sz w:val="24"/>
          <w:szCs w:val="24"/>
          <w:color w:val="auto"/>
        </w:rPr>
      </w:pPr>
    </w:p>
    <w:p>
      <w:pPr>
        <w:spacing w:after="0" w:line="207" w:lineRule="exact"/>
        <w:tabs>
          <w:tab w:leader="none" w:pos="2280" w:val="left"/>
          <w:tab w:leader="none" w:pos="4340" w:val="left"/>
          <w:tab w:leader="none" w:pos="6620" w:val="left"/>
          <w:tab w:leader="none" w:pos="91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w:t>
      </w:r>
      <w:r>
        <w:rPr>
          <w:rFonts w:ascii="MS PGothic" w:cs="MS PGothic" w:eastAsia="MS PGothic" w:hAnsi="MS PGothic"/>
          <w:sz w:val="16"/>
          <w:szCs w:val="16"/>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Common stock, no par value</w:t>
            </w:r>
          </w:p>
        </w:tc>
        <w:tc>
          <w:tcPr>
            <w:tcW w:w="5600" w:type="dxa"/>
            <w:vAlign w:val="bottom"/>
          </w:tcPr>
          <w:p>
            <w:pPr>
              <w:jc w:val="right"/>
              <w:ind w:right="2310"/>
              <w:spacing w:after="0"/>
              <w:rPr>
                <w:sz w:val="20"/>
                <w:szCs w:val="20"/>
                <w:color w:val="auto"/>
              </w:rPr>
            </w:pPr>
            <w:r>
              <w:rPr>
                <w:rFonts w:ascii="Arial" w:cs="Arial" w:eastAsia="Arial" w:hAnsi="Arial"/>
                <w:sz w:val="18"/>
                <w:szCs w:val="18"/>
                <w:color w:val="auto"/>
              </w:rPr>
              <w:t>21,333,152</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Outstanding at May 2, 2017</w:t>
            </w:r>
          </w:p>
        </w:tc>
      </w:tr>
      <w:tr>
        <w:trPr>
          <w:trHeight w:val="337"/>
        </w:trPr>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63"/>
        </w:trPr>
        <w:tc>
          <w:tcPr>
            <w:tcW w:w="5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r>
      <w:tr>
        <w:trPr>
          <w:trHeight w:val="183"/>
        </w:trPr>
        <w:tc>
          <w:tcPr>
            <w:tcW w:w="5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41"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gridSpan w:val="12"/>
          </w:tcPr>
          <w:p>
            <w:pPr>
              <w:jc w:val="center"/>
              <w:ind w:right="1660"/>
              <w:spacing w:after="0"/>
              <w:rPr>
                <w:sz w:val="20"/>
                <w:szCs w:val="20"/>
                <w:color w:val="auto"/>
              </w:rPr>
            </w:pPr>
            <w:r>
              <w:rPr>
                <w:rFonts w:ascii="Arial" w:cs="Arial" w:eastAsia="Arial" w:hAnsi="Arial"/>
                <w:sz w:val="18"/>
                <w:szCs w:val="18"/>
                <w:color w:val="auto"/>
                <w:w w:val="97"/>
              </w:rPr>
              <w:t>INDEPENDENT BANK CORPORATION AND SUBSIDIARIES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rPr>
              <w:t>INDEX</w:t>
            </w:r>
          </w:p>
        </w:tc>
        <w:tc>
          <w:tcPr>
            <w:tcW w:w="416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PART I -</w:t>
            </w:r>
          </w:p>
        </w:tc>
        <w:tc>
          <w:tcPr>
            <w:tcW w:w="9000" w:type="dxa"/>
            <w:vAlign w:val="bottom"/>
            <w:gridSpan w:val="17"/>
            <w:vMerge w:val="restart"/>
          </w:tcPr>
          <w:p>
            <w:pPr>
              <w:spacing w:after="0"/>
              <w:rPr>
                <w:sz w:val="20"/>
                <w:szCs w:val="20"/>
                <w:color w:val="auto"/>
              </w:rPr>
            </w:pPr>
            <w:r>
              <w:rPr>
                <w:rFonts w:ascii="Arial" w:cs="Arial" w:eastAsia="Arial" w:hAnsi="Arial"/>
                <w:sz w:val="18"/>
                <w:szCs w:val="18"/>
                <w:color w:val="auto"/>
              </w:rPr>
              <w:t>Financial Information</w:t>
            </w:r>
          </w:p>
        </w:tc>
        <w:tc>
          <w:tcPr>
            <w:tcW w:w="1280" w:type="dxa"/>
            <w:vAlign w:val="bottom"/>
            <w:gridSpan w:val="3"/>
          </w:tcPr>
          <w:p>
            <w:pPr>
              <w:ind w:left="480"/>
              <w:spacing w:after="0"/>
              <w:rPr>
                <w:sz w:val="20"/>
                <w:szCs w:val="20"/>
                <w:color w:val="auto"/>
              </w:rPr>
            </w:pPr>
            <w:r>
              <w:rPr>
                <w:rFonts w:ascii="Arial" w:cs="Arial" w:eastAsia="Arial" w:hAnsi="Arial"/>
                <w:sz w:val="18"/>
                <w:szCs w:val="18"/>
                <w:color w:val="auto"/>
                <w:w w:val="91"/>
              </w:rPr>
              <w:t>Number(s)</w:t>
            </w:r>
          </w:p>
        </w:tc>
        <w:tc>
          <w:tcPr>
            <w:tcW w:w="0" w:type="dxa"/>
            <w:vAlign w:val="bottom"/>
          </w:tcPr>
          <w:p>
            <w:pPr>
              <w:spacing w:after="0"/>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000" w:type="dxa"/>
            <w:vAlign w:val="bottom"/>
            <w:gridSpan w:val="17"/>
            <w:vMerge w:val="continue"/>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72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March 31, 2017 and December 31, 2016</w:t>
              </w:r>
            </w:hyperlink>
          </w:p>
        </w:tc>
        <w:tc>
          <w:tcPr>
            <w:tcW w:w="1740" w:type="dxa"/>
            <w:vAlign w:val="bottom"/>
            <w:tcBorders>
              <w:bottom w:val="single" w:sz="8" w:color="CCEEFF"/>
            </w:tcBorders>
            <w:gridSpan w:val="5"/>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0" w:type="dxa"/>
            <w:vAlign w:val="bottom"/>
            <w:gridSpan w:val="1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Three-month periods ended March 31, 2017 and 2016</w:t>
              </w:r>
            </w:hyperlink>
          </w:p>
        </w:tc>
        <w:tc>
          <w:tcPr>
            <w:tcW w:w="1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5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Three-month periods ended March 31, 2017 and 2016</w:t>
              </w:r>
            </w:hyperlink>
          </w:p>
        </w:tc>
        <w:tc>
          <w:tcPr>
            <w:tcW w:w="4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0" w:type="dxa"/>
            <w:vAlign w:val="bottom"/>
            <w:gridSpan w:val="1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Three-month periods ended March 31, 2017 and 2016</w:t>
              </w:r>
            </w:hyperlink>
          </w:p>
        </w:tc>
        <w:tc>
          <w:tcPr>
            <w:tcW w:w="1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3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Shareholders' Equity Three-month periods ended March 31, 2017 and 2016</w:t>
              </w:r>
            </w:hyperlink>
          </w:p>
        </w:tc>
        <w:tc>
          <w:tcPr>
            <w:tcW w:w="700" w:type="dxa"/>
            <w:vAlign w:val="bottom"/>
            <w:tcBorders>
              <w:bottom w:val="single" w:sz="8" w:color="CCEEFF"/>
            </w:tcBorders>
            <w:gridSpan w:val="2"/>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0" w:type="dxa"/>
            <w:vAlign w:val="bottom"/>
            <w:gridSpan w:val="17"/>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Interim Condensed Consolidated Financial Statements</w:t>
              </w:r>
            </w:hyperlink>
          </w:p>
        </w:tc>
        <w:tc>
          <w:tcPr>
            <w:tcW w:w="1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tcBorders>
              <w:bottom w:val="single" w:sz="8" w:color="CCEEFF"/>
            </w:tcBorders>
            <w:gridSpan w:val="6"/>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56-77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000" w:type="dxa"/>
            <w:vAlign w:val="bottom"/>
            <w:gridSpan w:val="17"/>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Quantitative and Qualitative Disclosures about Market Risk</w:t>
              </w:r>
            </w:hyperlink>
          </w:p>
        </w:tc>
        <w:tc>
          <w:tcPr>
            <w:tcW w:w="1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000" w:type="dxa"/>
            <w:vAlign w:val="bottom"/>
            <w:gridSpan w:val="17"/>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1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PART II -</w:t>
            </w:r>
          </w:p>
        </w:tc>
        <w:tc>
          <w:tcPr>
            <w:tcW w:w="132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Other Information</w:t>
            </w:r>
          </w:p>
        </w:tc>
        <w:tc>
          <w:tcPr>
            <w:tcW w:w="7680" w:type="dxa"/>
            <w:vAlign w:val="bottom"/>
            <w:tcBorders>
              <w:bottom w:val="single" w:sz="8" w:color="CCEEFF"/>
            </w:tcBorders>
            <w:gridSpan w:val="14"/>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000" w:type="dxa"/>
            <w:vAlign w:val="bottom"/>
            <w:gridSpan w:val="17"/>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Risk Factors</w:t>
              </w:r>
            </w:hyperlink>
          </w:p>
        </w:tc>
        <w:tc>
          <w:tcPr>
            <w:tcW w:w="1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000" w:type="dxa"/>
            <w:vAlign w:val="bottom"/>
            <w:gridSpan w:val="17"/>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Unregistered Sales of Equity Securities and Use of Proceeds</w:t>
              </w:r>
            </w:hyperlink>
          </w:p>
        </w:tc>
        <w:tc>
          <w:tcPr>
            <w:tcW w:w="1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Exhibits</w:t>
              </w:r>
            </w:hyperlink>
          </w:p>
        </w:tc>
        <w:tc>
          <w:tcPr>
            <w:tcW w:w="3740" w:type="dxa"/>
            <w:vAlign w:val="bottom"/>
            <w:tcBorders>
              <w:top w:val="single" w:sz="8" w:color="0000EE"/>
            </w:tcBorders>
            <w:gridSpan w:val="7"/>
          </w:tcPr>
          <w:p>
            <w:pPr>
              <w:spacing w:after="0"/>
              <w:rPr>
                <w:sz w:val="15"/>
                <w:szCs w:val="15"/>
                <w:color w:val="auto"/>
              </w:rPr>
            </w:pPr>
          </w:p>
        </w:tc>
        <w:tc>
          <w:tcPr>
            <w:tcW w:w="4660" w:type="dxa"/>
            <w:vAlign w:val="bottom"/>
            <w:tcBorders>
              <w:top w:val="single" w:sz="8" w:color="CCEEFF"/>
            </w:tcBorders>
            <w:gridSpan w:val="9"/>
          </w:tcPr>
          <w:p>
            <w:pPr>
              <w:spacing w:after="0"/>
              <w:rPr>
                <w:sz w:val="15"/>
                <w:szCs w:val="15"/>
                <w:color w:val="auto"/>
              </w:rPr>
            </w:pPr>
          </w:p>
        </w:tc>
        <w:tc>
          <w:tcPr>
            <w:tcW w:w="126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40" w:type="dxa"/>
            <w:vAlign w:val="bottom"/>
            <w:gridSpan w:val="10"/>
          </w:tcPr>
          <w:p>
            <w:pPr>
              <w:jc w:val="center"/>
              <w:ind w:left="4171"/>
              <w:spacing w:after="0"/>
              <w:rPr>
                <w:sz w:val="20"/>
                <w:szCs w:val="20"/>
                <w:color w:val="auto"/>
              </w:rPr>
            </w:pPr>
            <w:r>
              <w:rPr>
                <w:rFonts w:ascii="Arial" w:cs="Arial" w:eastAsia="Arial" w:hAnsi="Arial"/>
                <w:sz w:val="14"/>
                <w:szCs w:val="14"/>
                <w:color w:val="auto"/>
                <w:w w:val="76"/>
              </w:rPr>
              <w:t>1</w:t>
            </w: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206" w:lineRule="exact"/>
        <w:rPr>
          <w:sz w:val="20"/>
          <w:szCs w:val="20"/>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23" w:lineRule="exact"/>
        <w:rPr>
          <w:rFonts w:ascii="Arial" w:cs="Arial" w:eastAsia="Arial" w:hAnsi="Arial"/>
          <w:sz w:val="18"/>
          <w:szCs w:val="18"/>
          <w:color w:val="auto"/>
        </w:rPr>
      </w:pPr>
    </w:p>
    <w:p>
      <w:pPr>
        <w:ind w:left="760" w:right="80" w:hanging="333"/>
        <w:spacing w:after="0" w:line="25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2016,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54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w w:val="98"/>
              </w:rPr>
              <w:t>INDEPENDENT BANK CORPORATION AND SUBSIDIARIES</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rPr>
              <w:t>Part I - Item 1.</w:t>
            </w:r>
          </w:p>
        </w:tc>
        <w:tc>
          <w:tcPr>
            <w:tcW w:w="55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180" w:type="dxa"/>
            <w:vAlign w:val="bottom"/>
            <w:gridSpan w:val="2"/>
            <w:vMerge w:val="restart"/>
          </w:tcPr>
          <w:p>
            <w:pPr>
              <w:jc w:val="right"/>
              <w:ind w:right="860"/>
              <w:spacing w:after="0" w:line="190" w:lineRule="exact"/>
              <w:rPr>
                <w:sz w:val="20"/>
                <w:szCs w:val="20"/>
                <w:color w:val="auto"/>
              </w:rPr>
            </w:pPr>
            <w:r>
              <w:rPr>
                <w:rFonts w:ascii="Arial" w:cs="Arial" w:eastAsia="Arial" w:hAnsi="Arial"/>
                <w:sz w:val="18"/>
                <w:szCs w:val="18"/>
                <w:color w:val="auto"/>
                <w:w w:val="90"/>
              </w:rPr>
              <w:t>Condensed Consolidated Statements of Financial Condition</w:t>
            </w: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1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March 31,</w:t>
            </w:r>
          </w:p>
        </w:tc>
        <w:tc>
          <w:tcPr>
            <w:tcW w:w="80" w:type="dxa"/>
            <w:vAlign w:val="bottom"/>
          </w:tcPr>
          <w:p>
            <w:pPr>
              <w:spacing w:after="0"/>
              <w:rPr>
                <w:sz w:val="24"/>
                <w:szCs w:val="24"/>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90"/>
              </w:rPr>
              <w:t>(unaudited)</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5"/>
          </w:tcPr>
          <w:p>
            <w:pPr>
              <w:jc w:val="center"/>
              <w:ind w:right="70"/>
              <w:spacing w:after="0" w:line="201" w:lineRule="exact"/>
              <w:rPr>
                <w:sz w:val="20"/>
                <w:szCs w:val="20"/>
                <w:color w:val="auto"/>
              </w:rPr>
            </w:pPr>
            <w:r>
              <w:rPr>
                <w:rFonts w:ascii="Arial" w:cs="Arial" w:eastAsia="Arial" w:hAnsi="Arial"/>
                <w:sz w:val="18"/>
                <w:szCs w:val="18"/>
                <w:color w:val="auto"/>
                <w:w w:val="88"/>
              </w:rPr>
              <w:t>(In thousands, except share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4"/>
          </w:tcPr>
          <w:p>
            <w:pPr>
              <w:jc w:val="center"/>
              <w:ind w:left="570"/>
              <w:spacing w:after="0"/>
              <w:rPr>
                <w:sz w:val="20"/>
                <w:szCs w:val="20"/>
                <w:color w:val="auto"/>
              </w:rPr>
            </w:pPr>
            <w:r>
              <w:rPr>
                <w:rFonts w:ascii="Arial" w:cs="Arial" w:eastAsia="Arial" w:hAnsi="Arial"/>
                <w:sz w:val="18"/>
                <w:szCs w:val="18"/>
                <w:color w:val="auto"/>
                <w:w w:val="87"/>
              </w:rPr>
              <w:t>amounts)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29,866</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Interest bearing deposits</w:t>
            </w: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47,956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Interest bearing deposits - time</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608,964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610,616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Loans held for sale, carried at fair value</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35,946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Payment plan receivables and other assets held for sale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Loans</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538,615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3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274,233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Total Loans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1,670,747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1,608,248</w:t>
            </w: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3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Net Loans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1,650,709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1,588,014</w:t>
            </w: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Other real estate and repossessed assets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Capitalized mortgage loan servicing rights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Vehicle service contract counterparty receivables,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Accrued income and other assets</w:t>
            </w: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26,372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2,596,482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2,548,950</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710,644</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w w:val="98"/>
              </w:rPr>
              <w:t>Savings and interest-bearing checking</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1,062,582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1,015,724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Reciprocal</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Time</w:t>
            </w: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448,450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453,866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Total Deposits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2,263,059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2,225,719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Other liabilities held for sale</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8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51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2,341,007</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2,299,970</w:t>
            </w:r>
          </w:p>
        </w:tc>
        <w:tc>
          <w:tcPr>
            <w:tcW w:w="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5"/>
          </w:tcPr>
          <w:p>
            <w:pPr>
              <w:spacing w:after="0" w:line="201" w:lineRule="exact"/>
              <w:rPr>
                <w:sz w:val="20"/>
                <w:szCs w:val="20"/>
                <w:color w:val="auto"/>
              </w:rPr>
            </w:pPr>
            <w:r>
              <w:rPr>
                <w:rFonts w:ascii="Arial" w:cs="Arial" w:eastAsia="Arial" w:hAnsi="Arial"/>
                <w:sz w:val="18"/>
                <w:szCs w:val="18"/>
                <w:color w:val="auto"/>
                <w:w w:val="91"/>
              </w:rPr>
              <w:t>Common stock, no par value, 500,000,000 shares authorized; issued and outstanding: 21,327,796 shares at March 31,</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gridSpan w:val="5"/>
          </w:tcPr>
          <w:p>
            <w:pPr>
              <w:ind w:left="160"/>
              <w:spacing w:after="0"/>
              <w:rPr>
                <w:sz w:val="20"/>
                <w:szCs w:val="20"/>
                <w:color w:val="auto"/>
              </w:rPr>
            </w:pPr>
            <w:r>
              <w:rPr>
                <w:rFonts w:ascii="Arial" w:cs="Arial" w:eastAsia="Arial" w:hAnsi="Arial"/>
                <w:sz w:val="18"/>
                <w:szCs w:val="18"/>
                <w:color w:val="auto"/>
              </w:rPr>
              <w:t>2017 and 21,258,092 shares at December 31, 2016</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323,775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255,475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80" w:type="dxa"/>
            <w:vAlign w:val="bottom"/>
            <w:gridSpan w:val="2"/>
          </w:tcPr>
          <w:p>
            <w:pPr>
              <w:jc w:val="right"/>
              <w:ind w:right="1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2,596,482</w:t>
            </w:r>
          </w:p>
        </w:tc>
        <w:tc>
          <w:tcPr>
            <w:tcW w:w="140" w:type="dxa"/>
            <w:vAlign w:val="bottom"/>
          </w:tcPr>
          <w:p>
            <w:pPr>
              <w:spacing w:after="0"/>
              <w:rPr>
                <w:sz w:val="18"/>
                <w:szCs w:val="18"/>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2,548,950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70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380" w:type="dxa"/>
            <w:vAlign w:val="bottom"/>
            <w:gridSpan w:val="3"/>
          </w:tcPr>
          <w:p>
            <w:pPr>
              <w:jc w:val="right"/>
              <w:ind w:right="490"/>
              <w:spacing w:after="0"/>
              <w:rPr>
                <w:sz w:val="20"/>
                <w:szCs w:val="20"/>
                <w:color w:val="auto"/>
              </w:rPr>
            </w:pPr>
            <w:r>
              <w:rPr>
                <w:rFonts w:ascii="Arial" w:cs="Arial" w:eastAsia="Arial" w:hAnsi="Arial"/>
                <w:sz w:val="18"/>
                <w:szCs w:val="18"/>
                <w:color w:val="auto"/>
              </w:rPr>
              <w:t>INDEPENDENT BANK CORPORATION AND SUBSIDIARIES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380" w:type="dxa"/>
            <w:vAlign w:val="bottom"/>
            <w:gridSpan w:val="3"/>
          </w:tcPr>
          <w:p>
            <w:pPr>
              <w:jc w:val="right"/>
              <w:ind w:right="1070"/>
              <w:spacing w:after="0" w:line="190" w:lineRule="exact"/>
              <w:rPr>
                <w:sz w:val="20"/>
                <w:szCs w:val="20"/>
                <w:color w:val="auto"/>
              </w:rPr>
            </w:pPr>
            <w:r>
              <w:rPr>
                <w:rFonts w:ascii="Arial" w:cs="Arial" w:eastAsia="Arial" w:hAnsi="Arial"/>
                <w:sz w:val="18"/>
                <w:szCs w:val="18"/>
                <w:color w:val="auto"/>
              </w:rPr>
              <w:t>Condensed Consolidated Statements of Operations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2"/>
              </w:rPr>
              <w:t>(unaudited)</w:t>
            </w:r>
          </w:p>
        </w:tc>
        <w:tc>
          <w:tcPr>
            <w:tcW w:w="7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4"/>
          </w:tcPr>
          <w:p>
            <w:pPr>
              <w:jc w:val="center"/>
              <w:ind w:right="130"/>
              <w:spacing w:after="0" w:line="201" w:lineRule="exact"/>
              <w:rPr>
                <w:sz w:val="20"/>
                <w:szCs w:val="20"/>
                <w:color w:val="auto"/>
              </w:rPr>
            </w:pPr>
            <w:r>
              <w:rPr>
                <w:rFonts w:ascii="Arial" w:cs="Arial" w:eastAsia="Arial" w:hAnsi="Arial"/>
                <w:sz w:val="18"/>
                <w:szCs w:val="18"/>
                <w:color w:val="auto"/>
                <w:w w:val="88"/>
              </w:rPr>
              <w:t>(In thousands, except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5"/>
            <w:vMerge w:val="restart"/>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8"/>
                <w:szCs w:val="18"/>
                <w:color w:val="auto"/>
                <w:w w:val="87"/>
              </w:rPr>
              <w:t>per share amounts)</w:t>
            </w:r>
          </w:p>
        </w:tc>
        <w:tc>
          <w:tcPr>
            <w:tcW w:w="0" w:type="dxa"/>
            <w:vAlign w:val="bottom"/>
          </w:tcPr>
          <w:p>
            <w:pPr>
              <w:spacing w:after="0"/>
              <w:rPr>
                <w:sz w:val="1"/>
                <w:szCs w:val="1"/>
                <w:color w:val="auto"/>
              </w:rPr>
            </w:pPr>
          </w:p>
        </w:tc>
      </w:tr>
      <w:tr>
        <w:trPr>
          <w:trHeight w:val="216"/>
        </w:trPr>
        <w:tc>
          <w:tcPr>
            <w:tcW w:w="8700" w:type="dxa"/>
            <w:vAlign w:val="bottom"/>
            <w:gridSpan w:val="5"/>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Interest and fees on loans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Interest on securities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Taxable</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80" w:type="dxa"/>
            <w:vAlign w:val="bottom"/>
            <w:gridSpan w:val="3"/>
          </w:tcPr>
          <w:p>
            <w:pPr>
              <w:ind w:left="20"/>
              <w:spacing w:after="0"/>
              <w:rPr>
                <w:sz w:val="20"/>
                <w:szCs w:val="20"/>
                <w:color w:val="auto"/>
              </w:rPr>
            </w:pPr>
            <w:r>
              <w:rPr>
                <w:rFonts w:ascii="Arial" w:cs="Arial" w:eastAsia="Arial" w:hAnsi="Arial"/>
                <w:sz w:val="18"/>
                <w:szCs w:val="18"/>
                <w:color w:val="auto"/>
              </w:rPr>
              <w:t>Tax-exempt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820" w:type="dxa"/>
            <w:vAlign w:val="bottom"/>
            <w:gridSpan w:val="2"/>
          </w:tcPr>
          <w:p>
            <w:pPr>
              <w:jc w:val="right"/>
              <w:ind w:right="190"/>
              <w:spacing w:after="0"/>
              <w:rPr>
                <w:sz w:val="20"/>
                <w:szCs w:val="20"/>
                <w:color w:val="auto"/>
              </w:rPr>
            </w:pPr>
            <w:r>
              <w:rPr>
                <w:rFonts w:ascii="Arial" w:cs="Arial" w:eastAsia="Arial" w:hAnsi="Arial"/>
                <w:sz w:val="18"/>
                <w:szCs w:val="18"/>
                <w:color w:val="auto"/>
              </w:rPr>
              <w:t>Total Interest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23,379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borrowings and subordinated debentures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820" w:type="dxa"/>
            <w:vAlign w:val="bottom"/>
            <w:gridSpan w:val="2"/>
          </w:tcPr>
          <w:p>
            <w:pPr>
              <w:jc w:val="right"/>
              <w:ind w:right="190"/>
              <w:spacing w:after="0"/>
              <w:rPr>
                <w:sz w:val="20"/>
                <w:szCs w:val="20"/>
                <w:color w:val="auto"/>
              </w:rPr>
            </w:pPr>
            <w:r>
              <w:rPr>
                <w:rFonts w:ascii="Arial" w:cs="Arial" w:eastAsia="Arial" w:hAnsi="Arial"/>
                <w:sz w:val="18"/>
                <w:szCs w:val="18"/>
                <w:color w:val="auto"/>
              </w:rPr>
              <w:t>Total Interest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21,466</w:t>
            </w: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3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Net Interest Income After Provision for Loan Losses</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21,825</w:t>
            </w:r>
          </w:p>
        </w:tc>
        <w:tc>
          <w:tcPr>
            <w:tcW w:w="18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20,293</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Interchange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gains on assets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80" w:type="dxa"/>
            <w:vAlign w:val="bottom"/>
            <w:gridSpan w:val="3"/>
          </w:tcPr>
          <w:p>
            <w:pPr>
              <w:ind w:left="20"/>
              <w:spacing w:after="0"/>
              <w:rPr>
                <w:sz w:val="20"/>
                <w:szCs w:val="20"/>
                <w:color w:val="auto"/>
              </w:rPr>
            </w:pPr>
            <w:r>
              <w:rPr>
                <w:rFonts w:ascii="Arial" w:cs="Arial" w:eastAsia="Arial" w:hAnsi="Arial"/>
                <w:sz w:val="18"/>
                <w:szCs w:val="18"/>
                <w:color w:val="auto"/>
              </w:rPr>
              <w:t>Mortgage loans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Mortgage loan servicing,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Title insurance fees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Total Non-interest Income</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10,339</w:t>
            </w:r>
          </w:p>
        </w:tc>
        <w:tc>
          <w:tcPr>
            <w:tcW w:w="18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Compensation and employee benefits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Occupancy,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Data processing</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Communications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Loan and collection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Legal and professional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FDIC deposit insurance</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Interchange expense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Credit card and bank service fees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6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Total Non-interest Expense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23,569</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22,045</w:t>
            </w:r>
          </w:p>
        </w:tc>
        <w:tc>
          <w:tcPr>
            <w:tcW w:w="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820" w:type="dxa"/>
            <w:vAlign w:val="bottom"/>
            <w:gridSpan w:val="2"/>
          </w:tcPr>
          <w:p>
            <w:pPr>
              <w:jc w:val="right"/>
              <w:ind w:right="190"/>
              <w:spacing w:after="0"/>
              <w:rPr>
                <w:sz w:val="20"/>
                <w:szCs w:val="20"/>
                <w:color w:val="auto"/>
              </w:rPr>
            </w:pPr>
            <w:r>
              <w:rPr>
                <w:rFonts w:ascii="Arial" w:cs="Arial" w:eastAsia="Arial" w:hAnsi="Arial"/>
                <w:sz w:val="18"/>
                <w:szCs w:val="18"/>
                <w:color w:val="auto"/>
              </w:rPr>
              <w:t>Income Before Income Tax</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8,595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w w:val="93"/>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5,974</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Dividends Per Common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Declared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Paid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7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40" w:type="dxa"/>
            <w:vAlign w:val="bottom"/>
            <w:gridSpan w:val="3"/>
          </w:tcPr>
          <w:p>
            <w:pPr>
              <w:jc w:val="right"/>
              <w:ind w:right="640"/>
              <w:spacing w:after="0"/>
              <w:rPr>
                <w:sz w:val="20"/>
                <w:szCs w:val="20"/>
                <w:color w:val="auto"/>
              </w:rPr>
            </w:pPr>
            <w:r>
              <w:rPr>
                <w:rFonts w:ascii="Arial" w:cs="Arial" w:eastAsia="Arial" w:hAnsi="Arial"/>
                <w:sz w:val="18"/>
                <w:szCs w:val="18"/>
                <w:color w:val="auto"/>
              </w:rPr>
              <w:t>INDEPENDENT BANK CORPORATION AND SUBSIDIARIES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340" w:type="dxa"/>
            <w:vAlign w:val="bottom"/>
            <w:gridSpan w:val="2"/>
          </w:tcPr>
          <w:p>
            <w:pPr>
              <w:jc w:val="right"/>
              <w:ind w:right="760"/>
              <w:spacing w:after="0" w:line="190" w:lineRule="exact"/>
              <w:rPr>
                <w:sz w:val="20"/>
                <w:szCs w:val="20"/>
                <w:color w:val="auto"/>
              </w:rPr>
            </w:pPr>
            <w:r>
              <w:rPr>
                <w:rFonts w:ascii="Arial" w:cs="Arial" w:eastAsia="Arial" w:hAnsi="Arial"/>
                <w:sz w:val="18"/>
                <w:szCs w:val="18"/>
                <w:color w:val="auto"/>
                <w:w w:val="88"/>
              </w:rPr>
              <w:t>Condensed Consolidated Statements of Comprehensive Income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5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rPr>
              <w:t>Other comprehensive income, before tax</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jc w:val="right"/>
              <w:ind w:right="6600"/>
              <w:spacing w:after="0"/>
              <w:rPr>
                <w:sz w:val="20"/>
                <w:szCs w:val="20"/>
                <w:color w:val="auto"/>
              </w:rPr>
            </w:pPr>
            <w:r>
              <w:rPr>
                <w:rFonts w:ascii="Arial" w:cs="Arial" w:eastAsia="Arial" w:hAnsi="Arial"/>
                <w:sz w:val="18"/>
                <w:szCs w:val="18"/>
                <w:color w:val="auto"/>
                <w:w w:val="96"/>
              </w:rPr>
              <w:t>Securities available for sale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40" w:type="dxa"/>
            <w:vAlign w:val="bottom"/>
            <w:gridSpan w:val="3"/>
          </w:tcPr>
          <w:p>
            <w:pPr>
              <w:ind w:left="20"/>
              <w:spacing w:after="0"/>
              <w:rPr>
                <w:sz w:val="20"/>
                <w:szCs w:val="20"/>
                <w:color w:val="auto"/>
              </w:rPr>
            </w:pPr>
            <w:r>
              <w:rPr>
                <w:rFonts w:ascii="Arial" w:cs="Arial" w:eastAsia="Arial" w:hAnsi="Arial"/>
                <w:sz w:val="18"/>
                <w:szCs w:val="18"/>
                <w:color w:val="auto"/>
              </w:rPr>
              <w:t>Unrealized gains arising during period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1"/>
              </w:rPr>
              <w:t>Change in unrealized gains for which a portion of other than temporary impairment has been recognized in earnings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40" w:type="dxa"/>
            <w:vAlign w:val="bottom"/>
            <w:gridSpan w:val="3"/>
          </w:tcPr>
          <w:p>
            <w:pPr>
              <w:ind w:left="20"/>
              <w:spacing w:after="0"/>
              <w:rPr>
                <w:sz w:val="20"/>
                <w:szCs w:val="20"/>
                <w:color w:val="auto"/>
              </w:rPr>
            </w:pPr>
            <w:r>
              <w:rPr>
                <w:rFonts w:ascii="Arial" w:cs="Arial" w:eastAsia="Arial" w:hAnsi="Arial"/>
                <w:sz w:val="18"/>
                <w:szCs w:val="18"/>
                <w:color w:val="auto"/>
              </w:rPr>
              <w:t>Reclassification adjustments for gains included in earnings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Unrealized gains recognized in other comprehensive</w:t>
            </w: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5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income on securities available for sale</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40" w:type="dxa"/>
            <w:vAlign w:val="bottom"/>
            <w:gridSpan w:val="3"/>
          </w:tcPr>
          <w:p>
            <w:pPr>
              <w:jc w:val="right"/>
              <w:ind w:right="6840"/>
              <w:spacing w:after="0"/>
              <w:rPr>
                <w:sz w:val="20"/>
                <w:szCs w:val="20"/>
                <w:color w:val="auto"/>
              </w:rPr>
            </w:pPr>
            <w:r>
              <w:rPr>
                <w:rFonts w:ascii="Arial" w:cs="Arial" w:eastAsia="Arial" w:hAnsi="Arial"/>
                <w:sz w:val="18"/>
                <w:szCs w:val="18"/>
                <w:color w:val="auto"/>
                <w:w w:val="98"/>
              </w:rPr>
              <w:t>Income tax expense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Unrealized gains recognized in other comprehensive</w:t>
            </w: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income on available for sale securities, net of tax</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340" w:type="dxa"/>
            <w:vAlign w:val="bottom"/>
            <w:gridSpan w:val="2"/>
          </w:tcPr>
          <w:p>
            <w:pPr>
              <w:jc w:val="right"/>
              <w:ind w:right="60"/>
              <w:spacing w:after="0"/>
              <w:rPr>
                <w:sz w:val="20"/>
                <w:szCs w:val="20"/>
                <w:color w:val="auto"/>
              </w:rPr>
            </w:pPr>
            <w:r>
              <w:rPr>
                <w:rFonts w:ascii="Arial" w:cs="Arial" w:eastAsia="Arial" w:hAnsi="Arial"/>
                <w:sz w:val="18"/>
                <w:szCs w:val="18"/>
                <w:color w:val="auto"/>
              </w:rPr>
              <w:t>Other comprehensive income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Comprehensive income</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48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160" w:type="dxa"/>
            <w:vAlign w:val="bottom"/>
            <w:gridSpan w:val="3"/>
          </w:tcPr>
          <w:p>
            <w:pPr>
              <w:jc w:val="right"/>
              <w:ind w:right="360"/>
              <w:spacing w:after="0"/>
              <w:rPr>
                <w:sz w:val="20"/>
                <w:szCs w:val="20"/>
                <w:color w:val="auto"/>
              </w:rPr>
            </w:pPr>
            <w:r>
              <w:rPr>
                <w:rFonts w:ascii="Arial" w:cs="Arial" w:eastAsia="Arial" w:hAnsi="Arial"/>
                <w:sz w:val="18"/>
                <w:szCs w:val="18"/>
                <w:color w:val="auto"/>
              </w:rPr>
              <w:t>INDEPENDENT BANK CORPORATION AND SUBSIDIARIES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160" w:type="dxa"/>
            <w:vAlign w:val="bottom"/>
            <w:gridSpan w:val="3"/>
          </w:tcPr>
          <w:p>
            <w:pPr>
              <w:jc w:val="right"/>
              <w:ind w:right="900"/>
              <w:spacing w:after="0" w:line="190" w:lineRule="exact"/>
              <w:rPr>
                <w:sz w:val="20"/>
                <w:szCs w:val="20"/>
                <w:color w:val="auto"/>
              </w:rPr>
            </w:pPr>
            <w:r>
              <w:rPr>
                <w:rFonts w:ascii="Arial" w:cs="Arial" w:eastAsia="Arial" w:hAnsi="Arial"/>
                <w:sz w:val="18"/>
                <w:szCs w:val="18"/>
                <w:color w:val="auto"/>
              </w:rPr>
              <w:t>Condensed Consolidated Statements of Cash Flows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8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6"/>
          </w:tcPr>
          <w:p>
            <w:pPr>
              <w:jc w:val="center"/>
              <w:ind w:right="320"/>
              <w:spacing w:after="0"/>
              <w:rPr>
                <w:sz w:val="20"/>
                <w:szCs w:val="20"/>
                <w:color w:val="auto"/>
              </w:rPr>
            </w:pPr>
            <w:r>
              <w:rPr>
                <w:rFonts w:ascii="Arial" w:cs="Arial" w:eastAsia="Arial" w:hAnsi="Arial"/>
                <w:sz w:val="18"/>
                <w:szCs w:val="18"/>
                <w:color w:val="auto"/>
                <w:w w:val="89"/>
              </w:rPr>
              <w:t>Three months ended March 31,</w:t>
            </w: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2"/>
              </w:rPr>
              <w:t>- In</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4,100</w:t>
            </w:r>
          </w:p>
        </w:tc>
      </w:tr>
      <w:tr>
        <w:trPr>
          <w:trHeight w:val="216"/>
        </w:trPr>
        <w:tc>
          <w:tcPr>
            <w:tcW w:w="20" w:type="dxa"/>
            <w:vAlign w:val="bottom"/>
          </w:tcPr>
          <w:p>
            <w:pPr>
              <w:spacing w:after="0"/>
              <w:rPr>
                <w:sz w:val="18"/>
                <w:szCs w:val="18"/>
                <w:color w:val="auto"/>
              </w:rPr>
            </w:pPr>
          </w:p>
        </w:tc>
        <w:tc>
          <w:tcPr>
            <w:tcW w:w="846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sales of loans held for sale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57,181</w:t>
            </w: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Disbursements for loans held for sale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(80,777)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(55,689)</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increase in other liabilities held for sale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Provision for loan losses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Deferred income tax expense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2,468</w:t>
            </w: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Deferred loan fees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02"/>
        </w:trPr>
        <w:tc>
          <w:tcPr>
            <w:tcW w:w="20" w:type="dxa"/>
            <w:vAlign w:val="bottom"/>
          </w:tcPr>
          <w:p>
            <w:pPr>
              <w:spacing w:after="0"/>
              <w:rPr>
                <w:sz w:val="17"/>
                <w:szCs w:val="17"/>
                <w:color w:val="auto"/>
              </w:rPr>
            </w:pPr>
          </w:p>
        </w:tc>
        <w:tc>
          <w:tcPr>
            <w:tcW w:w="846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Net depreciation, amortization of intangible assets and premiums and accretion of discounts on securities, loans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160" w:type="dxa"/>
            <w:vAlign w:val="bottom"/>
            <w:gridSpan w:val="3"/>
            <w:shd w:val="clear" w:color="auto" w:fill="CCEEFF"/>
          </w:tcPr>
          <w:p>
            <w:pPr>
              <w:jc w:val="right"/>
              <w:ind w:right="5620"/>
              <w:spacing w:after="0"/>
              <w:rPr>
                <w:sz w:val="20"/>
                <w:szCs w:val="20"/>
                <w:color w:val="auto"/>
              </w:rPr>
            </w:pPr>
            <w:r>
              <w:rPr>
                <w:rFonts w:ascii="Arial" w:cs="Arial" w:eastAsia="Arial" w:hAnsi="Arial"/>
                <w:sz w:val="18"/>
                <w:szCs w:val="18"/>
                <w:color w:val="auto"/>
                <w:w w:val="89"/>
              </w:rPr>
              <w:t>and interest bearing deposits - time</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1,306</w:t>
            </w: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Net gains on mortgage loans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gains on securities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Share based compensation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410</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Increase in accrued income and other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r>
      <w:tr>
        <w:trPr>
          <w:trHeight w:val="223"/>
        </w:trPr>
        <w:tc>
          <w:tcPr>
            <w:tcW w:w="20" w:type="dxa"/>
            <w:vAlign w:val="bottom"/>
          </w:tcPr>
          <w:p>
            <w:pPr>
              <w:spacing w:after="0"/>
              <w:rPr>
                <w:sz w:val="19"/>
                <w:szCs w:val="19"/>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Decrease in accrued expenses and other liabilities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(3,218)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Total Adjustments</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620" w:type="dxa"/>
            <w:vAlign w:val="bottom"/>
            <w:gridSpan w:val="2"/>
          </w:tcPr>
          <w:p>
            <w:pPr>
              <w:jc w:val="right"/>
              <w:ind w:right="80"/>
              <w:spacing w:after="0"/>
              <w:rPr>
                <w:sz w:val="20"/>
                <w:szCs w:val="20"/>
                <w:color w:val="auto"/>
              </w:rPr>
            </w:pPr>
            <w:r>
              <w:rPr>
                <w:rFonts w:ascii="Arial" w:cs="Arial" w:eastAsia="Arial" w:hAnsi="Arial"/>
                <w:sz w:val="18"/>
                <w:szCs w:val="18"/>
                <w:color w:val="auto"/>
              </w:rPr>
              <w:t>Net Cash From Operating Activities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5,483</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Flow From (Used in) Investing Activities</w:t>
            </w: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Proceeds from the sale of securities available for sale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42,391</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maturity of securities available for sale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13,385</w:t>
            </w: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Principal payments received on securities available for sale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37,246</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Purchases of securities available for sale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(45,673)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(74,259)</w:t>
            </w: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Proceeds from the maturity of interest bearing deposits - time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1,678</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Purchase of Federal Reserve Bank stock</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(61,003)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(23,280)</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increase in payment plan receivables and other assets held for sale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Proceeds from bank-owned life insurance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collection of vehicle service contract counterparty receivables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4,217</w:t>
            </w: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1,357</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620" w:type="dxa"/>
            <w:vAlign w:val="bottom"/>
            <w:gridSpan w:val="2"/>
          </w:tcPr>
          <w:p>
            <w:pPr>
              <w:jc w:val="right"/>
              <w:ind w:right="80"/>
              <w:spacing w:after="0"/>
              <w:rPr>
                <w:sz w:val="20"/>
                <w:szCs w:val="20"/>
                <w:color w:val="auto"/>
              </w:rPr>
            </w:pPr>
            <w:r>
              <w:rPr>
                <w:rFonts w:ascii="Arial" w:cs="Arial" w:eastAsia="Arial" w:hAnsi="Arial"/>
                <w:sz w:val="18"/>
                <w:szCs w:val="18"/>
                <w:color w:val="auto"/>
              </w:rPr>
              <w:t>Net Cash From (Used in) Investing Activities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(51,364)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1,995</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Net increase in total deposits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68,743</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decrease in other borrowings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Repurchase of common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(15,510)</w:t>
            </w:r>
          </w:p>
        </w:tc>
      </w:tr>
      <w:tr>
        <w:trPr>
          <w:trHeight w:val="223"/>
        </w:trPr>
        <w:tc>
          <w:tcPr>
            <w:tcW w:w="20" w:type="dxa"/>
            <w:vAlign w:val="bottom"/>
          </w:tcPr>
          <w:p>
            <w:pPr>
              <w:spacing w:after="0"/>
              <w:rPr>
                <w:sz w:val="19"/>
                <w:szCs w:val="19"/>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3540" w:type="dxa"/>
            <w:vAlign w:val="bottom"/>
            <w:tcBorders>
              <w:top w:val="single" w:sz="8" w:color="CCEEFF"/>
            </w:tcBorders>
          </w:tcPr>
          <w:p>
            <w:pPr>
              <w:spacing w:after="0"/>
              <w:rPr>
                <w:sz w:val="19"/>
                <w:szCs w:val="19"/>
                <w:color w:val="auto"/>
              </w:rPr>
            </w:pPr>
          </w:p>
        </w:tc>
        <w:tc>
          <w:tcPr>
            <w:tcW w:w="462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Net Cash From Financing Activities</w:t>
            </w: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34,805</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51,448</w:t>
            </w:r>
          </w:p>
        </w:tc>
        <w:tc>
          <w:tcPr>
            <w:tcW w:w="160" w:type="dxa"/>
            <w:vAlign w:val="bottom"/>
            <w:tcBorders>
              <w:top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58,926</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60" w:type="dxa"/>
            <w:vAlign w:val="bottom"/>
            <w:gridSpan w:val="4"/>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83,194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85,783</w:t>
            </w:r>
          </w:p>
        </w:tc>
      </w:tr>
      <w:tr>
        <w:trPr>
          <w:trHeight w:val="257"/>
        </w:trPr>
        <w:tc>
          <w:tcPr>
            <w:tcW w:w="20" w:type="dxa"/>
            <w:vAlign w:val="bottom"/>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540" w:type="dxa"/>
            <w:vAlign w:val="bottom"/>
            <w:shd w:val="clear" w:color="auto" w:fill="CCEEFF"/>
          </w:tcPr>
          <w:p>
            <w:pPr>
              <w:spacing w:after="0"/>
              <w:rPr>
                <w:sz w:val="22"/>
                <w:szCs w:val="22"/>
                <w:color w:val="auto"/>
              </w:rPr>
            </w:pPr>
          </w:p>
        </w:tc>
        <w:tc>
          <w:tcPr>
            <w:tcW w:w="4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69,823</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144,709</w:t>
            </w:r>
          </w:p>
        </w:tc>
        <w:tc>
          <w:tcPr>
            <w:tcW w:w="160" w:type="dxa"/>
            <w:vAlign w:val="bottom"/>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Cash paid during the period for</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1,495</w:t>
            </w:r>
          </w:p>
        </w:tc>
      </w:tr>
      <w:tr>
        <w:trPr>
          <w:trHeight w:val="216"/>
        </w:trPr>
        <w:tc>
          <w:tcPr>
            <w:tcW w:w="20" w:type="dxa"/>
            <w:vAlign w:val="bottom"/>
          </w:tcPr>
          <w:p>
            <w:pPr>
              <w:spacing w:after="0"/>
              <w:rPr>
                <w:sz w:val="18"/>
                <w:szCs w:val="18"/>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w:t>
            </w:r>
          </w:p>
        </w:tc>
      </w:tr>
      <w:tr>
        <w:trPr>
          <w:trHeight w:val="216"/>
        </w:trPr>
        <w:tc>
          <w:tcPr>
            <w:tcW w:w="20" w:type="dxa"/>
            <w:vAlign w:val="bottom"/>
          </w:tcPr>
          <w:p>
            <w:pPr>
              <w:spacing w:after="0"/>
              <w:rPr>
                <w:sz w:val="18"/>
                <w:szCs w:val="18"/>
                <w:color w:val="auto"/>
              </w:rPr>
            </w:pPr>
          </w:p>
        </w:tc>
        <w:tc>
          <w:tcPr>
            <w:tcW w:w="8460" w:type="dxa"/>
            <w:vAlign w:val="bottom"/>
            <w:gridSpan w:val="4"/>
          </w:tcPr>
          <w:p>
            <w:pPr>
              <w:spacing w:after="0"/>
              <w:rPr>
                <w:sz w:val="20"/>
                <w:szCs w:val="20"/>
                <w:color w:val="auto"/>
              </w:rPr>
            </w:pPr>
            <w:r>
              <w:rPr>
                <w:rFonts w:ascii="Arial" w:cs="Arial" w:eastAsia="Arial" w:hAnsi="Arial"/>
                <w:sz w:val="18"/>
                <w:szCs w:val="18"/>
                <w:color w:val="auto"/>
              </w:rPr>
              <w:t>Transfer of payment plan receivables to vehicle service contract counterparty receivables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21,329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74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20" w:type="dxa"/>
            <w:vAlign w:val="bottom"/>
            <w:gridSpan w:val="3"/>
          </w:tcPr>
          <w:p>
            <w:pPr>
              <w:jc w:val="center"/>
              <w:ind w:left="2270"/>
              <w:spacing w:after="0"/>
              <w:rPr>
                <w:sz w:val="20"/>
                <w:szCs w:val="20"/>
                <w:color w:val="auto"/>
              </w:rPr>
            </w:pPr>
            <w:r>
              <w:rPr>
                <w:rFonts w:ascii="Arial" w:cs="Arial" w:eastAsia="Arial" w:hAnsi="Arial"/>
                <w:sz w:val="18"/>
                <w:szCs w:val="18"/>
                <w:color w:val="auto"/>
                <w:w w:val="97"/>
              </w:rPr>
              <w:t>INDEPENDENT BANK CORPORATION AND SUBSIDIARIES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200" w:type="dxa"/>
            <w:vAlign w:val="bottom"/>
            <w:gridSpan w:val="2"/>
          </w:tcPr>
          <w:p>
            <w:pPr>
              <w:jc w:val="center"/>
              <w:ind w:right="840"/>
              <w:spacing w:after="0" w:line="190" w:lineRule="exact"/>
              <w:rPr>
                <w:sz w:val="20"/>
                <w:szCs w:val="20"/>
                <w:color w:val="auto"/>
              </w:rPr>
            </w:pPr>
            <w:r>
              <w:rPr>
                <w:rFonts w:ascii="Arial" w:cs="Arial" w:eastAsia="Arial" w:hAnsi="Arial"/>
                <w:sz w:val="18"/>
                <w:szCs w:val="18"/>
                <w:color w:val="auto"/>
                <w:w w:val="89"/>
              </w:rPr>
              <w:t>Condensed Consolidated Statements of Shareholders' Equity</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420"/>
              <w:spacing w:after="0"/>
              <w:rPr>
                <w:sz w:val="20"/>
                <w:szCs w:val="20"/>
                <w:color w:val="auto"/>
              </w:rPr>
            </w:pPr>
            <w:r>
              <w:rPr>
                <w:rFonts w:ascii="Arial" w:cs="Arial" w:eastAsia="Arial" w:hAnsi="Arial"/>
                <w:sz w:val="18"/>
                <w:szCs w:val="18"/>
                <w:color w:val="auto"/>
                <w:w w:val="87"/>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color w:val="auto"/>
                <w:w w:val="90"/>
              </w:rPr>
              <w:t>(unaudited)</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150"/>
              <w:spacing w:after="0"/>
              <w:rPr>
                <w:sz w:val="20"/>
                <w:szCs w:val="20"/>
                <w:color w:val="auto"/>
              </w:rPr>
            </w:pPr>
            <w:r>
              <w:rPr>
                <w:rFonts w:ascii="Arial" w:cs="Arial" w:eastAsia="Arial" w:hAnsi="Arial"/>
                <w:sz w:val="18"/>
                <w:szCs w:val="18"/>
                <w:color w:val="auto"/>
                <w:w w:val="88"/>
              </w:rPr>
              <w:t>(In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4"/>
          </w:tcPr>
          <w:p>
            <w:pPr>
              <w:ind w:left="160"/>
              <w:spacing w:after="0"/>
              <w:rPr>
                <w:sz w:val="20"/>
                <w:szCs w:val="20"/>
                <w:color w:val="auto"/>
              </w:rPr>
            </w:pPr>
            <w:r>
              <w:rPr>
                <w:rFonts w:ascii="Arial" w:cs="Arial" w:eastAsia="Arial" w:hAnsi="Arial"/>
                <w:sz w:val="18"/>
                <w:szCs w:val="18"/>
                <w:color w:val="auto"/>
              </w:rPr>
              <w:t>Cumulative effect of change in accounting</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251,092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4"/>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Cash dividends declared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4"/>
          </w:tcPr>
          <w:p>
            <w:pPr>
              <w:ind w:left="160"/>
              <w:spacing w:after="0"/>
              <w:rPr>
                <w:sz w:val="20"/>
                <w:szCs w:val="20"/>
                <w:color w:val="auto"/>
              </w:rPr>
            </w:pPr>
            <w:r>
              <w:rPr>
                <w:rFonts w:ascii="Arial" w:cs="Arial" w:eastAsia="Arial" w:hAnsi="Arial"/>
                <w:sz w:val="18"/>
                <w:szCs w:val="18"/>
                <w:color w:val="auto"/>
              </w:rPr>
              <w:t>Issuance of common stock</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4"/>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4"/>
          </w:tcPr>
          <w:p>
            <w:pPr>
              <w:ind w:left="160"/>
              <w:spacing w:after="0"/>
              <w:rPr>
                <w:sz w:val="20"/>
                <w:szCs w:val="20"/>
                <w:color w:val="auto"/>
              </w:rPr>
            </w:pPr>
            <w:r>
              <w:rPr>
                <w:rFonts w:ascii="Arial" w:cs="Arial" w:eastAsia="Arial" w:hAnsi="Arial"/>
                <w:sz w:val="18"/>
                <w:szCs w:val="18"/>
                <w:color w:val="auto"/>
              </w:rPr>
              <w:t>Net change in accumulated other comprehensive loss, net of related tax effect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255,475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239,545</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2016 included in our Annual Report on Form 10-K.</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opinion, the accompanying unaudited condensed consolidated financial statements contain all the adjustments necessary to present fairly our consolidated financial condition as of March 31, 2017 and December 31, 2016, and the results of operations for the three month periods ended March 31, 2017 and 2016. The results of operations for the three month period ended March 31, 2017, is not necessarily indicative of the results to be expected for the full year. Certain reclassifications have been made in the prior period financial statements to conform to the current period presentation. Our critical accounting policies include the determination of the allowance for loan losses, the valuation of originated mortgage loan servicing rights and the valuation of deferred tax assets. Refer to our 2016 Annual Report on Form 10-K for a disclosure of our accounting policies.</w:t>
      </w:r>
    </w:p>
    <w:p>
      <w:pPr>
        <w:spacing w:after="0" w:line="20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(Topic 606)</w:t>
      </w:r>
      <w:r>
        <w:rPr>
          <w:rFonts w:ascii="Arial" w:cs="Arial" w:eastAsia="Arial" w:hAnsi="Arial"/>
          <w:sz w:val="17"/>
          <w:szCs w:val="17"/>
          <w:i w:val="1"/>
          <w:iCs w:val="1"/>
          <w:color w:val="auto"/>
        </w:rPr>
        <w:t>”.</w:t>
      </w:r>
      <w:r>
        <w:rPr>
          <w:rFonts w:ascii="Arial" w:cs="Arial" w:eastAsia="Arial" w:hAnsi="Arial"/>
          <w:sz w:val="17"/>
          <w:szCs w:val="17"/>
          <w:color w:val="auto"/>
        </w:rPr>
        <w:t xml:space="preserve"> This ASU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ASU specifies the accounting for some costs to obtain or fulfill a contract with a customer. This amended guidance is effective for us on January 1, 2018, and is not expected to have a material impact on our consolidated operating results or financial condition. Financial instruments for the most part and related contractual rights and obligations which are the sources of the majority of our operating revenue are excluded from the scope of this amended guidance. In addition, for those operating revenue streams that are included in the scope of this amended guidance, based upon our review of these sources of income we do not believe they will be materially impacted by this amended guidance.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2016, the FASB issued ASU 2016-01, “Financial Instruments – Overall (Subtopic 825-10) – Recognition and Measurement of Financial Assets and Financial Liabilities”. This ASU amends existing guidance related to the accounting for certain financial assets and liabilities. These amendments, among other things,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This amended guidance is effective for us on January 1, 2018. We have reviewed the types of financial instruments impacted by this amended guidance, including certain equity investments and liabilities measured under the fair value election, and have determined that we do not currently own any such instruments. The balance of this amended guidance is expected to impact certain disclosure items but is not expected to have any impact on our consolidated operating results or financial condition</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ASU 2016-02, “Leases (Topic 842)”. This ASU amends existing guidance related to the accounting for leases. These amendments, among other things, requires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is effective for us on January 1, 2019 and is not expected to have a material impact on our consolidated operating results or financial condition. Based on a review of our operating leases that we currently have in place we do not expect a material change in the recognition, measurement and presentation of lease expense or impact on cash flow. While the primary impact will be the recognition of certain operating leases on our Condensed Consolidated Statements of Financial Condition this impact is not expected to be material.</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 will replace today’s “incurred loss” approach with an “expected loss” model for instruments measured at amortized cost. For securities available for sale, allowances will be recorded rather than reducing the carrying amount as is done under the current other-than-temporary impairment model. This ASU also simplifies the accounting model for purchased credit-impaired debt securities and loans. This amended guidance is effective for us on January 1, 2020. We began evaluating this ASU in 2016 and have formed a committee that includes personnel from various areas of the Bank that meets regularly to discuss the implementation of the ASU. We are in the process of gathering data and reviewing loss methodologies as well as reviewing certain software applications that would assist us in the implementation of this ASU. While we have not yet determined what the impact will be on our consolidated operating results or financial condition by the nature of the implementation of an expected loss model compared to an incurred loss approach, we would expect our AFLL to increase under this ASU.</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2017, the FASB issued ASU 2017-08, “Receivables-Nonrefundable Fees and Other Costs (Subtopic 310-20) Premium Amortization on Purchased Callable Debt Securities” (“ASU 2017-08”). This ASU shortens the amortization period for certain callable debt securities held at a premium. Specifically, the amendments require the premium to be amortized to the earliest call date. The amendments do not require an accounting change for securities held at a discount; the discount continues to be amortized to maturity. This amended guidance is effective for us on January 1, 2019, with early adoption permitted. We adopted this amended guidance during the first quarter of 2017 using a modified retrospective approach. The impact of this adoption was to adjust our January 1, 2017 Condensed Consolidated Statement of Financial Position to reflect cumulative effect adjustments as summarized in the table below. The adjustments below reflect the recording of $0.46 million ($0.30 million, net of tax) of additional premium amortization on securities available for sale and a $0.30 million decrease in accumulated other comprehensive loss to reflect the decrease in after tax unrealized losses on securities available for sale as of January 1, 2017 as a result of adopting this amended guidance. After January 1, 2017, premium amortization on certain callable debt securities is now amortized to the first call date. During the first quarter of 2017 the impact on the Condensed Consolidated Statements of Operations was an increase to premium amortization of $0.03 million.</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2017, we adopted the fair value method of accounting for our capitalized mortgage loan servicing rights pursuant to FASB Accounting Standards Codification topic 860 – “Transfers and Servicing”. Prior to January 1, 2017, we were accounting for our capitalized mortgage loan servicing rights under the amortization method. We adopted the fair value method using a modified retrospective adjustment to beginning accumulated deficit. The impact of the adoption of the fair value method is summarized in the table below. The adjustments below reflect the recording of a $0.54 million increase in the fair value of our capitalized mortgage loan servicing rights with a $0.19 million reduction in deferred tax assets, net for a net impact on accumulated deficit and total equity of $0.35 million.</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January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93"/>
              </w:rPr>
              <w:t>Cumulative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January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Originally</w:t>
            </w:r>
          </w:p>
        </w:tc>
        <w:tc>
          <w:tcPr>
            <w:tcW w:w="1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Retrospective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Presented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Adjustments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Adjusted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Arial" w:cs="Arial" w:eastAsia="Arial" w:hAnsi="Arial"/>
                <w:sz w:val="18"/>
                <w:szCs w:val="18"/>
                <w:color w:val="auto"/>
                <w:w w:val="91"/>
              </w:rPr>
              <w:t>(Dollars 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520" w:type="dxa"/>
            <w:vAlign w:val="bottom"/>
            <w:gridSpan w:val="2"/>
          </w:tcPr>
          <w:p>
            <w:pPr>
              <w:spacing w:after="0"/>
              <w:rPr>
                <w:sz w:val="17"/>
                <w:szCs w:val="17"/>
                <w:color w:val="auto"/>
              </w:rPr>
            </w:pPr>
          </w:p>
        </w:tc>
        <w:tc>
          <w:tcPr>
            <w:tcW w:w="22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32,818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(190) (1)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Capitalized mortgage loan servicing rights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13,671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542</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14,213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2,548,950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2,549,302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(65,657)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(9,108)</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249,332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2,548,950</w:t>
            </w:r>
          </w:p>
        </w:tc>
        <w:tc>
          <w:tcPr>
            <w:tcW w:w="12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c>
          <w:tcPr>
            <w:tcW w:w="4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2,549,302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adjustment to capitalized mortgage loan servicing rights, deferred tax assets, net, and accumulated deficit to reflect the adoption of the fair value method of accounting for our capitalized mortgage loan servicing rights.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adjustment to accumulated deficit and accumulated other comprehensive loss to reflect the adoption of ASU 2017-08.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spacing w:after="0"/>
              <w:rPr>
                <w:sz w:val="20"/>
                <w:szCs w:val="20"/>
                <w:color w:val="auto"/>
              </w:rPr>
            </w:pPr>
            <w:r>
              <w:rPr>
                <w:rFonts w:ascii="Arial" w:cs="Arial" w:eastAsia="Arial" w:hAnsi="Arial"/>
                <w:sz w:val="18"/>
                <w:szCs w:val="18"/>
                <w:color w:val="auto"/>
              </w:rPr>
              <w:t>3.  Securities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80" w:type="dxa"/>
            <w:vAlign w:val="bottom"/>
            <w:gridSpan w:val="3"/>
          </w:tcPr>
          <w:p>
            <w:pPr>
              <w:spacing w:after="0"/>
              <w:rPr>
                <w:sz w:val="20"/>
                <w:szCs w:val="20"/>
                <w:color w:val="auto"/>
              </w:rPr>
            </w:pPr>
            <w:r>
              <w:rPr>
                <w:rFonts w:ascii="Arial" w:cs="Arial" w:eastAsia="Arial" w:hAnsi="Arial"/>
                <w:sz w:val="18"/>
                <w:szCs w:val="18"/>
                <w:color w:val="auto"/>
              </w:rPr>
              <w:t>Securities available for sale consist of the following:</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Gains</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March 31, 2017</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28,636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28,784</w:t>
            </w:r>
          </w:p>
        </w:tc>
        <w:tc>
          <w:tcPr>
            <w:tcW w:w="0" w:type="dxa"/>
            <w:vAlign w:val="bottom"/>
          </w:tcPr>
          <w:p>
            <w:pPr>
              <w:spacing w:after="0"/>
              <w:rPr>
                <w:sz w:val="1"/>
                <w:szCs w:val="1"/>
                <w:color w:val="auto"/>
              </w:rPr>
            </w:pPr>
          </w:p>
        </w:tc>
      </w:tr>
      <w:tr>
        <w:trPr>
          <w:trHeight w:val="216"/>
        </w:trPr>
        <w:tc>
          <w:tcPr>
            <w:tcW w:w="6080" w:type="dxa"/>
            <w:vAlign w:val="bottom"/>
            <w:gridSpan w:val="3"/>
          </w:tcPr>
          <w:p>
            <w:pPr>
              <w:ind w:left="180"/>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147,432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1,165</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147,874</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16"/>
        </w:trPr>
        <w:tc>
          <w:tcPr>
            <w:tcW w:w="6080" w:type="dxa"/>
            <w:vAlign w:val="bottom"/>
            <w:gridSpan w:val="3"/>
          </w:tcPr>
          <w:p>
            <w:pPr>
              <w:ind w:left="18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28,840</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346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145,795</w:t>
            </w:r>
          </w:p>
        </w:tc>
        <w:tc>
          <w:tcPr>
            <w:tcW w:w="0" w:type="dxa"/>
            <w:vAlign w:val="bottom"/>
          </w:tcPr>
          <w:p>
            <w:pPr>
              <w:spacing w:after="0"/>
              <w:rPr>
                <w:sz w:val="1"/>
                <w:szCs w:val="1"/>
                <w:color w:val="auto"/>
              </w:rPr>
            </w:pPr>
          </w:p>
        </w:tc>
      </w:tr>
      <w:tr>
        <w:trPr>
          <w:trHeight w:val="216"/>
        </w:trPr>
        <w:tc>
          <w:tcPr>
            <w:tcW w:w="6080" w:type="dxa"/>
            <w:vAlign w:val="bottom"/>
            <w:gridSpan w:val="3"/>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181,727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716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180,250</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380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60,967</w:t>
            </w:r>
          </w:p>
        </w:tc>
        <w:tc>
          <w:tcPr>
            <w:tcW w:w="0" w:type="dxa"/>
            <w:vAlign w:val="bottom"/>
          </w:tcPr>
          <w:p>
            <w:pPr>
              <w:spacing w:after="0"/>
              <w:rPr>
                <w:sz w:val="1"/>
                <w:szCs w:val="1"/>
                <w:color w:val="auto"/>
              </w:rPr>
            </w:pPr>
          </w:p>
        </w:tc>
      </w:tr>
      <w:tr>
        <w:trPr>
          <w:trHeight w:val="216"/>
        </w:trPr>
        <w:tc>
          <w:tcPr>
            <w:tcW w:w="6080" w:type="dxa"/>
            <w:vAlign w:val="bottom"/>
            <w:gridSpan w:val="3"/>
          </w:tcPr>
          <w:p>
            <w:pPr>
              <w:ind w:left="18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610,100</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3,088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4,224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608,964</w:t>
            </w:r>
          </w:p>
        </w:tc>
        <w:tc>
          <w:tcPr>
            <w:tcW w:w="0" w:type="dxa"/>
            <w:vAlign w:val="bottom"/>
          </w:tcPr>
          <w:p>
            <w:pPr>
              <w:spacing w:after="0"/>
              <w:rPr>
                <w:sz w:val="1"/>
                <w:szCs w:val="1"/>
                <w:color w:val="auto"/>
              </w:rPr>
            </w:pPr>
          </w:p>
        </w:tc>
      </w:tr>
      <w:tr>
        <w:trPr>
          <w:trHeight w:val="21"/>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December 31, 2016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28,909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28,988</w:t>
            </w:r>
          </w:p>
        </w:tc>
        <w:tc>
          <w:tcPr>
            <w:tcW w:w="0" w:type="dxa"/>
            <w:vAlign w:val="bottom"/>
          </w:tcPr>
          <w:p>
            <w:pPr>
              <w:spacing w:after="0"/>
              <w:rPr>
                <w:sz w:val="1"/>
                <w:szCs w:val="1"/>
                <w:color w:val="auto"/>
              </w:rPr>
            </w:pPr>
          </w:p>
        </w:tc>
      </w:tr>
      <w:tr>
        <w:trPr>
          <w:trHeight w:val="216"/>
        </w:trPr>
        <w:tc>
          <w:tcPr>
            <w:tcW w:w="6080" w:type="dxa"/>
            <w:vAlign w:val="bottom"/>
            <w:gridSpan w:val="3"/>
          </w:tcPr>
          <w:p>
            <w:pPr>
              <w:ind w:left="180"/>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156,053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1,173</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156,289</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12,632</w:t>
            </w:r>
          </w:p>
        </w:tc>
        <w:tc>
          <w:tcPr>
            <w:tcW w:w="0" w:type="dxa"/>
            <w:vAlign w:val="bottom"/>
          </w:tcPr>
          <w:p>
            <w:pPr>
              <w:spacing w:after="0"/>
              <w:rPr>
                <w:sz w:val="1"/>
                <w:szCs w:val="1"/>
                <w:color w:val="auto"/>
              </w:rPr>
            </w:pPr>
          </w:p>
        </w:tc>
      </w:tr>
      <w:tr>
        <w:trPr>
          <w:trHeight w:val="216"/>
        </w:trPr>
        <w:tc>
          <w:tcPr>
            <w:tcW w:w="6080" w:type="dxa"/>
            <w:vAlign w:val="bottom"/>
            <w:gridSpan w:val="3"/>
          </w:tcPr>
          <w:p>
            <w:pPr>
              <w:ind w:left="18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35,035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34,727</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146,709</w:t>
            </w:r>
          </w:p>
        </w:tc>
        <w:tc>
          <w:tcPr>
            <w:tcW w:w="0" w:type="dxa"/>
            <w:vAlign w:val="bottom"/>
          </w:tcPr>
          <w:p>
            <w:pPr>
              <w:spacing w:after="0"/>
              <w:rPr>
                <w:sz w:val="1"/>
                <w:szCs w:val="1"/>
                <w:color w:val="auto"/>
              </w:rPr>
            </w:pPr>
          </w:p>
        </w:tc>
      </w:tr>
      <w:tr>
        <w:trPr>
          <w:trHeight w:val="216"/>
        </w:trPr>
        <w:tc>
          <w:tcPr>
            <w:tcW w:w="6080" w:type="dxa"/>
            <w:vAlign w:val="bottom"/>
            <w:gridSpan w:val="3"/>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478</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170,899</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56,180</w:t>
            </w:r>
          </w:p>
        </w:tc>
        <w:tc>
          <w:tcPr>
            <w:tcW w:w="0" w:type="dxa"/>
            <w:vAlign w:val="bottom"/>
          </w:tcPr>
          <w:p>
            <w:pPr>
              <w:spacing w:after="0"/>
              <w:rPr>
                <w:sz w:val="1"/>
                <w:szCs w:val="1"/>
                <w:color w:val="auto"/>
              </w:rPr>
            </w:pPr>
          </w:p>
        </w:tc>
      </w:tr>
      <w:tr>
        <w:trPr>
          <w:trHeight w:val="216"/>
        </w:trPr>
        <w:tc>
          <w:tcPr>
            <w:tcW w:w="6080" w:type="dxa"/>
            <w:vAlign w:val="bottom"/>
            <w:gridSpan w:val="3"/>
          </w:tcPr>
          <w:p>
            <w:pPr>
              <w:ind w:left="18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
        </w:trPr>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615,709</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2,548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7,641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610,616</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ASU 2017-08 during the first quarter of 2017 using a modified retrospective approach. As a result, the amortized cost of securities as of January 1, 2017 was adjusted lower by $0.46 million (see note #2).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8"/>
                <w:szCs w:val="18"/>
                <w:color w:val="auto"/>
                <w:w w:val="92"/>
              </w:rPr>
              <w:t>Less Than Twelve Months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color w:val="auto"/>
                <w:w w:val="96"/>
              </w:rPr>
              <w:t>Twelve Months or More</w:t>
            </w:r>
          </w:p>
        </w:tc>
        <w:tc>
          <w:tcPr>
            <w:tcW w:w="3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2"/>
              </w:rPr>
              <w:t>Unrealized</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w w:val="92"/>
              </w:rPr>
              <w:t>Unrealized</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11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color w:val="auto"/>
              </w:rPr>
              <w:t>Fair Value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Losses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92"/>
              </w:rPr>
              <w:t>Fair Value</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Losses</w:t>
            </w:r>
          </w:p>
        </w:tc>
        <w:tc>
          <w:tcPr>
            <w:tcW w:w="3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5"/>
              </w:rPr>
              <w:t>Fair Value</w:t>
            </w:r>
          </w:p>
        </w:tc>
        <w:tc>
          <w:tcPr>
            <w:tcW w:w="36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(In</w:t>
            </w:r>
          </w:p>
        </w:tc>
        <w:tc>
          <w:tcPr>
            <w:tcW w:w="1160" w:type="dxa"/>
            <w:vAlign w:val="bottom"/>
            <w:gridSpan w:val="5"/>
          </w:tcPr>
          <w:p>
            <w:pPr>
              <w:jc w:val="right"/>
              <w:ind w:right="370"/>
              <w:spacing w:after="0"/>
              <w:rPr>
                <w:sz w:val="20"/>
                <w:szCs w:val="20"/>
                <w:color w:val="auto"/>
              </w:rPr>
            </w:pPr>
            <w:r>
              <w:rPr>
                <w:rFonts w:ascii="Arial" w:cs="Arial" w:eastAsia="Arial" w:hAnsi="Arial"/>
                <w:sz w:val="18"/>
                <w:szCs w:val="18"/>
                <w:color w:val="auto"/>
                <w:w w:val="76"/>
              </w:rPr>
              <w:t>thousands)</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00" w:type="dxa"/>
            <w:vAlign w:val="bottom"/>
          </w:tcPr>
          <w:p>
            <w:pPr>
              <w:spacing w:after="0"/>
              <w:rPr>
                <w:sz w:val="20"/>
                <w:szCs w:val="20"/>
                <w:color w:val="auto"/>
              </w:rPr>
            </w:pPr>
            <w:r>
              <w:rPr>
                <w:rFonts w:ascii="Arial" w:cs="Arial" w:eastAsia="Arial" w:hAnsi="Arial"/>
                <w:sz w:val="18"/>
                <w:szCs w:val="18"/>
                <w:color w:val="auto"/>
              </w:rPr>
              <w:t>March 31, 2017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ind w:right="10"/>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180"/>
              <w:spacing w:after="0" w:line="201" w:lineRule="exact"/>
              <w:rPr>
                <w:sz w:val="20"/>
                <w:szCs w:val="20"/>
                <w:color w:val="auto"/>
              </w:rPr>
            </w:pPr>
            <w:r>
              <w:rPr>
                <w:rFonts w:ascii="Arial" w:cs="Arial" w:eastAsia="Arial" w:hAnsi="Arial"/>
                <w:sz w:val="18"/>
                <w:szCs w:val="18"/>
                <w:color w:val="auto"/>
                <w:w w:val="99"/>
              </w:rPr>
              <w:t>U.S. agency residential mortgage-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340"/>
              <w:spacing w:after="0"/>
              <w:rPr>
                <w:sz w:val="20"/>
                <w:szCs w:val="20"/>
                <w:color w:val="auto"/>
              </w:rPr>
            </w:pPr>
            <w:r>
              <w:rPr>
                <w:rFonts w:ascii="Arial" w:cs="Arial" w:eastAsia="Arial" w:hAnsi="Arial"/>
                <w:sz w:val="18"/>
                <w:szCs w:val="18"/>
                <w:color w:val="auto"/>
              </w:rPr>
              <w:t>backed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46,206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20,682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66,888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U.S. agency commercial mortgage-</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backed</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6,672</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6,812</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Arial" w:cs="Arial" w:eastAsia="Arial" w:hAnsi="Arial"/>
                <w:sz w:val="18"/>
                <w:szCs w:val="18"/>
                <w:color w:val="auto"/>
              </w:rPr>
              <w:t>Private label mortgage-backed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17,038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18,359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39,168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115</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51,117</w:t>
            </w: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180"/>
              <w:spacing w:after="0" w:line="201" w:lineRule="exact"/>
              <w:rPr>
                <w:sz w:val="20"/>
                <w:szCs w:val="20"/>
                <w:color w:val="auto"/>
              </w:rPr>
            </w:pPr>
            <w:r>
              <w:rPr>
                <w:rFonts w:ascii="Arial" w:cs="Arial" w:eastAsia="Arial" w:hAnsi="Arial"/>
                <w:sz w:val="18"/>
                <w:szCs w:val="18"/>
                <w:color w:val="auto"/>
              </w:rPr>
              <w:t>Obligations of states and political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340"/>
              <w:spacing w:after="0"/>
              <w:rPr>
                <w:sz w:val="20"/>
                <w:szCs w:val="20"/>
                <w:color w:val="auto"/>
              </w:rPr>
            </w:pPr>
            <w:r>
              <w:rPr>
                <w:rFonts w:ascii="Arial" w:cs="Arial" w:eastAsia="Arial" w:hAnsi="Arial"/>
                <w:sz w:val="18"/>
                <w:szCs w:val="18"/>
                <w:color w:val="auto"/>
              </w:rPr>
              <w:t>subdivisions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103,301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2,030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10,090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163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113,391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17,416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Arial" w:cs="Arial" w:eastAsia="Arial" w:hAnsi="Arial"/>
                <w:sz w:val="18"/>
                <w:szCs w:val="18"/>
                <w:color w:val="auto"/>
              </w:rPr>
              <w:t>Trust preferred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271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2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233,173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3,178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56,497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1,046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289,670</w:t>
            </w:r>
          </w:p>
        </w:tc>
        <w:tc>
          <w:tcPr>
            <w:tcW w:w="220" w:type="dxa"/>
            <w:vAlign w:val="bottom"/>
          </w:tcPr>
          <w:p>
            <w:pPr>
              <w:spacing w:after="0"/>
              <w:rPr>
                <w:sz w:val="18"/>
                <w:szCs w:val="18"/>
                <w:color w:val="auto"/>
              </w:rPr>
            </w:pPr>
          </w:p>
        </w:tc>
        <w:tc>
          <w:tcPr>
            <w:tcW w:w="100" w:type="dxa"/>
            <w:vAlign w:val="bottom"/>
          </w:tcPr>
          <w:p>
            <w:pPr>
              <w:jc w:val="right"/>
              <w:ind w:right="10"/>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00" w:type="dxa"/>
            <w:vAlign w:val="bottom"/>
            <w:vMerge w:val="restart"/>
          </w:tcPr>
          <w:p>
            <w:pPr>
              <w:spacing w:after="0"/>
              <w:rPr>
                <w:sz w:val="20"/>
                <w:szCs w:val="20"/>
                <w:color w:val="auto"/>
              </w:rPr>
            </w:pPr>
            <w:r>
              <w:rPr>
                <w:rFonts w:ascii="Arial" w:cs="Arial" w:eastAsia="Arial" w:hAnsi="Arial"/>
                <w:sz w:val="18"/>
                <w:szCs w:val="18"/>
                <w:color w:val="auto"/>
              </w:rPr>
              <w:t>December 31, 2016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4,179</w:t>
            </w: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8,217</w:t>
            </w:r>
          </w:p>
        </w:tc>
        <w:tc>
          <w:tcPr>
            <w:tcW w:w="7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180" w:type="dxa"/>
            <w:vAlign w:val="bottom"/>
            <w:gridSpan w:val="2"/>
          </w:tcPr>
          <w:p>
            <w:pPr>
              <w:ind w:left="180"/>
              <w:spacing w:after="0"/>
              <w:rPr>
                <w:sz w:val="20"/>
                <w:szCs w:val="20"/>
                <w:color w:val="auto"/>
              </w:rPr>
            </w:pPr>
            <w:r>
              <w:rPr>
                <w:rFonts w:ascii="Arial" w:cs="Arial" w:eastAsia="Arial" w:hAnsi="Arial"/>
                <w:sz w:val="18"/>
                <w:szCs w:val="18"/>
                <w:color w:val="auto"/>
                <w:w w:val="90"/>
              </w:rPr>
              <w:t>U.S. agency residential mortgage-backed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62,524</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732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20,857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83,381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U.S. agency commercial mortgage-</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backed</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6,079</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143</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6,222</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Arial" w:cs="Arial" w:eastAsia="Arial" w:hAnsi="Arial"/>
                <w:sz w:val="18"/>
                <w:szCs w:val="18"/>
                <w:color w:val="auto"/>
              </w:rPr>
              <w:t>Private label mortgage-backed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20,545</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21,958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52,958</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17,763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70,721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2"/>
        </w:trPr>
        <w:tc>
          <w:tcPr>
            <w:tcW w:w="2900" w:type="dxa"/>
            <w:vAlign w:val="bottom"/>
          </w:tcPr>
          <w:p>
            <w:pPr>
              <w:ind w:left="180"/>
              <w:spacing w:after="0" w:line="201" w:lineRule="exact"/>
              <w:rPr>
                <w:sz w:val="20"/>
                <w:szCs w:val="20"/>
                <w:color w:val="auto"/>
              </w:rPr>
            </w:pPr>
            <w:r>
              <w:rPr>
                <w:rFonts w:ascii="Arial" w:cs="Arial" w:eastAsia="Arial" w:hAnsi="Arial"/>
                <w:sz w:val="18"/>
                <w:szCs w:val="18"/>
                <w:color w:val="auto"/>
              </w:rPr>
              <w:t>Obligations of states and political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340"/>
              <w:spacing w:after="0"/>
              <w:rPr>
                <w:sz w:val="20"/>
                <w:szCs w:val="20"/>
                <w:color w:val="auto"/>
              </w:rPr>
            </w:pPr>
            <w:r>
              <w:rPr>
                <w:rFonts w:ascii="Arial" w:cs="Arial" w:eastAsia="Arial" w:hAnsi="Arial"/>
                <w:sz w:val="18"/>
                <w:szCs w:val="18"/>
                <w:color w:val="auto"/>
              </w:rPr>
              <w:t>subdivisions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113,078</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4,014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14,623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127,701</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25,546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28,356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Arial" w:cs="Arial" w:eastAsia="Arial" w:hAnsi="Arial"/>
                <w:sz w:val="18"/>
                <w:szCs w:val="18"/>
                <w:color w:val="auto"/>
              </w:rPr>
              <w:t>Trust preferred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1,613</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00" w:type="dxa"/>
            <w:vAlign w:val="bottom"/>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286,522</w:t>
            </w:r>
          </w:p>
        </w:tc>
        <w:tc>
          <w:tcPr>
            <w:tcW w:w="9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5,739</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68,405</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1,902</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354,927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agency, U.S. agency residential mortgage-backed securities and U.S. agency commercial mortgage backed securities — at March 31, 2017, we had 23 U.S. agency, 118 U.S. agency residential mortgage-backed and 13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Private label mortgage backed securities — at March 31, 2017, we had 30 of this type of security whose fair value is less than amortized cost. The unrealized losses are primarily attributed to four securities purchased prior to 2016. Two of these four securities have an impairment in excess of 10% and all four of these holdings have been impaired for more than 12 months. The unrealized losses are largely attributable to credit spread widening on these four securities since their acquisition.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four securities are receiving principal and interest payments. Most of these transactions are pass-through structures, receiving pro rata principal and interest payments from a dedicated collateral pool. The nonreceipt of interest cash flows is not expected and thus not presently considered in our discounted cash flow methodology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These four private label mortgage-backed securities are periodically reviewed for other than temporary impairment (“OTTI”) utilizing a cash flow projection.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cash flow analysis forecasts cash flow from the underlying loans in each transaction and then applies these cash flows to the bonds in the securitization.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analysis forecasts complete recovery of our cost basis for all four of these securities whose fair value is less than amortized cost.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asset backed — at March 31, 2017, we had 97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Obligations of states and political subdivisions — at March 31, 2017, we had 308 municipal securities whose fair value is less than amortized cost. The unrealized losses are primarily due to increases in interest rates since acquisition. Twenty-eight of these securities have an impairment in excess of 10%. The unrealized losses are primarily due to wider benchmark pricing spreads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Corporate — at March 31, 2017, we had 19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Trust preferred securities — at March 31, 2017, we had three trust preferred securities whose fair value is less than amortized cost. All of our trust preferred securities are single issue securities issued by a trust subsidiary of a bank holding company. The pricing of trust preferred securities has suffered from credit spread widening.</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of the three securities is rated by two major rating agencies as investment grade, while one (a Bank of America issuance) is rated below investment grade by two major rating agencies and the other one is non-rated. The non-rated issue is a relatively small bank and was never rated. The issuer of this non-rated trust preferred security, which had a total amortized cost of $1.0 million and total fair value of $0.8 million as of March 31, 2017, continues to have satisfactory credit metrics and make interest payments.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breaks out our trust preferred securities in further detail as of March 31, 2017 and December 31, 2016: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right"/>
              <w:ind w:right="770"/>
              <w:spacing w:after="0"/>
              <w:rPr>
                <w:sz w:val="20"/>
                <w:szCs w:val="20"/>
                <w:color w:val="auto"/>
              </w:rPr>
            </w:pPr>
            <w:r>
              <w:rPr>
                <w:rFonts w:ascii="Arial" w:cs="Arial" w:eastAsia="Arial" w:hAnsi="Arial"/>
                <w:sz w:val="18"/>
                <w:szCs w:val="18"/>
                <w:color w:val="auto"/>
              </w:rPr>
              <w:t>March 31, 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8"/>
                <w:szCs w:val="18"/>
                <w:color w:val="auto"/>
              </w:rPr>
              <w:t>December 31, 2016</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10"/>
              <w:spacing w:after="0"/>
              <w:rPr>
                <w:sz w:val="20"/>
                <w:szCs w:val="20"/>
                <w:color w:val="auto"/>
              </w:rPr>
            </w:pPr>
            <w:r>
              <w:rPr>
                <w:rFonts w:ascii="Arial" w:cs="Arial" w:eastAsia="Arial" w:hAnsi="Arial"/>
                <w:sz w:val="18"/>
                <w:szCs w:val="18"/>
                <w:color w:val="auto"/>
                <w:w w:val="92"/>
              </w:rPr>
              <w:t>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Net</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Fair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1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r>
      <w:tr>
        <w:trPr>
          <w:trHeight w:val="237"/>
        </w:trPr>
        <w:tc>
          <w:tcPr>
            <w:tcW w:w="3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180" w:type="dxa"/>
            <w:vAlign w:val="bottom"/>
          </w:tcPr>
          <w:p>
            <w:pPr>
              <w:spacing w:after="0"/>
              <w:rPr>
                <w:sz w:val="20"/>
                <w:szCs w:val="20"/>
                <w:color w:val="auto"/>
              </w:rPr>
            </w:pPr>
          </w:p>
        </w:tc>
      </w:tr>
      <w:tr>
        <w:trPr>
          <w:trHeight w:val="230"/>
        </w:trPr>
        <w:tc>
          <w:tcPr>
            <w:tcW w:w="3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80" w:type="dxa"/>
            <w:vAlign w:val="bottom"/>
            <w:gridSpan w:val="4"/>
          </w:tcPr>
          <w:p>
            <w:pPr>
              <w:jc w:val="center"/>
              <w:ind w:right="650"/>
              <w:spacing w:after="0"/>
              <w:rPr>
                <w:sz w:val="20"/>
                <w:szCs w:val="20"/>
                <w:color w:val="auto"/>
              </w:rPr>
            </w:pPr>
            <w:r>
              <w:rPr>
                <w:rFonts w:ascii="Arial" w:cs="Arial" w:eastAsia="Arial" w:hAnsi="Arial"/>
                <w:sz w:val="18"/>
                <w:szCs w:val="18"/>
                <w:color w:val="auto"/>
                <w:w w:val="71"/>
              </w:rPr>
              <w:t>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rPr>
              <w:t>Trust preferred securities</w:t>
            </w: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Rated issues</w:t>
            </w:r>
          </w:p>
        </w:tc>
        <w:tc>
          <w:tcPr>
            <w:tcW w:w="2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Unrated issues</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841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declines are deemed to be other than temporary.</w:t>
      </w:r>
    </w:p>
    <w:p>
      <w:pPr>
        <w:spacing w:after="0" w:line="19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Foreign government — at March 31, 2017, we had one foreign government security whose fair value is less than amortized cost. The unrealized loss is primarily due to increases in interest rates since acquisition. As management does not intend to liquidate this security and it is more likely than not that we will not be required to sell this security prior to recovery of this unrealized loss, this decline is not deemed to be other than temporary.</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no credit related OTTI charges in our Condensed Consolidated Statements of Operations related to securities available for sale during the three month periods ended March 31, 2017 and 2016,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2017, three private label mortgage-backed securities had credit related OTTI and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15"/>
              <w:spacing w:after="0"/>
              <w:rPr>
                <w:sz w:val="20"/>
                <w:szCs w:val="20"/>
                <w:color w:val="auto"/>
              </w:rPr>
            </w:pPr>
            <w:r>
              <w:rPr>
                <w:rFonts w:ascii="Arial" w:cs="Arial" w:eastAsia="Arial" w:hAnsi="Arial"/>
                <w:sz w:val="18"/>
                <w:szCs w:val="18"/>
                <w:color w:val="auto"/>
                <w:w w:val="87"/>
              </w:rPr>
              <w:t>Super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Senior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Senior</w:t>
            </w:r>
          </w:p>
        </w:tc>
        <w:tc>
          <w:tcPr>
            <w:tcW w:w="200" w:type="dxa"/>
            <w:vAlign w:val="bottom"/>
          </w:tcPr>
          <w:p>
            <w:pPr>
              <w:spacing w:after="0"/>
              <w:rPr>
                <w:sz w:val="18"/>
                <w:szCs w:val="18"/>
                <w:color w:val="auto"/>
              </w:rPr>
            </w:pPr>
          </w:p>
        </w:tc>
        <w:tc>
          <w:tcPr>
            <w:tcW w:w="1180" w:type="dxa"/>
            <w:vAlign w:val="bottom"/>
            <w:gridSpan w:val="2"/>
          </w:tcPr>
          <w:p>
            <w:pPr>
              <w:jc w:val="center"/>
              <w:ind w:right="335"/>
              <w:spacing w:after="0"/>
              <w:rPr>
                <w:sz w:val="20"/>
                <w:szCs w:val="20"/>
                <w:color w:val="auto"/>
              </w:rPr>
            </w:pPr>
            <w:r>
              <w:rPr>
                <w:rFonts w:ascii="Arial" w:cs="Arial" w:eastAsia="Arial" w:hAnsi="Arial"/>
                <w:sz w:val="18"/>
                <w:szCs w:val="18"/>
                <w:color w:val="auto"/>
                <w:w w:val="92"/>
              </w:rPr>
              <w:t>Senior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Support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Security</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Security</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Security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260" w:type="dxa"/>
            <w:vAlign w:val="bottom"/>
            <w:gridSpan w:val="2"/>
          </w:tcPr>
          <w:p>
            <w:pPr>
              <w:spacing w:after="0"/>
              <w:rPr>
                <w:sz w:val="20"/>
                <w:szCs w:val="20"/>
                <w:color w:val="auto"/>
              </w:rPr>
            </w:pPr>
            <w:r>
              <w:rPr>
                <w:rFonts w:ascii="Arial" w:cs="Arial" w:eastAsia="Arial" w:hAnsi="Arial"/>
                <w:sz w:val="18"/>
                <w:szCs w:val="18"/>
                <w:color w:val="auto"/>
              </w:rPr>
              <w:t>As of March 31, 2017</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1,013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Amortized cost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1,092</w:t>
            </w:r>
          </w:p>
        </w:tc>
        <w:tc>
          <w:tcPr>
            <w:tcW w:w="200" w:type="dxa"/>
            <w:vAlign w:val="bottom"/>
          </w:tcPr>
          <w:p>
            <w:pPr>
              <w:spacing w:after="0"/>
              <w:rPr>
                <w:sz w:val="18"/>
                <w:szCs w:val="18"/>
                <w:color w:val="auto"/>
              </w:rPr>
            </w:pP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958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Non-credit unrealized loss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Unrealized gain</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Cumulative credit related OTTI</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Credit related OTTI recognized in our Condensed</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Consolidated Statements of Operations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 the three months ended March 31,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80"/>
              <w:spacing w:after="0"/>
              <w:rPr>
                <w:sz w:val="20"/>
                <w:szCs w:val="20"/>
                <w:color w:val="auto"/>
              </w:rPr>
            </w:pPr>
            <w:r>
              <w:rPr>
                <w:rFonts w:ascii="Arial" w:cs="Arial" w:eastAsia="Arial" w:hAnsi="Arial"/>
                <w:sz w:val="18"/>
                <w:szCs w:val="18"/>
                <w:color w:val="auto"/>
              </w:rPr>
              <w:t>2017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these securities is receiving principal and interest payments similar to principal reductions in the underlying collateral. All three of these securities have unrealized gains at March 31, 2017. The original amortized cost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roll forward of credit losses recognized in earnings on securities available for sale for the three month periods ending March 31,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8"/>
                <w:szCs w:val="18"/>
                <w:color w:val="auto"/>
              </w:rPr>
              <w:t>Three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3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1,844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Additions to credit losses on securities for which no previous OTTI was recognized</w:t>
            </w:r>
          </w:p>
        </w:tc>
        <w:tc>
          <w:tcPr>
            <w:tcW w:w="240" w:type="dxa"/>
            <w:vAlign w:val="bottom"/>
          </w:tcPr>
          <w:p>
            <w:pPr>
              <w:spacing w:after="0"/>
              <w:rPr>
                <w:sz w:val="18"/>
                <w:szCs w:val="18"/>
                <w:color w:val="auto"/>
              </w:rPr>
            </w:pPr>
          </w:p>
        </w:tc>
        <w:tc>
          <w:tcPr>
            <w:tcW w:w="100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Increases to credit losses on securities for which OTTI was previously recognized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60" w:type="dxa"/>
            <w:vAlign w:val="bottom"/>
            <w:gridSpan w:val="2"/>
            <w:vMerge w:val="restart"/>
          </w:tcPr>
          <w:p>
            <w:pPr>
              <w:jc w:val="right"/>
              <w:ind w:right="1790"/>
              <w:spacing w:after="0"/>
              <w:rPr>
                <w:sz w:val="20"/>
                <w:szCs w:val="20"/>
                <w:color w:val="auto"/>
              </w:rPr>
            </w:pPr>
            <w:r>
              <w:rPr>
                <w:rFonts w:ascii="Arial" w:cs="Arial" w:eastAsia="Arial" w:hAnsi="Arial"/>
                <w:sz w:val="14"/>
                <w:szCs w:val="14"/>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76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w w:val="96"/>
              </w:rPr>
              <w:t>The amortized cost and fair value of securities available for sale at March 31, 2017, by contractual maturity, follow:</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95"/>
              <w:spacing w:after="0"/>
              <w:rPr>
                <w:sz w:val="20"/>
                <w:szCs w:val="20"/>
                <w:color w:val="auto"/>
              </w:rPr>
            </w:pPr>
            <w:r>
              <w:rPr>
                <w:rFonts w:ascii="Arial" w:cs="Arial" w:eastAsia="Arial" w:hAnsi="Arial"/>
                <w:sz w:val="18"/>
                <w:szCs w:val="18"/>
                <w:color w:val="auto"/>
                <w:w w:val="98"/>
              </w:rPr>
              <w:t>Amortized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Fair</w:t>
            </w:r>
          </w:p>
        </w:tc>
      </w:tr>
      <w:tr>
        <w:trPr>
          <w:trHeight w:val="237"/>
        </w:trPr>
        <w:tc>
          <w:tcPr>
            <w:tcW w:w="8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20,583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107,748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107,791</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85,047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84,667</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140" w:type="dxa"/>
            <w:vAlign w:val="bottom"/>
          </w:tcPr>
          <w:p>
            <w:pPr>
              <w:spacing w:after="0"/>
              <w:rPr>
                <w:sz w:val="19"/>
                <w:szCs w:val="19"/>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62,315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61,206</w:t>
            </w:r>
          </w:p>
        </w:tc>
      </w:tr>
      <w:tr>
        <w:trPr>
          <w:trHeight w:val="216"/>
        </w:trPr>
        <w:tc>
          <w:tcPr>
            <w:tcW w:w="88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274,260</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147,432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147,874</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12,298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Private label residential mortgage-backed</w:t>
            </w:r>
          </w:p>
        </w:tc>
        <w:tc>
          <w:tcPr>
            <w:tcW w:w="14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29,018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28,840</w:t>
            </w: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145,659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610,100</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608,964</w:t>
            </w:r>
          </w:p>
        </w:tc>
      </w:tr>
      <w:tr>
        <w:trPr>
          <w:trHeight w:val="21"/>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three month periods ending March 31,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Realized</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Proceeds</w:t>
            </w:r>
          </w:p>
        </w:tc>
        <w:tc>
          <w:tcPr>
            <w:tcW w:w="22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40" w:type="dxa"/>
            <w:vAlign w:val="bottom"/>
            <w:shd w:val="clear" w:color="auto" w:fill="CCEEFF"/>
          </w:tcPr>
          <w:p>
            <w:pPr>
              <w:jc w:val="right"/>
              <w:ind w:right="2890"/>
              <w:spacing w:after="0"/>
              <w:rPr>
                <w:sz w:val="20"/>
                <w:szCs w:val="20"/>
                <w:color w:val="auto"/>
              </w:rPr>
            </w:pPr>
            <w:r>
              <w:rPr>
                <w:rFonts w:ascii="Arial" w:cs="Arial" w:eastAsia="Arial" w:hAnsi="Arial"/>
                <w:sz w:val="18"/>
                <w:szCs w:val="18"/>
                <w:color w:val="auto"/>
                <w:w w:val="84"/>
              </w:rPr>
              <w:t>2017</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6,152</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340" w:type="dxa"/>
            <w:vAlign w:val="bottom"/>
          </w:tcPr>
          <w:p>
            <w:pPr>
              <w:jc w:val="right"/>
              <w:ind w:right="2890"/>
              <w:spacing w:after="0"/>
              <w:rPr>
                <w:sz w:val="20"/>
                <w:szCs w:val="20"/>
                <w:color w:val="auto"/>
              </w:rPr>
            </w:pPr>
            <w:r>
              <w:rPr>
                <w:rFonts w:ascii="Arial" w:cs="Arial" w:eastAsia="Arial" w:hAnsi="Arial"/>
                <w:sz w:val="18"/>
                <w:szCs w:val="18"/>
                <w:color w:val="auto"/>
                <w:w w:val="84"/>
              </w:rPr>
              <w:t>2016</w:t>
            </w: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42,391</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r>
    </w:tbl>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2017 and 2016, our trading securities consisted of various preferred stocks. During the first three months of 2017 and 2016, we recognized losses on trading securities of $0.079 million and $0.012 million, respectively, that are included in net gains on securities in the Condensed Consolidated Statements of Operations. Both of these amounts relate to losses recognized on trading securities still held at each respective period end.</w:t>
      </w:r>
    </w:p>
    <w:p>
      <w:pPr>
        <w:spacing w:after="0" w:line="19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assessment of the allowance for loan losses is based on an evaluation of the loan portfolio, recent loss experience, current economic conditions and other pertinent factors.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loan losses by portfolio segment for the three months ended March 31,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0"/>
              </w:rPr>
              <w:t>Payment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88"/>
              </w:rPr>
              <w:t>Plan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Commercial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Mortgage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Receivables(1)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Allocation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jc w:val="right"/>
              <w:ind w:right="2890"/>
              <w:spacing w:after="0"/>
              <w:rPr>
                <w:sz w:val="20"/>
                <w:szCs w:val="20"/>
                <w:color w:val="auto"/>
              </w:rPr>
            </w:pPr>
            <w:r>
              <w:rPr>
                <w:rFonts w:ascii="Arial" w:cs="Arial" w:eastAsia="Arial" w:hAnsi="Arial"/>
                <w:sz w:val="18"/>
                <w:szCs w:val="18"/>
                <w:color w:val="auto"/>
                <w:w w:val="84"/>
              </w:rPr>
              <w:t>2017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4"/>
          </w:tcPr>
          <w:p>
            <w:pPr>
              <w:jc w:val="right"/>
              <w:ind w:right="47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1,011</w:t>
            </w:r>
          </w:p>
        </w:tc>
        <w:tc>
          <w:tcPr>
            <w:tcW w:w="10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allowance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5,088</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911</w:t>
            </w: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5,930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20,038</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w:t>
            </w:r>
          </w:p>
        </w:tc>
        <w:tc>
          <w:tcPr>
            <w:tcW w:w="10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allowance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5,622</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10,296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1,161</w:t>
            </w: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5,363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Payment plan receivables were reclassified to held for sale at December 31, 2016. See note #15.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Allowance for loan losses and recorded investment in loans by portfolio segment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Mortgage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Installment</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Allocation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March 31, 2017</w:t>
            </w:r>
          </w:p>
        </w:tc>
        <w:tc>
          <w:tcPr>
            <w:tcW w:w="5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ending allowance balance</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11,573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57,216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4,675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Collectively evaluated for impairment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270,329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loans recorded investment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817,456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583,394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275,004</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815,484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581,030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274,233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1,670,747</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December 31, 2016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Collectively evaluated for impairment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ending allowance balance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4,880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5,662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Loans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790,228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481,828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261,474</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recorded investment</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805,995</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804,017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265,616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1,608,248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Loans on non-accrual status and past due more than 90 days (“Non-performing Loans”)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88"/>
              </w:rPr>
              <w:t>90+ and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Total 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80" w:type="dxa"/>
            <w:vAlign w:val="bottom"/>
          </w:tcPr>
          <w:p>
            <w:pPr>
              <w:jc w:val="center"/>
              <w:ind w:left="70"/>
              <w:spacing w:after="0"/>
              <w:rPr>
                <w:sz w:val="20"/>
                <w:szCs w:val="20"/>
                <w:color w:val="auto"/>
              </w:rPr>
            </w:pPr>
            <w:r>
              <w:rPr>
                <w:rFonts w:ascii="Arial" w:cs="Arial" w:eastAsia="Arial" w:hAnsi="Arial"/>
                <w:sz w:val="18"/>
                <w:szCs w:val="18"/>
                <w:color w:val="auto"/>
              </w:rPr>
              <w:t>Still</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Non-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Performing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4"/>
              </w:rPr>
              <w:t>Accruing</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Accrual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3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March 31, 2017</w:t>
            </w:r>
          </w:p>
        </w:tc>
        <w:tc>
          <w:tcPr>
            <w:tcW w:w="24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20" w:type="dxa"/>
            <w:vAlign w:val="bottom"/>
            <w:gridSpan w:val="2"/>
            <w:vMerge w:val="continue"/>
          </w:tcPr>
          <w:p>
            <w:pPr>
              <w:spacing w:after="0"/>
              <w:rPr>
                <w:sz w:val="16"/>
                <w:szCs w:val="16"/>
                <w:color w:val="auto"/>
              </w:rPr>
            </w:pPr>
          </w:p>
        </w:tc>
        <w:tc>
          <w:tcPr>
            <w:tcW w:w="2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34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242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2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December 31, 2016</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34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4,430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Purchased loans</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Other</w:t>
            </w:r>
          </w:p>
        </w:tc>
        <w:tc>
          <w:tcPr>
            <w:tcW w:w="2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2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34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00" w:type="dxa"/>
            <w:vAlign w:val="bottom"/>
            <w:tcBorders>
              <w:top w:val="single" w:sz="8" w:color="CCEEFF"/>
            </w:tcBorders>
          </w:tcPr>
          <w:p>
            <w:pPr>
              <w:spacing w:after="0"/>
              <w:rPr>
                <w:sz w:val="24"/>
                <w:szCs w:val="24"/>
                <w:color w:val="auto"/>
              </w:rPr>
            </w:pPr>
          </w:p>
        </w:tc>
        <w:tc>
          <w:tcPr>
            <w:tcW w:w="2420" w:type="dxa"/>
            <w:vAlign w:val="bottom"/>
            <w:tcBorders>
              <w:top w:val="single" w:sz="8" w:color="CCEEFF"/>
            </w:tcBorders>
          </w:tcPr>
          <w:p>
            <w:pPr>
              <w:jc w:val="right"/>
              <w:ind w:right="1474"/>
              <w:spacing w:after="0"/>
              <w:rPr>
                <w:sz w:val="20"/>
                <w:szCs w:val="20"/>
                <w:color w:val="auto"/>
              </w:rPr>
            </w:pPr>
            <w:r>
              <w:rPr>
                <w:rFonts w:ascii="Arial" w:cs="Arial" w:eastAsia="Arial" w:hAnsi="Arial"/>
                <w:sz w:val="14"/>
                <w:szCs w:val="14"/>
                <w:color w:val="auto"/>
              </w:rPr>
              <w:t>19</w:t>
            </w: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 aging analysis of loans by class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color w:val="auto"/>
              </w:rPr>
              <w:t>Loans Past Due</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Loans not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30-59 days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2"/>
              </w:rPr>
              <w:t>60-89 days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90+ days</w:t>
            </w: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Past Due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30"/>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March 31, 2017</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281,597</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282,045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53,649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481,213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357,881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98,371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99,943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48,280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12,115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107,826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78,698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78,768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3,651</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8,178</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12,757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1,663,097</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1,675,854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ind w:left="160"/>
              <w:spacing w:after="0" w:line="201" w:lineRule="exact"/>
              <w:rPr>
                <w:sz w:val="20"/>
                <w:szCs w:val="20"/>
                <w:color w:val="auto"/>
              </w:rPr>
            </w:pPr>
            <w:r>
              <w:rPr>
                <w:rFonts w:ascii="Arial" w:cs="Arial" w:eastAsia="Arial" w:hAnsi="Arial"/>
                <w:sz w:val="18"/>
                <w:szCs w:val="18"/>
                <w:color w:val="auto"/>
              </w:rPr>
              <w:t>Accrued interest included in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5,049</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1"/>
        </w:trPr>
        <w:tc>
          <w:tcPr>
            <w:tcW w:w="29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December 31, 2016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383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287,255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287,638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51,670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465,031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466,582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8,478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306,063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28,645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54,232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Purchased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39,122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12,025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13,390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102,489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61,888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62,319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1,597,764</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1,613,361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Accrued interest included in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recorded 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5,049</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9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20</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Impaired loans are as follows:</w:t>
            </w: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35"/>
              <w:spacing w:after="0"/>
              <w:rPr>
                <w:sz w:val="20"/>
                <w:szCs w:val="20"/>
                <w:color w:val="auto"/>
              </w:rPr>
            </w:pPr>
            <w:r>
              <w:rPr>
                <w:rFonts w:ascii="Arial" w:cs="Arial" w:eastAsia="Arial" w:hAnsi="Arial"/>
                <w:sz w:val="18"/>
                <w:szCs w:val="18"/>
                <w:color w:val="auto"/>
                <w:w w:val="97"/>
              </w:rPr>
              <w:t>March 31,</w:t>
            </w:r>
          </w:p>
        </w:tc>
        <w:tc>
          <w:tcPr>
            <w:tcW w:w="20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Impaired loans with no allocated allowance</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Non - TDR</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an allocated allowance</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TDR - allowance based on collateral</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impaired loans</w:t>
            </w:r>
          </w:p>
        </w:tc>
        <w:tc>
          <w:tcPr>
            <w:tcW w:w="398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73,174</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79,520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Amount of allowance for loan losses allocated</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TDR - allowance based on collateral</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amount of allowance for loan losses allocated</w:t>
            </w:r>
          </w:p>
        </w:tc>
        <w:tc>
          <w:tcPr>
            <w:tcW w:w="3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980" w:type="dxa"/>
            <w:vAlign w:val="bottom"/>
          </w:tcPr>
          <w:p>
            <w:pPr>
              <w:jc w:val="right"/>
              <w:ind w:right="2956"/>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w w:val="99"/>
              </w:rPr>
              <w:t>Impaired loans by class are as follows (1):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91"/>
              </w:rPr>
              <w:t>March 31, 2017</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2016</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4"/>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7"/>
              </w:rPr>
              <w:t>Recorded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Principal</w:t>
            </w:r>
          </w:p>
        </w:tc>
        <w:tc>
          <w:tcPr>
            <w:tcW w:w="1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Investment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Investment</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5"/>
          </w:tcPr>
          <w:p>
            <w:pPr>
              <w:jc w:val="right"/>
              <w:ind w:right="710"/>
              <w:spacing w:after="0" w:line="201" w:lineRule="exact"/>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With an allowance recorded: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7,925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4,341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5,246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40,098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41,850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43,479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16,727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16,931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2,339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73,093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77,098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76,940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79,520</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953</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42,234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43,866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16,727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16,931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2,183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78,136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79,831</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84,711</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There were no impaired purchased mortgage loans at March 31, 2017 or December 31, 2016.</w:t>
      </w:r>
    </w:p>
    <w:p>
      <w:pPr>
        <w:sectPr>
          <w:pgSz w:w="11900" w:h="16838" w:orient="portrait"/>
          <w:cols w:equalWidth="0" w:num="1">
            <w:col w:w="11420"/>
          </w:cols>
          <w:pgMar w:left="240" w:top="121" w:right="239" w:bottom="214"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214"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Average recorded investment in and interest income earned on impaired loans by class for the three month periods ending March 31, follows (1):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2016</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Income</w:t>
            </w:r>
          </w:p>
        </w:tc>
      </w:t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02"/>
        </w:trPr>
        <w:tc>
          <w:tcPr>
            <w:tcW w:w="50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With an allowance recorded: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86,004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16,795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18,039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57"/>
        </w:trPr>
        <w:tc>
          <w:tcPr>
            <w:tcW w:w="2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There were no impaired purchased mortgage loans during the three month periods ended March 31, 2017 and 2016,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average investment in impaired loans was approximately $76.7 million and $88.6 million for the three-month periods ended March 31, 2017 and 2016, respectively. Cash receipts on impaired loans on non-accrual status are generally applied to the principal balance. Interest income recognized on impaired loans during both the three months ending March 31, 2017 and 2016, was approximately $0.9 million.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Troubled debt restructurings follow:</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6"/>
        </w:trPr>
        <w:tc>
          <w:tcPr>
            <w:tcW w:w="3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1"/>
              </w:rPr>
              <w:t>March 31, 2017</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57,544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67,750</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Non-performing TDRs(2)</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160"/>
              <w:spacing w:after="0" w:line="216" w:lineRule="exact"/>
              <w:rPr>
                <w:sz w:val="20"/>
                <w:szCs w:val="20"/>
                <w:color w:val="auto"/>
              </w:rPr>
            </w:pPr>
            <w:r>
              <w:rPr>
                <w:rFonts w:ascii="Arial" w:cs="Arial" w:eastAsia="Arial" w:hAnsi="Arial"/>
                <w:sz w:val="16"/>
                <w:szCs w:val="16"/>
                <w:color w:val="auto"/>
              </w:rPr>
              <w:t>4,099</w:t>
            </w:r>
            <w:r>
              <w:rPr>
                <w:rFonts w:ascii="Arial" w:cs="Arial" w:eastAsia="Arial" w:hAnsi="Arial"/>
                <w:sz w:val="25"/>
                <w:szCs w:val="25"/>
                <w:color w:val="auto"/>
                <w:vertAlign w:val="superscript"/>
              </w:rPr>
              <w:t>(3)</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5,138</w:t>
            </w:r>
          </w:p>
        </w:tc>
      </w:tr>
      <w:tr>
        <w:trPr>
          <w:trHeight w:val="257"/>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61,643</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72,888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460"/>
        </w:trPr>
        <w:tc>
          <w:tcPr>
            <w:tcW w:w="3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2"/>
              </w:rPr>
              <w:t>December 31, 2016</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59,726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70,286</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Non-performing TDRs(2)</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160"/>
              <w:spacing w:after="0" w:line="216" w:lineRule="exact"/>
              <w:rPr>
                <w:sz w:val="20"/>
                <w:szCs w:val="20"/>
                <w:color w:val="auto"/>
              </w:rPr>
            </w:pPr>
            <w:r>
              <w:rPr>
                <w:rFonts w:ascii="Arial" w:cs="Arial" w:eastAsia="Arial" w:hAnsi="Arial"/>
                <w:sz w:val="16"/>
                <w:szCs w:val="16"/>
                <w:color w:val="auto"/>
              </w:rPr>
              <w:t>4,071</w:t>
            </w:r>
            <w:r>
              <w:rPr>
                <w:rFonts w:ascii="Arial" w:cs="Arial" w:eastAsia="Arial" w:hAnsi="Arial"/>
                <w:sz w:val="25"/>
                <w:szCs w:val="25"/>
                <w:color w:val="auto"/>
                <w:vertAlign w:val="superscript"/>
              </w:rPr>
              <w:t>(3)</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7,636</w:t>
            </w:r>
          </w:p>
        </w:tc>
      </w:tr>
      <w:tr>
        <w:trPr>
          <w:trHeight w:val="257"/>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63,797</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allocated $7.6 million and $9.0 million of specific reserves to customers whose loan terms have been modified in troubled debt restructurings as of March 31, 2017 and December 31, 2016, respectively.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2017 and 2016, the terms of certain loans were modified as troubled debt restructurings.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Loans that have been classified as troubled debt restructurings during the three-month periods ended March 31 follow(1):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0" w:type="dxa"/>
            <w:vAlign w:val="bottom"/>
            <w:gridSpan w:val="3"/>
          </w:tcPr>
          <w:p>
            <w:pPr>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gridSpan w:val="2"/>
            <w:vMerge w:val="restart"/>
          </w:tcPr>
          <w:p>
            <w:pPr>
              <w:jc w:val="right"/>
              <w:ind w:right="6790"/>
              <w:spacing w:after="0"/>
              <w:rPr>
                <w:sz w:val="20"/>
                <w:szCs w:val="20"/>
                <w:color w:val="auto"/>
              </w:rPr>
            </w:pPr>
            <w:r>
              <w:rPr>
                <w:rFonts w:ascii="Arial" w:cs="Arial" w:eastAsia="Arial" w:hAnsi="Arial"/>
                <w:sz w:val="18"/>
                <w:szCs w:val="18"/>
                <w:color w:val="auto"/>
                <w:w w:val="84"/>
              </w:rPr>
              <w:t>2017</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1"/>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24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48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purchased mortgage loans classified as troubled debt restructurings during the three month periods ended March 31, 2017 and 2016, respectively.</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troubled debt restructurings described above for 2017 increased the allowance for loan losses by $0.05 million and resulted in zero charge offs while the troubled debt restructurings described above for 2016 increased the allowance for loan losses by $0.06 million and resulted in zero charge offs.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loan is considered to be in payment default generally once it is 90 days contractually past due under the modified terms.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troubled debt restructurings that subsequently defaulted within twelve months following the modification during the three months ended March 31, 2017 or 2016.</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Credit Quality Indicators </w:t>
      </w:r>
      <w:r>
        <w:rPr>
          <w:rFonts w:ascii="Arial" w:cs="Arial" w:eastAsia="Arial" w:hAnsi="Arial"/>
          <w:sz w:val="18"/>
          <w:szCs w:val="18"/>
          <w:color w:val="auto"/>
        </w:rPr>
        <w:t>– As part of our on on-going monitoring of the credit quality of our loan portfolios, we track certain credit quality indicators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weighted-average risk grade of commercial loans, (b) the level of classified commercial loans, (c) credit scores of mortgage and installment loan borrowers, and (d) delinquency history and non-performing loans.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 exceptional credit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acceptable credit fundamentals.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7 and 8</w:t>
      </w:r>
      <w:r>
        <w:rPr>
          <w:rFonts w:ascii="Arial" w:cs="Arial" w:eastAsia="Arial" w:hAnsi="Arial"/>
          <w:sz w:val="18"/>
          <w:szCs w:val="18"/>
          <w:color w:val="auto"/>
        </w:rPr>
        <w:t>: These loans are generally referred to as our “watch” commercial credits. This rating includes loans to borrowers that exhibit potential credit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 or downward trends. If not checked or cured these trends could weaken our asset or credit position. While potentially weak, no loss of principal or interest is envisioned with these ratings.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10 and 11</w:t>
      </w:r>
      <w:r>
        <w:rPr>
          <w:rFonts w:ascii="Arial" w:cs="Arial" w:eastAsia="Arial" w:hAnsi="Arial"/>
          <w:sz w:val="18"/>
          <w:szCs w:val="18"/>
          <w:color w:val="auto"/>
        </w:rPr>
        <w:t>: These loans are generally referred to as our “substandard - non-accrual” and “doubtful” commercial credits, respectively. These ratings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loans to borrowers with weaknesses that make collection of debt in full, on the basis of current facts, conditions and values at best questionable and at worst improbable. All of these loans are placed in non-accrual.</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 are deemed incapable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are charged-off.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loan ratings by loan class for our commercial loan segment: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6"/>
              </w:rPr>
              <w:t>Substandard</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5"/>
              </w:rPr>
              <w:t>Non-watch</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Watch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Accrual</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Accrual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w w:val="79"/>
              </w:rPr>
              <w:t>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1"/>
              </w:rPr>
              <w:t>10-11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March 31, 2017</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277,648</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481,762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799,604</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13,260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3,267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817,456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282,886</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3,787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287,638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51,603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449,365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2,998</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466,582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783,854</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1,915</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of our mortgage and installment segment classes, we generally monitor credit quality based on the credit scores of the borrowers. These credit scores are generally updated semi-annually.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segments: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color w:val="auto"/>
                <w:w w:val="93"/>
              </w:rPr>
              <w:t>Mortgage (1)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1"/>
              </w:rPr>
              <w:t>Home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1"/>
              </w:rPr>
              <w:t>Home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Resort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Equity</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Purchased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1-4 Family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1st Lien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2nd Lien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March 31, 2017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38,929</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10,347</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750-799</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124,778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40,569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10,926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20,309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86,342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8,646</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650-699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58,861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13,542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4,012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550-599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13,199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365,586</w:t>
            </w:r>
          </w:p>
        </w:tc>
        <w:tc>
          <w:tcPr>
            <w:tcW w:w="100" w:type="dxa"/>
            <w:vAlign w:val="bottom"/>
          </w:tcPr>
          <w:p>
            <w:pPr>
              <w:spacing w:after="0"/>
              <w:rPr>
                <w:sz w:val="18"/>
                <w:szCs w:val="18"/>
                <w:color w:val="auto"/>
              </w:rPr>
            </w:pPr>
          </w:p>
        </w:tc>
        <w:tc>
          <w:tcPr>
            <w:tcW w:w="30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99,943</w:t>
            </w:r>
          </w:p>
        </w:tc>
        <w:tc>
          <w:tcPr>
            <w:tcW w:w="30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30,937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48,987</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37,941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583,394</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36,534</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10,484</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6,048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20,984</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700-749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69,337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24,727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5,706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9,115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600-649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25,270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5,769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500-549</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314,541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103,048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29,016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39,137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540,979</w:t>
            </w:r>
          </w:p>
        </w:tc>
        <w:tc>
          <w:tcPr>
            <w:tcW w:w="0" w:type="dxa"/>
            <w:vAlign w:val="bottom"/>
          </w:tcPr>
          <w:p>
            <w:pPr>
              <w:spacing w:after="0"/>
              <w:rPr>
                <w:sz w:val="1"/>
                <w:szCs w:val="1"/>
                <w:color w:val="auto"/>
              </w:rPr>
            </w:pPr>
          </w:p>
        </w:tc>
      </w:tr>
      <w:tr>
        <w:trPr>
          <w:trHeight w:val="210"/>
        </w:trPr>
        <w:tc>
          <w:tcPr>
            <w:tcW w:w="3340" w:type="dxa"/>
            <w:vAlign w:val="bottom"/>
            <w:gridSpan w:val="2"/>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1,466</w:t>
            </w:r>
          </w:p>
        </w:tc>
        <w:tc>
          <w:tcPr>
            <w:tcW w:w="100" w:type="dxa"/>
            <w:vAlign w:val="bottom"/>
          </w:tcPr>
          <w:p>
            <w:pPr>
              <w:spacing w:after="0"/>
              <w:rPr>
                <w:sz w:val="18"/>
                <w:szCs w:val="18"/>
                <w:color w:val="auto"/>
              </w:rPr>
            </w:pPr>
          </w:p>
        </w:tc>
        <w:tc>
          <w:tcPr>
            <w:tcW w:w="30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450</w:t>
            </w:r>
          </w:p>
        </w:tc>
        <w:tc>
          <w:tcPr>
            <w:tcW w:w="30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226</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color w:val="auto"/>
              </w:rPr>
              <w:t>Installment(1)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Home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1"/>
              </w:rPr>
              <w:t>Home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Recreational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Vehicle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1st Lien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2nd Lien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Boat Lending</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Lending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March 31, 2017</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gridSpan w:val="5"/>
          </w:tcPr>
          <w:p>
            <w:pPr>
              <w:ind w:left="60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54,385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22,303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14,073</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7,506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8,905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2,198</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6,264</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11,868</w:t>
            </w:r>
          </w:p>
        </w:tc>
        <w:tc>
          <w:tcPr>
            <w:tcW w:w="100" w:type="dxa"/>
            <w:vAlign w:val="bottom"/>
          </w:tcPr>
          <w:p>
            <w:pPr>
              <w:spacing w:after="0"/>
              <w:rPr>
                <w:sz w:val="18"/>
                <w:szCs w:val="18"/>
                <w:color w:val="auto"/>
              </w:rPr>
            </w:pPr>
          </w:p>
        </w:tc>
        <w:tc>
          <w:tcPr>
            <w:tcW w:w="280" w:type="dxa"/>
            <w:vAlign w:val="bottom"/>
            <w:gridSpan w:val="2"/>
          </w:tcPr>
          <w:p>
            <w:pPr>
              <w:jc w:val="right"/>
              <w:ind w:right="5"/>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12,643</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108,043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78,768</w:t>
            </w:r>
          </w:p>
        </w:tc>
        <w:tc>
          <w:tcPr>
            <w:tcW w:w="3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63,682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275,004</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21,422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23,034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8,911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50,508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21,918</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20,045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13,183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8,913</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2,269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5,570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102,925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74,535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62,319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266,387</w:t>
            </w:r>
          </w:p>
        </w:tc>
        <w:tc>
          <w:tcPr>
            <w:tcW w:w="0" w:type="dxa"/>
            <w:vAlign w:val="bottom"/>
          </w:tcPr>
          <w:p>
            <w:pPr>
              <w:spacing w:after="0"/>
              <w:rPr>
                <w:sz w:val="1"/>
                <w:szCs w:val="1"/>
                <w:color w:val="auto"/>
              </w:rPr>
            </w:pPr>
          </w:p>
        </w:tc>
      </w:tr>
      <w:tr>
        <w:trPr>
          <w:trHeight w:val="210"/>
        </w:trPr>
        <w:tc>
          <w:tcPr>
            <w:tcW w:w="3340" w:type="dxa"/>
            <w:vAlign w:val="bottom"/>
            <w:gridSpan w:val="2"/>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80" w:type="dxa"/>
            <w:vAlign w:val="bottom"/>
            <w:gridSpan w:val="2"/>
          </w:tcPr>
          <w:p>
            <w:pPr>
              <w:jc w:val="right"/>
              <w:ind w:right="5"/>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59</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203</w:t>
            </w:r>
          </w:p>
        </w:tc>
        <w:tc>
          <w:tcPr>
            <w:tcW w:w="3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191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Foreclosed residential real estate properties included in other real estate and repossessed assets on our Condensed Consolidated Statements of Financial Condition totaled $2.2 million and $1.9 million at March 31, 2017 and December 31, 2016, respectively. Retail mortgage loans secured by residential real estate properties for which formal foreclosure proceedings are in process according to local requirements totaled $1.1 million and $1.0 million at March 31, 2017 and December 31, 2016,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23, 2017, our Board of Directors authorized a share repurchase plan (the “Repurchase Plan”) to buy back up to 5% of our outstanding common stock through December 31, 2017. We expect to accomplish the repurchases through open market transactions, though we could affect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The Repurchase Plan does not obligate us to acquire any particular amount of common stock, and it may be modified or suspended at any time at our discretion. We expect to fund any repurchases from cash on hand. We did not repurchase any shares of common stock during the three months ended March 31,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A reconciliation of basic and diluted net income per common share follows: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6"/>
          </w:tcPr>
          <w:p>
            <w:pPr>
              <w:ind w:left="4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4"/>
          </w:tcPr>
          <w:p>
            <w:pPr>
              <w:jc w:val="right"/>
              <w:ind w:right="30"/>
              <w:spacing w:after="0"/>
              <w:rPr>
                <w:sz w:val="20"/>
                <w:szCs w:val="20"/>
                <w:color w:val="auto"/>
              </w:rPr>
            </w:pPr>
            <w:r>
              <w:rPr>
                <w:rFonts w:ascii="Arial" w:cs="Arial" w:eastAsia="Arial" w:hAnsi="Arial"/>
                <w:sz w:val="18"/>
                <w:szCs w:val="18"/>
                <w:color w:val="auto"/>
              </w:rPr>
              <w:t>March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3000" w:type="dxa"/>
            <w:vAlign w:val="bottom"/>
            <w:gridSpan w:val="7"/>
          </w:tcPr>
          <w:p>
            <w:pPr>
              <w:spacing w:after="0"/>
              <w:rPr>
                <w:sz w:val="20"/>
                <w:szCs w:val="20"/>
                <w:color w:val="auto"/>
              </w:rPr>
            </w:pPr>
            <w:r>
              <w:rPr>
                <w:rFonts w:ascii="Arial" w:cs="Arial" w:eastAsia="Arial" w:hAnsi="Arial"/>
                <w:sz w:val="18"/>
                <w:szCs w:val="18"/>
                <w:color w:val="auto"/>
                <w:w w:val="89"/>
              </w:rPr>
              <w:t>(In thousands, except per share amounts)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21,308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Effect of stock options</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Performance share units</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Weighted average shares outstanding for calculation of diluted earnings per share</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21,639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22,062</w:t>
            </w:r>
          </w:p>
        </w:tc>
        <w:tc>
          <w:tcPr>
            <w:tcW w:w="0" w:type="dxa"/>
            <w:vAlign w:val="bottom"/>
          </w:tcPr>
          <w:p>
            <w:pPr>
              <w:spacing w:after="0"/>
              <w:rPr>
                <w:sz w:val="1"/>
                <w:szCs w:val="1"/>
                <w:color w:val="auto"/>
              </w:rPr>
            </w:pPr>
          </w:p>
        </w:tc>
      </w:tr>
      <w:tr>
        <w:trPr>
          <w:trHeight w:val="21"/>
        </w:trPr>
        <w:tc>
          <w:tcPr>
            <w:tcW w:w="84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(1)</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Basic net income per common share includes weighted average common shares outstanding during the period and participating share awards.</w:t>
      </w:r>
    </w:p>
    <w:p>
      <w:pPr>
        <w:spacing w:after="0" w:line="1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Weighted average stock options outstanding that were not included in weighted average shares outstanding for calculation of diluted earnings per share because they were anti-dilutive totaled zero and 0.03 million for the three-month periods ended March 31, 2017 and 2016, respectively.</w:t>
      </w:r>
    </w:p>
    <w:p>
      <w:pPr>
        <w:spacing w:after="0" w:line="14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derivative financial instruments according to the type of hedge in which they are designated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March 31, 2017</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Average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Maturity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7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40" w:type="dxa"/>
            <w:vAlign w:val="bottom"/>
            <w:vMerge w:val="restart"/>
          </w:tcPr>
          <w:p>
            <w:pPr>
              <w:spacing w:after="0"/>
              <w:rPr>
                <w:sz w:val="20"/>
                <w:szCs w:val="20"/>
                <w:color w:val="auto"/>
              </w:rPr>
            </w:pPr>
            <w:r>
              <w:rPr>
                <w:rFonts w:ascii="Arial" w:cs="Arial" w:eastAsia="Arial" w:hAnsi="Arial"/>
                <w:sz w:val="18"/>
                <w:szCs w:val="18"/>
                <w:color w:val="auto"/>
              </w:rPr>
              <w:t>No hedge designation</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color w:val="auto"/>
                <w:w w:val="91"/>
              </w:rPr>
              <w:t>(Dollars in thousands)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34,318</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68,023</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50,226</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color w:val="auto"/>
              </w:rPr>
              <w:t>Pay-variable interest rate swap agreements</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50,226</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3,119</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734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3,119</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57"/>
        </w:trPr>
        <w:tc>
          <w:tcPr>
            <w:tcW w:w="7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209,031</w:t>
            </w:r>
          </w:p>
        </w:tc>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7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December 31, 2016</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Average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Maturity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7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40" w:type="dxa"/>
            <w:vAlign w:val="bottom"/>
            <w:vMerge w:val="restart"/>
          </w:tcPr>
          <w:p>
            <w:pPr>
              <w:spacing w:after="0"/>
              <w:rPr>
                <w:sz w:val="20"/>
                <w:szCs w:val="20"/>
                <w:color w:val="auto"/>
              </w:rPr>
            </w:pPr>
            <w:r>
              <w:rPr>
                <w:rFonts w:ascii="Arial" w:cs="Arial" w:eastAsia="Arial" w:hAnsi="Arial"/>
                <w:sz w:val="18"/>
                <w:szCs w:val="18"/>
                <w:color w:val="auto"/>
              </w:rPr>
              <w:t>No hedge designation</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color w:val="auto"/>
                <w:w w:val="91"/>
              </w:rPr>
              <w:t>(Dollars in thousands)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26,658</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61,954</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46,121</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color w:val="auto"/>
              </w:rPr>
              <w:t>Pay-variable interest rate swap agreements</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46,121</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3,119</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734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3,119</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57"/>
        </w:trPr>
        <w:tc>
          <w:tcPr>
            <w:tcW w:w="7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187,092</w:t>
            </w:r>
          </w:p>
        </w:tc>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offer to our deposit customers an equity linked time deposit product (“Altitude CD”). The Altitude CD is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in the table above relate to this program.</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gridSpan w:val="3"/>
          </w:tcPr>
          <w:p>
            <w:pPr>
              <w:spacing w:after="0"/>
              <w:rPr>
                <w:sz w:val="20"/>
                <w:szCs w:val="20"/>
                <w:color w:val="auto"/>
              </w:rPr>
            </w:pPr>
            <w:r>
              <w:rPr>
                <w:rFonts w:ascii="Arial" w:cs="Arial" w:eastAsia="Arial" w:hAnsi="Arial"/>
                <w:sz w:val="18"/>
                <w:szCs w:val="18"/>
                <w:color w:val="auto"/>
                <w:w w:val="91"/>
              </w:rPr>
              <w:t>Fair Values of Derivative Instruments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710"/>
              <w:spacing w:after="0"/>
              <w:rPr>
                <w:sz w:val="20"/>
                <w:szCs w:val="20"/>
                <w:color w:val="auto"/>
              </w:rPr>
            </w:pPr>
            <w:r>
              <w:rPr>
                <w:rFonts w:ascii="Arial" w:cs="Arial" w:eastAsia="Arial" w:hAnsi="Arial"/>
                <w:sz w:val="18"/>
                <w:szCs w:val="18"/>
                <w:color w:val="auto"/>
              </w:rPr>
              <w:t>Asset Derivatives</w:t>
            </w: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705"/>
              <w:spacing w:after="0"/>
              <w:rPr>
                <w:sz w:val="20"/>
                <w:szCs w:val="20"/>
                <w:color w:val="auto"/>
              </w:rPr>
            </w:pPr>
            <w:r>
              <w:rPr>
                <w:rFonts w:ascii="Arial" w:cs="Arial" w:eastAsia="Arial" w:hAnsi="Arial"/>
                <w:sz w:val="18"/>
                <w:szCs w:val="18"/>
                <w:color w:val="auto"/>
              </w:rPr>
              <w:t>Liability Derivatives</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6"/>
          </w:tcPr>
          <w:p>
            <w:pPr>
              <w:ind w:left="740"/>
              <w:spacing w:after="0" w:line="201" w:lineRule="exact"/>
              <w:rPr>
                <w:sz w:val="20"/>
                <w:szCs w:val="20"/>
                <w:color w:val="auto"/>
              </w:rPr>
            </w:pPr>
            <w:r>
              <w:rPr>
                <w:rFonts w:ascii="Arial" w:cs="Arial" w:eastAsia="Arial" w:hAnsi="Arial"/>
                <w:sz w:val="18"/>
                <w:szCs w:val="18"/>
                <w:color w:val="auto"/>
              </w:rPr>
              <w:t>March 31,</w:t>
            </w:r>
          </w:p>
        </w:tc>
        <w:tc>
          <w:tcPr>
            <w:tcW w:w="2240" w:type="dxa"/>
            <w:vAlign w:val="bottom"/>
            <w:gridSpan w:val="4"/>
          </w:tcPr>
          <w:p>
            <w:pPr>
              <w:ind w:left="620"/>
              <w:spacing w:after="0" w:line="201" w:lineRule="exact"/>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March 31,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4"/>
          </w:tcPr>
          <w:p>
            <w:pPr>
              <w:jc w:val="right"/>
              <w:ind w:right="590"/>
              <w:spacing w:after="0" w:line="201"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7"/>
                <w:szCs w:val="17"/>
                <w:color w:val="auto"/>
              </w:rPr>
            </w:pPr>
          </w:p>
        </w:tc>
      </w:tr>
      <w:tr>
        <w:trPr>
          <w:trHeight w:val="237"/>
        </w:trPr>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3"/>
          </w:tcPr>
          <w:p>
            <w:pPr>
              <w:jc w:val="right"/>
              <w:ind w:right="5"/>
              <w:spacing w:after="0"/>
              <w:rPr>
                <w:sz w:val="20"/>
                <w:szCs w:val="20"/>
                <w:color w:val="auto"/>
              </w:rPr>
            </w:pPr>
            <w:r>
              <w:rPr>
                <w:rFonts w:ascii="Arial" w:cs="Arial" w:eastAsia="Arial" w:hAnsi="Arial"/>
                <w:sz w:val="18"/>
                <w:szCs w:val="18"/>
                <w:color w:val="auto"/>
                <w:w w:val="84"/>
              </w:rPr>
              <w:t>2017</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ind w:left="940"/>
              <w:spacing w:after="0"/>
              <w:rPr>
                <w:sz w:val="20"/>
                <w:szCs w:val="20"/>
                <w:color w:val="auto"/>
              </w:rPr>
            </w:pPr>
            <w:r>
              <w:rPr>
                <w:rFonts w:ascii="Arial" w:cs="Arial" w:eastAsia="Arial" w:hAnsi="Arial"/>
                <w:sz w:val="18"/>
                <w:szCs w:val="18"/>
                <w:color w:val="auto"/>
              </w:rPr>
              <w:t>2016</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4"/>
          </w:tcPr>
          <w:p>
            <w:pPr>
              <w:jc w:val="right"/>
              <w:ind w:right="145"/>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right"/>
              <w:ind w:right="25"/>
              <w:spacing w:after="0"/>
              <w:rPr>
                <w:sz w:val="20"/>
                <w:szCs w:val="20"/>
                <w:color w:val="auto"/>
              </w:rPr>
            </w:pPr>
            <w:r>
              <w:rPr>
                <w:rFonts w:ascii="Arial" w:cs="Arial" w:eastAsia="Arial" w:hAnsi="Arial"/>
                <w:sz w:val="18"/>
                <w:szCs w:val="18"/>
                <w:color w:val="auto"/>
              </w:rPr>
              <w:t>2016</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Balance</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gridSpan w:val="3"/>
          </w:tcPr>
          <w:p>
            <w:pPr>
              <w:jc w:val="center"/>
              <w:ind w:right="250"/>
              <w:spacing w:after="0" w:line="201" w:lineRule="exact"/>
              <w:rPr>
                <w:sz w:val="20"/>
                <w:szCs w:val="20"/>
                <w:color w:val="auto"/>
              </w:rPr>
            </w:pPr>
            <w:r>
              <w:rPr>
                <w:rFonts w:ascii="Arial" w:cs="Arial" w:eastAsia="Arial" w:hAnsi="Arial"/>
                <w:sz w:val="18"/>
                <w:szCs w:val="18"/>
                <w:color w:val="auto"/>
                <w:w w:val="89"/>
              </w:rPr>
              <w:t>Balance</w:t>
            </w: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Borders>
              <w:top w:val="single" w:sz="8" w:color="auto"/>
            </w:tcBorders>
            <w:gridSpan w:val="3"/>
          </w:tcPr>
          <w:p>
            <w:pPr>
              <w:jc w:val="center"/>
              <w:ind w:right="365"/>
              <w:spacing w:after="0" w:line="201" w:lineRule="exact"/>
              <w:rPr>
                <w:sz w:val="20"/>
                <w:szCs w:val="20"/>
                <w:color w:val="auto"/>
              </w:rPr>
            </w:pPr>
            <w:r>
              <w:rPr>
                <w:rFonts w:ascii="Arial" w:cs="Arial" w:eastAsia="Arial" w:hAnsi="Arial"/>
                <w:sz w:val="18"/>
                <w:szCs w:val="18"/>
                <w:color w:val="auto"/>
                <w:w w:val="89"/>
              </w:rPr>
              <w:t>Balance</w:t>
            </w: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gridSpan w:val="3"/>
          </w:tcPr>
          <w:p>
            <w:pPr>
              <w:jc w:val="center"/>
              <w:ind w:right="265"/>
              <w:spacing w:after="0" w:line="201" w:lineRule="exact"/>
              <w:rPr>
                <w:sz w:val="20"/>
                <w:szCs w:val="20"/>
                <w:color w:val="auto"/>
              </w:rPr>
            </w:pPr>
            <w:r>
              <w:rPr>
                <w:rFonts w:ascii="Arial" w:cs="Arial" w:eastAsia="Arial" w:hAnsi="Arial"/>
                <w:sz w:val="18"/>
                <w:szCs w:val="18"/>
                <w:color w:val="auto"/>
                <w:w w:val="89"/>
              </w:rPr>
              <w:t>Balance</w:t>
            </w: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84"/>
              </w:rPr>
              <w:t>Sheet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Fair</w:t>
            </w:r>
          </w:p>
        </w:tc>
        <w:tc>
          <w:tcPr>
            <w:tcW w:w="1400" w:type="dxa"/>
            <w:vAlign w:val="bottom"/>
            <w:gridSpan w:val="3"/>
          </w:tcPr>
          <w:p>
            <w:pPr>
              <w:jc w:val="center"/>
              <w:ind w:right="270"/>
              <w:spacing w:after="0"/>
              <w:rPr>
                <w:sz w:val="20"/>
                <w:szCs w:val="20"/>
                <w:color w:val="auto"/>
              </w:rPr>
            </w:pPr>
            <w:r>
              <w:rPr>
                <w:rFonts w:ascii="Arial" w:cs="Arial" w:eastAsia="Arial" w:hAnsi="Arial"/>
                <w:sz w:val="18"/>
                <w:szCs w:val="18"/>
                <w:color w:val="auto"/>
                <w:w w:val="84"/>
              </w:rPr>
              <w:t>Sheet</w:t>
            </w:r>
          </w:p>
        </w:tc>
        <w:tc>
          <w:tcPr>
            <w:tcW w:w="900" w:type="dxa"/>
            <w:vAlign w:val="bottom"/>
            <w:gridSpan w:val="2"/>
          </w:tcPr>
          <w:p>
            <w:pPr>
              <w:jc w:val="right"/>
              <w:ind w:right="370"/>
              <w:spacing w:after="0"/>
              <w:rPr>
                <w:sz w:val="20"/>
                <w:szCs w:val="20"/>
                <w:color w:val="auto"/>
              </w:rPr>
            </w:pPr>
            <w:r>
              <w:rPr>
                <w:rFonts w:ascii="Arial" w:cs="Arial" w:eastAsia="Arial" w:hAnsi="Arial"/>
                <w:sz w:val="18"/>
                <w:szCs w:val="18"/>
                <w:color w:val="auto"/>
              </w:rPr>
              <w:t>Fair</w:t>
            </w:r>
          </w:p>
        </w:tc>
        <w:tc>
          <w:tcPr>
            <w:tcW w:w="60" w:type="dxa"/>
            <w:vAlign w:val="bottom"/>
          </w:tcPr>
          <w:p>
            <w:pPr>
              <w:spacing w:after="0"/>
              <w:rPr>
                <w:sz w:val="18"/>
                <w:szCs w:val="18"/>
                <w:color w:val="auto"/>
              </w:rPr>
            </w:pPr>
          </w:p>
        </w:tc>
        <w:tc>
          <w:tcPr>
            <w:tcW w:w="1580" w:type="dxa"/>
            <w:vAlign w:val="bottom"/>
            <w:gridSpan w:val="3"/>
          </w:tcPr>
          <w:p>
            <w:pPr>
              <w:jc w:val="center"/>
              <w:ind w:right="385"/>
              <w:spacing w:after="0"/>
              <w:rPr>
                <w:sz w:val="20"/>
                <w:szCs w:val="20"/>
                <w:color w:val="auto"/>
              </w:rPr>
            </w:pPr>
            <w:r>
              <w:rPr>
                <w:rFonts w:ascii="Arial" w:cs="Arial" w:eastAsia="Arial" w:hAnsi="Arial"/>
                <w:sz w:val="18"/>
                <w:szCs w:val="18"/>
                <w:color w:val="auto"/>
                <w:w w:val="84"/>
              </w:rPr>
              <w:t>Sheet</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Fair</w:t>
            </w:r>
          </w:p>
        </w:tc>
        <w:tc>
          <w:tcPr>
            <w:tcW w:w="1480" w:type="dxa"/>
            <w:vAlign w:val="bottom"/>
            <w:gridSpan w:val="3"/>
          </w:tcPr>
          <w:p>
            <w:pPr>
              <w:jc w:val="center"/>
              <w:ind w:right="245"/>
              <w:spacing w:after="0"/>
              <w:rPr>
                <w:sz w:val="20"/>
                <w:szCs w:val="20"/>
                <w:color w:val="auto"/>
              </w:rPr>
            </w:pPr>
            <w:r>
              <w:rPr>
                <w:rFonts w:ascii="Arial" w:cs="Arial" w:eastAsia="Arial" w:hAnsi="Arial"/>
                <w:sz w:val="18"/>
                <w:szCs w:val="18"/>
                <w:color w:val="auto"/>
                <w:w w:val="84"/>
              </w:rPr>
              <w:t>Sheet</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Fair</w:t>
            </w:r>
          </w:p>
        </w:tc>
      </w:tr>
      <w:tr>
        <w:trPr>
          <w:trHeight w:val="237"/>
        </w:trPr>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3"/>
              </w:rPr>
              <w:t>Location</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Value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30"/>
        </w:trPr>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(In</w:t>
            </w:r>
          </w:p>
        </w:tc>
        <w:tc>
          <w:tcPr>
            <w:tcW w:w="126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1760" w:type="dxa"/>
            <w:vAlign w:val="bottom"/>
          </w:tcPr>
          <w:p>
            <w:pPr>
              <w:spacing w:after="0"/>
              <w:rPr>
                <w:sz w:val="20"/>
                <w:szCs w:val="20"/>
                <w:color w:val="auto"/>
              </w:rPr>
            </w:pPr>
            <w:r>
              <w:rPr>
                <w:rFonts w:ascii="Arial" w:cs="Arial" w:eastAsia="Arial" w:hAnsi="Arial"/>
                <w:sz w:val="18"/>
                <w:szCs w:val="18"/>
                <w:color w:val="auto"/>
              </w:rPr>
              <w:t>Derivatives not</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w w:val="86"/>
              </w:rPr>
              <w:t>designated as hedging</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instruments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Rate-lock mortgage</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loan commitments</w:t>
            </w: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Other assets</w:t>
            </w:r>
          </w:p>
        </w:tc>
        <w:tc>
          <w:tcPr>
            <w:tcW w:w="44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640" w:type="dxa"/>
            <w:vAlign w:val="bottom"/>
            <w:gridSpan w:val="4"/>
            <w:shd w:val="clear" w:color="auto" w:fill="CCEEFF"/>
          </w:tcPr>
          <w:p>
            <w:pPr>
              <w:jc w:val="right"/>
              <w:ind w:right="185"/>
              <w:spacing w:after="0"/>
              <w:rPr>
                <w:sz w:val="20"/>
                <w:szCs w:val="20"/>
                <w:color w:val="auto"/>
              </w:rPr>
            </w:pPr>
            <w:r>
              <w:rPr>
                <w:rFonts w:ascii="Arial" w:cs="Arial" w:eastAsia="Arial" w:hAnsi="Arial"/>
                <w:sz w:val="18"/>
                <w:szCs w:val="18"/>
                <w:color w:val="auto"/>
                <w:w w:val="98"/>
              </w:rPr>
              <w:t>Other liabilities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w w:val="95"/>
              </w:rPr>
              <w:t>Other liabilities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760" w:type="dxa"/>
            <w:vAlign w:val="bottom"/>
          </w:tcPr>
          <w:p>
            <w:pPr>
              <w:ind w:left="180"/>
              <w:spacing w:after="0" w:line="201" w:lineRule="exact"/>
              <w:rPr>
                <w:sz w:val="20"/>
                <w:szCs w:val="20"/>
                <w:color w:val="auto"/>
              </w:rPr>
            </w:pPr>
            <w:r>
              <w:rPr>
                <w:rFonts w:ascii="Arial" w:cs="Arial" w:eastAsia="Arial" w:hAnsi="Arial"/>
                <w:sz w:val="18"/>
                <w:szCs w:val="18"/>
                <w:color w:val="auto"/>
              </w:rPr>
              <w:t>Mandatory</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commitments to</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20" w:type="dxa"/>
            <w:vAlign w:val="bottom"/>
            <w:gridSpan w:val="3"/>
          </w:tcPr>
          <w:p>
            <w:pPr>
              <w:ind w:left="340"/>
              <w:spacing w:after="0"/>
              <w:rPr>
                <w:sz w:val="20"/>
                <w:szCs w:val="20"/>
                <w:color w:val="auto"/>
              </w:rPr>
            </w:pPr>
            <w:r>
              <w:rPr>
                <w:rFonts w:ascii="Arial" w:cs="Arial" w:eastAsia="Arial" w:hAnsi="Arial"/>
                <w:sz w:val="18"/>
                <w:szCs w:val="18"/>
                <w:color w:val="auto"/>
                <w:w w:val="89"/>
              </w:rPr>
              <w:t>sell mortgage loans Other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1640" w:type="dxa"/>
            <w:vAlign w:val="bottom"/>
            <w:gridSpan w:val="4"/>
          </w:tcPr>
          <w:p>
            <w:pPr>
              <w:jc w:val="center"/>
              <w:ind w:right="325"/>
              <w:spacing w:after="0"/>
              <w:rPr>
                <w:sz w:val="20"/>
                <w:szCs w:val="20"/>
                <w:color w:val="auto"/>
              </w:rPr>
            </w:pPr>
            <w:r>
              <w:rPr>
                <w:rFonts w:ascii="Arial" w:cs="Arial" w:eastAsia="Arial" w:hAnsi="Arial"/>
                <w:sz w:val="18"/>
                <w:szCs w:val="18"/>
                <w:color w:val="auto"/>
                <w:w w:val="94"/>
              </w:rPr>
              <w:t>Other liabilities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480" w:type="dxa"/>
            <w:vAlign w:val="bottom"/>
            <w:gridSpan w:val="3"/>
          </w:tcPr>
          <w:p>
            <w:pPr>
              <w:jc w:val="center"/>
              <w:ind w:right="265"/>
              <w:spacing w:after="0"/>
              <w:rPr>
                <w:sz w:val="20"/>
                <w:szCs w:val="20"/>
                <w:color w:val="auto"/>
              </w:rPr>
            </w:pPr>
            <w:r>
              <w:rPr>
                <w:rFonts w:ascii="Arial" w:cs="Arial" w:eastAsia="Arial" w:hAnsi="Arial"/>
                <w:sz w:val="18"/>
                <w:szCs w:val="18"/>
                <w:color w:val="auto"/>
                <w:w w:val="96"/>
              </w:rPr>
              <w:t>Other liabilities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Pay-fixed interest rate</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swap agreements</w:t>
            </w: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Other assets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40" w:type="dxa"/>
            <w:vAlign w:val="bottom"/>
            <w:gridSpan w:val="4"/>
            <w:shd w:val="clear" w:color="auto" w:fill="CCEEFF"/>
          </w:tcPr>
          <w:p>
            <w:pPr>
              <w:jc w:val="center"/>
              <w:ind w:right="325"/>
              <w:spacing w:after="0"/>
              <w:rPr>
                <w:sz w:val="20"/>
                <w:szCs w:val="20"/>
                <w:color w:val="auto"/>
              </w:rPr>
            </w:pPr>
            <w:r>
              <w:rPr>
                <w:rFonts w:ascii="Arial" w:cs="Arial" w:eastAsia="Arial" w:hAnsi="Arial"/>
                <w:sz w:val="18"/>
                <w:szCs w:val="18"/>
                <w:color w:val="auto"/>
                <w:w w:val="94"/>
              </w:rPr>
              <w:t>Other liabilities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1480" w:type="dxa"/>
            <w:vAlign w:val="bottom"/>
            <w:gridSpan w:val="3"/>
            <w:shd w:val="clear" w:color="auto" w:fill="CCEEFF"/>
          </w:tcPr>
          <w:p>
            <w:pPr>
              <w:jc w:val="center"/>
              <w:ind w:right="265"/>
              <w:spacing w:after="0"/>
              <w:rPr>
                <w:sz w:val="20"/>
                <w:szCs w:val="20"/>
                <w:color w:val="auto"/>
              </w:rPr>
            </w:pPr>
            <w:r>
              <w:rPr>
                <w:rFonts w:ascii="Arial" w:cs="Arial" w:eastAsia="Arial" w:hAnsi="Arial"/>
                <w:sz w:val="18"/>
                <w:szCs w:val="18"/>
                <w:color w:val="auto"/>
                <w:w w:val="96"/>
              </w:rPr>
              <w:t>Other liabilities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02"/>
        </w:trPr>
        <w:tc>
          <w:tcPr>
            <w:tcW w:w="1760" w:type="dxa"/>
            <w:vAlign w:val="bottom"/>
          </w:tcPr>
          <w:p>
            <w:pPr>
              <w:ind w:left="180"/>
              <w:spacing w:after="0" w:line="201" w:lineRule="exact"/>
              <w:rPr>
                <w:sz w:val="20"/>
                <w:szCs w:val="20"/>
                <w:color w:val="auto"/>
              </w:rPr>
            </w:pPr>
            <w:r>
              <w:rPr>
                <w:rFonts w:ascii="Arial" w:cs="Arial" w:eastAsia="Arial" w:hAnsi="Arial"/>
                <w:sz w:val="18"/>
                <w:szCs w:val="18"/>
                <w:color w:val="auto"/>
                <w:w w:val="95"/>
              </w:rPr>
              <w:t>Pay-variable interest</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rate swap</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agreements</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w w:val="90"/>
              </w:rPr>
              <w:t>Other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640" w:type="dxa"/>
            <w:vAlign w:val="bottom"/>
            <w:gridSpan w:val="4"/>
          </w:tcPr>
          <w:p>
            <w:pPr>
              <w:jc w:val="center"/>
              <w:ind w:right="325"/>
              <w:spacing w:after="0"/>
              <w:rPr>
                <w:sz w:val="20"/>
                <w:szCs w:val="20"/>
                <w:color w:val="auto"/>
              </w:rPr>
            </w:pPr>
            <w:r>
              <w:rPr>
                <w:rFonts w:ascii="Arial" w:cs="Arial" w:eastAsia="Arial" w:hAnsi="Arial"/>
                <w:sz w:val="18"/>
                <w:szCs w:val="18"/>
                <w:color w:val="auto"/>
                <w:w w:val="94"/>
              </w:rPr>
              <w:t>Other liabilities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480" w:type="dxa"/>
            <w:vAlign w:val="bottom"/>
            <w:gridSpan w:val="3"/>
          </w:tcPr>
          <w:p>
            <w:pPr>
              <w:jc w:val="center"/>
              <w:ind w:right="265"/>
              <w:spacing w:after="0"/>
              <w:rPr>
                <w:sz w:val="20"/>
                <w:szCs w:val="20"/>
                <w:color w:val="auto"/>
              </w:rPr>
            </w:pPr>
            <w:r>
              <w:rPr>
                <w:rFonts w:ascii="Arial" w:cs="Arial" w:eastAsia="Arial" w:hAnsi="Arial"/>
                <w:sz w:val="18"/>
                <w:szCs w:val="18"/>
                <w:color w:val="auto"/>
                <w:w w:val="96"/>
              </w:rPr>
              <w:t>Other liabilities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r>
      <w:tr>
        <w:trPr>
          <w:trHeight w:val="216"/>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Other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40" w:type="dxa"/>
            <w:vAlign w:val="bottom"/>
            <w:gridSpan w:val="4"/>
            <w:shd w:val="clear" w:color="auto" w:fill="CCEEFF"/>
          </w:tcPr>
          <w:p>
            <w:pPr>
              <w:jc w:val="center"/>
              <w:ind w:right="325"/>
              <w:spacing w:after="0"/>
              <w:rPr>
                <w:sz w:val="20"/>
                <w:szCs w:val="20"/>
                <w:color w:val="auto"/>
              </w:rPr>
            </w:pPr>
            <w:r>
              <w:rPr>
                <w:rFonts w:ascii="Arial" w:cs="Arial" w:eastAsia="Arial" w:hAnsi="Arial"/>
                <w:sz w:val="18"/>
                <w:szCs w:val="18"/>
                <w:color w:val="auto"/>
                <w:w w:val="94"/>
              </w:rPr>
              <w:t>Other liabilities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265"/>
              <w:spacing w:after="0"/>
              <w:rPr>
                <w:sz w:val="20"/>
                <w:szCs w:val="20"/>
                <w:color w:val="auto"/>
              </w:rPr>
            </w:pPr>
            <w:r>
              <w:rPr>
                <w:rFonts w:ascii="Arial" w:cs="Arial" w:eastAsia="Arial" w:hAnsi="Arial"/>
                <w:sz w:val="18"/>
                <w:szCs w:val="18"/>
                <w:color w:val="auto"/>
                <w:w w:val="96"/>
              </w:rPr>
              <w:t>Other liabilities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76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w w:val="90"/>
              </w:rPr>
              <w:t>Other assets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40" w:type="dxa"/>
            <w:vAlign w:val="bottom"/>
            <w:gridSpan w:val="4"/>
          </w:tcPr>
          <w:p>
            <w:pPr>
              <w:jc w:val="center"/>
              <w:ind w:right="325"/>
              <w:spacing w:after="0"/>
              <w:rPr>
                <w:sz w:val="20"/>
                <w:szCs w:val="20"/>
                <w:color w:val="auto"/>
              </w:rPr>
            </w:pPr>
            <w:r>
              <w:rPr>
                <w:rFonts w:ascii="Arial" w:cs="Arial" w:eastAsia="Arial" w:hAnsi="Arial"/>
                <w:sz w:val="18"/>
                <w:szCs w:val="18"/>
                <w:color w:val="auto"/>
                <w:w w:val="94"/>
              </w:rPr>
              <w:t>Other liabilities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1480" w:type="dxa"/>
            <w:vAlign w:val="bottom"/>
            <w:gridSpan w:val="3"/>
          </w:tcPr>
          <w:p>
            <w:pPr>
              <w:jc w:val="center"/>
              <w:ind w:right="265"/>
              <w:spacing w:after="0"/>
              <w:rPr>
                <w:sz w:val="20"/>
                <w:szCs w:val="20"/>
                <w:color w:val="auto"/>
              </w:rPr>
            </w:pPr>
            <w:r>
              <w:rPr>
                <w:rFonts w:ascii="Arial" w:cs="Arial" w:eastAsia="Arial" w:hAnsi="Arial"/>
                <w:sz w:val="18"/>
                <w:szCs w:val="18"/>
                <w:color w:val="auto"/>
                <w:w w:val="96"/>
              </w:rPr>
              <w:t>Other liabilities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r>
      <w:tr>
        <w:trPr>
          <w:trHeight w:val="257"/>
        </w:trPr>
        <w:tc>
          <w:tcPr>
            <w:tcW w:w="1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derivatives</w:t>
            </w:r>
          </w:p>
        </w:tc>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492"/>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financial instruments on the Condensed Consolidated Statements of Operations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Gain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Recognized in Income</w:t>
            </w:r>
          </w:p>
        </w:tc>
        <w:tc>
          <w:tcPr>
            <w:tcW w:w="0" w:type="dxa"/>
            <w:vAlign w:val="bottom"/>
          </w:tcPr>
          <w:p>
            <w:pPr>
              <w:spacing w:after="0"/>
              <w:rPr>
                <w:sz w:val="1"/>
                <w:szCs w:val="1"/>
                <w:color w:val="auto"/>
              </w:rPr>
            </w:pPr>
          </w:p>
        </w:tc>
      </w:tr>
      <w:tr>
        <w:trPr>
          <w:trHeight w:val="202"/>
        </w:trPr>
        <w:tc>
          <w:tcPr>
            <w:tcW w:w="35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3"/>
          </w:tcPr>
          <w:p>
            <w:pPr>
              <w:jc w:val="center"/>
              <w:ind w:left="430"/>
              <w:spacing w:after="0" w:line="201" w:lineRule="exact"/>
              <w:rPr>
                <w:sz w:val="20"/>
                <w:szCs w:val="20"/>
                <w:color w:val="auto"/>
              </w:rPr>
            </w:pPr>
            <w:r>
              <w:rPr>
                <w:rFonts w:ascii="Arial" w:cs="Arial" w:eastAsia="Arial" w:hAnsi="Arial"/>
                <w:sz w:val="18"/>
                <w:szCs w:val="18"/>
                <w:color w:val="auto"/>
                <w:w w:val="92"/>
              </w:rPr>
              <w:t>Three Month</w:t>
            </w: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Periods Ended</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2960" w:type="dxa"/>
            <w:vAlign w:val="bottom"/>
            <w:gridSpan w:val="2"/>
          </w:tcPr>
          <w:p>
            <w:pPr>
              <w:ind w:left="560"/>
              <w:spacing w:after="0"/>
              <w:rPr>
                <w:sz w:val="20"/>
                <w:szCs w:val="20"/>
                <w:color w:val="auto"/>
              </w:rPr>
            </w:pPr>
            <w:r>
              <w:rPr>
                <w:rFonts w:ascii="Arial" w:cs="Arial" w:eastAsia="Arial" w:hAnsi="Arial"/>
                <w:sz w:val="18"/>
                <w:szCs w:val="18"/>
                <w:color w:val="auto"/>
              </w:rPr>
              <w:t>Location of Gain (Loss)</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92"/>
              </w:rPr>
              <w:t>March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2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Recognized in Income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vMerge w:val="restart"/>
          </w:tcPr>
          <w:p>
            <w:pPr>
              <w:spacing w:after="0"/>
              <w:rPr>
                <w:sz w:val="20"/>
                <w:szCs w:val="20"/>
                <w:color w:val="auto"/>
              </w:rPr>
            </w:pPr>
            <w:r>
              <w:rPr>
                <w:rFonts w:ascii="Arial" w:cs="Arial" w:eastAsia="Arial" w:hAnsi="Arial"/>
                <w:sz w:val="18"/>
                <w:szCs w:val="18"/>
                <w:color w:val="auto"/>
              </w:rPr>
              <w:t>No hedge designation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3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60" w:type="dxa"/>
            <w:vAlign w:val="bottom"/>
            <w:vMerge w:val="continue"/>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371</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2"/>
        </w:trPr>
        <w:tc>
          <w:tcPr>
            <w:tcW w:w="3560" w:type="dxa"/>
            <w:vAlign w:val="bottom"/>
          </w:tcPr>
          <w:p>
            <w:pPr>
              <w:ind w:left="180"/>
              <w:spacing w:after="0" w:line="201" w:lineRule="exact"/>
              <w:rPr>
                <w:sz w:val="20"/>
                <w:szCs w:val="20"/>
                <w:color w:val="auto"/>
              </w:rPr>
            </w:pPr>
            <w:r>
              <w:rPr>
                <w:rFonts w:ascii="Arial" w:cs="Arial" w:eastAsia="Arial" w:hAnsi="Arial"/>
                <w:sz w:val="18"/>
                <w:szCs w:val="18"/>
                <w:color w:val="auto"/>
              </w:rPr>
              <w:t>Mandatory commitments to sell mortgage</w:t>
            </w: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loans</w:t>
            </w:r>
          </w:p>
        </w:tc>
        <w:tc>
          <w:tcPr>
            <w:tcW w:w="2960" w:type="dxa"/>
            <w:vAlign w:val="bottom"/>
            <w:gridSpan w:val="2"/>
          </w:tcPr>
          <w:p>
            <w:pPr>
              <w:spacing w:after="0"/>
              <w:rPr>
                <w:sz w:val="20"/>
                <w:szCs w:val="20"/>
                <w:color w:val="auto"/>
              </w:rPr>
            </w:pPr>
            <w:r>
              <w:rPr>
                <w:rFonts w:ascii="Arial" w:cs="Arial" w:eastAsia="Arial" w:hAnsi="Arial"/>
                <w:sz w:val="18"/>
                <w:szCs w:val="18"/>
                <w:color w:val="auto"/>
              </w:rPr>
              <w:t>Net gains on mortgage loans</w:t>
            </w:r>
          </w:p>
        </w:tc>
        <w:tc>
          <w:tcPr>
            <w:tcW w:w="240" w:type="dxa"/>
            <w:vAlign w:val="bottom"/>
          </w:tcPr>
          <w:p>
            <w:pPr>
              <w:spacing w:after="0"/>
              <w:rPr>
                <w:sz w:val="20"/>
                <w:szCs w:val="20"/>
                <w:color w:val="auto"/>
              </w:rPr>
            </w:pPr>
          </w:p>
        </w:tc>
        <w:tc>
          <w:tcPr>
            <w:tcW w:w="1100" w:type="dxa"/>
            <w:vAlign w:val="bottom"/>
            <w:gridSpan w:val="2"/>
          </w:tcPr>
          <w:p>
            <w:pPr>
              <w:jc w:val="right"/>
              <w:ind w:right="55"/>
              <w:spacing w:after="0"/>
              <w:rPr>
                <w:sz w:val="20"/>
                <w:szCs w:val="20"/>
                <w:color w:val="auto"/>
              </w:rPr>
            </w:pPr>
            <w:r>
              <w:rPr>
                <w:rFonts w:ascii="Arial" w:cs="Arial" w:eastAsia="Arial" w:hAnsi="Arial"/>
                <w:sz w:val="18"/>
                <w:szCs w:val="18"/>
                <w:color w:val="auto"/>
              </w:rPr>
              <w:t>(796)</w:t>
            </w:r>
          </w:p>
        </w:tc>
        <w:tc>
          <w:tcPr>
            <w:tcW w:w="4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110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w w:val="96"/>
              </w:rPr>
              <w:t>Pay-variable interest rate swap agreements</w:t>
            </w:r>
          </w:p>
        </w:tc>
        <w:tc>
          <w:tcPr>
            <w:tcW w:w="29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100" w:type="dxa"/>
            <w:vAlign w:val="bottom"/>
            <w:gridSpan w:val="2"/>
          </w:tcPr>
          <w:p>
            <w:pPr>
              <w:jc w:val="right"/>
              <w:ind w:right="55"/>
              <w:spacing w:after="0"/>
              <w:rPr>
                <w:sz w:val="20"/>
                <w:szCs w:val="20"/>
                <w:color w:val="auto"/>
              </w:rPr>
            </w:pPr>
            <w:r>
              <w:rPr>
                <w:rFonts w:ascii="Arial" w:cs="Arial" w:eastAsia="Arial" w:hAnsi="Arial"/>
                <w:sz w:val="18"/>
                <w:szCs w:val="18"/>
                <w:color w:val="auto"/>
              </w:rPr>
              <w:t>(110)</w:t>
            </w: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356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29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00" w:type="dxa"/>
            <w:vAlign w:val="bottom"/>
            <w:gridSpan w:val="2"/>
          </w:tcPr>
          <w:p>
            <w:pPr>
              <w:jc w:val="right"/>
              <w:ind w:right="55"/>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4"/>
          </w:tcPr>
          <w:p>
            <w:pPr>
              <w:spacing w:after="0"/>
              <w:rPr>
                <w:sz w:val="20"/>
                <w:szCs w:val="20"/>
                <w:color w:val="auto"/>
              </w:rPr>
            </w:pPr>
            <w:r>
              <w:rPr>
                <w:rFonts w:ascii="Arial" w:cs="Arial" w:eastAsia="Arial" w:hAnsi="Arial"/>
                <w:sz w:val="18"/>
                <w:szCs w:val="18"/>
                <w:color w:val="auto"/>
              </w:rPr>
              <w:t>7.  Intangible Assets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80" w:type="dxa"/>
            <w:vAlign w:val="bottom"/>
            <w:gridSpan w:val="4"/>
          </w:tcPr>
          <w:p>
            <w:pPr>
              <w:spacing w:after="0"/>
              <w:rPr>
                <w:sz w:val="20"/>
                <w:szCs w:val="20"/>
                <w:color w:val="auto"/>
              </w:rPr>
            </w:pPr>
            <w:r>
              <w:rPr>
                <w:rFonts w:ascii="Arial" w:cs="Arial" w:eastAsia="Arial" w:hAnsi="Arial"/>
                <w:sz w:val="18"/>
                <w:szCs w:val="18"/>
                <w:color w:val="auto"/>
              </w:rPr>
              <w:t>The following table summarizes intangible assets, net of amortization:</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March 31, 2017</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 2016</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680" w:type="dxa"/>
            <w:vAlign w:val="bottom"/>
            <w:gridSpan w:val="2"/>
          </w:tcPr>
          <w:p>
            <w:pPr>
              <w:spacing w:after="0"/>
              <w:rPr>
                <w:sz w:val="17"/>
                <w:szCs w:val="17"/>
                <w:color w:val="auto"/>
              </w:rPr>
            </w:pPr>
          </w:p>
        </w:tc>
        <w:tc>
          <w:tcPr>
            <w:tcW w:w="7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780" w:type="dxa"/>
            <w:vAlign w:val="bottom"/>
            <w:gridSpan w:val="2"/>
          </w:tcPr>
          <w:p>
            <w:pPr>
              <w:spacing w:after="0"/>
              <w:rPr>
                <w:sz w:val="17"/>
                <w:szCs w:val="17"/>
                <w:color w:val="auto"/>
              </w:rPr>
            </w:pPr>
          </w:p>
        </w:tc>
        <w:tc>
          <w:tcPr>
            <w:tcW w:w="5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6,118</w:t>
            </w:r>
          </w:p>
        </w:tc>
        <w:tc>
          <w:tcPr>
            <w:tcW w:w="6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4,273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6,118</w:t>
            </w:r>
          </w:p>
        </w:tc>
        <w:tc>
          <w:tcPr>
            <w:tcW w:w="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other intangibles has been estimated through 2022 in the following table.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ending December 31, 2017</w:t>
            </w:r>
          </w:p>
        </w:tc>
        <w:tc>
          <w:tcPr>
            <w:tcW w:w="6300" w:type="dxa"/>
            <w:vAlign w:val="bottom"/>
            <w:gridSpan w:val="2"/>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2018</w:t>
            </w:r>
          </w:p>
        </w:tc>
        <w:tc>
          <w:tcPr>
            <w:tcW w:w="5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2020</w:t>
            </w:r>
          </w:p>
        </w:tc>
        <w:tc>
          <w:tcPr>
            <w:tcW w:w="5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2022</w:t>
            </w:r>
          </w:p>
        </w:tc>
        <w:tc>
          <w:tcPr>
            <w:tcW w:w="59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9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900" w:type="dxa"/>
            <w:vAlign w:val="bottom"/>
          </w:tcPr>
          <w:p>
            <w:pPr>
              <w:jc w:val="right"/>
              <w:ind w:right="4319"/>
              <w:spacing w:after="0"/>
              <w:rPr>
                <w:sz w:val="20"/>
                <w:szCs w:val="20"/>
                <w:color w:val="auto"/>
              </w:rPr>
            </w:pPr>
            <w:r>
              <w:rPr>
                <w:rFonts w:ascii="Arial" w:cs="Arial" w:eastAsia="Arial" w:hAnsi="Arial"/>
                <w:sz w:val="14"/>
                <w:szCs w:val="14"/>
                <w:color w:val="auto"/>
              </w:rPr>
              <w:t>33</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59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Share Based Compensation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0.1 million shares of common stock as of March 31, 2017. The non-employee director stock purchase plan permits the issuance of additional share based payments for up to 0.2 million shares of common stock as of March 31, 2017. Share based awards and payments are measured at fair value at the date of grant and are expensed over the requisite service period. Common shares issued upon exercise of stock options come from currently authorized but unissued shares.</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 periods ended March 31, 2017 and 2016, pursuant to our long-term incentive plan, we granted 0.05 million and 0.07 million shares of restricted stock, respectively and 0.02 million and 0.03 million performance stock units (“PSU”), respectively to certain officers. The shares of restricted stock and PSUs cliff vest after a period of three years. The performance feature of the PSUs is based on a comparison of our total shareholder return over the three year period starting on the grant date to the total shareholder return over that period for a banking index of our peers.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0.002 million shares to directors during both three month periods ended March 31, 2017 and 2016 and expensed their value during those same periods.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expense recognized for grants pursuant to our long-term incentive plan was $0.4 million during each three month period ended March 31, 2017 and 2016. The corresponding tax benefit relating to this expense was $0.1 million for each period. Total expense recognized for non-employee director share based payments was $0.04 million and $0.03 million during the three months ended March 31, 2017 and 2016, respectively. The corresponding tax benefit relating to this expense was $0.01 million for each period.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2017, the total expected compensation cost related to non-vested restricted stock and PSUs not yet recognized was $3.2 million. The weighted-average period over which this amount will be recognized is 2.5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w w:val="96"/>
              </w:rPr>
              <w:t>A summary of outstanding stock option grants and related transactions follows: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Aggregated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Term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211,018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(15,992)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Outstanding at March 31, 2017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195,026</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 and expected to vest at March 31, 2017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195,026</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195,026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non-vested restricted stock and PSUs and related transactions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of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33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Granted</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68,473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3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3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2017</w:t>
            </w:r>
          </w:p>
        </w:tc>
        <w:tc>
          <w:tcPr>
            <w:tcW w:w="33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308,871</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40" w:type="dxa"/>
            <w:vAlign w:val="bottom"/>
            <w:gridSpan w:val="2"/>
          </w:tcPr>
          <w:p>
            <w:pPr>
              <w:spacing w:after="0"/>
              <w:rPr>
                <w:sz w:val="20"/>
                <w:szCs w:val="20"/>
                <w:color w:val="auto"/>
              </w:rPr>
            </w:pPr>
            <w:r>
              <w:rPr>
                <w:rFonts w:ascii="Arial" w:cs="Arial" w:eastAsia="Arial" w:hAnsi="Arial"/>
                <w:sz w:val="18"/>
                <w:szCs w:val="18"/>
                <w:color w:val="auto"/>
                <w:w w:val="93"/>
              </w:rPr>
              <w:t>Certain information regarding options exercised during the periods follows:</w:t>
            </w:r>
          </w:p>
        </w:tc>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340" w:type="dxa"/>
            <w:vAlign w:val="bottom"/>
            <w:gridSpan w:val="4"/>
          </w:tcPr>
          <w:p>
            <w:pPr>
              <w:jc w:val="right"/>
              <w:ind w:right="650"/>
              <w:spacing w:after="0"/>
              <w:rPr>
                <w:sz w:val="20"/>
                <w:szCs w:val="20"/>
                <w:color w:val="auto"/>
              </w:rPr>
            </w:pPr>
            <w:r>
              <w:rPr>
                <w:rFonts w:ascii="Arial" w:cs="Arial" w:eastAsia="Arial" w:hAnsi="Arial"/>
                <w:sz w:val="16"/>
                <w:szCs w:val="16"/>
                <w:color w:val="auto"/>
                <w:w w:val="73"/>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3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Cash proceeds received</w:t>
            </w:r>
          </w:p>
        </w:tc>
        <w:tc>
          <w:tcPr>
            <w:tcW w:w="3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33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300" w:type="dxa"/>
            <w:vAlign w:val="bottom"/>
          </w:tcPr>
          <w:p>
            <w:pPr>
              <w:jc w:val="right"/>
              <w:ind w:right="2976"/>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52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Income Tax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was $2.6 million and $2.0 million during the three months ended March 31, 2017 and 2016, respectively.</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March 31, 2017 and 2016, that the realization of substantially all of our deferred tax assets continues to be more likely than not.</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did maintain a valuation allowance against our deferred tax assets of approximately $1.1 million at both March 31, 2017 and December 31, 2016. This valuation allowance on our deferred tax assets primarily relates to state income taxes at Mepco. In this instance, we determined that the future realization of these particular deferred tax assets was not more likely than not. This conclusion was primarily based on the pending sale of Mepco’s payment plan business.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March 31, 2017 and December 31, 2016, we had approximately $0.8 million, of gross unrecognized tax benefits. We do not expect the total amount of unrecognized tax benefits to significantly increase or decrease during the balance of 2017.</w:t>
      </w:r>
    </w:p>
    <w:p>
      <w:pPr>
        <w:spacing w:after="0" w:line="19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March 31, 2017, the Bank had positive undivided profits of $11.2 million. We can request regulatory approval for a return of capital from the Bank to the parent company. During the first quarter of 2016 we requested regulatory approval for a return of capital from the Bank to the parent company of $18.0 million. This return of capital request was approved by our banking regulators on February 24, 2016 and the Bank returned this amount to the parent company on February 25, 2016. It is not our intent to have dividends paid in amounts that would reduce the capital of our Bank to levels below those which we consider prudent and in accordance with guidelines of regulatory authorities.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Under capital adequacy guidelines, we must meet specific capital requirements that involve quantitative measures as well as qualitative judgments by the regulators. The most recent regulatory filings as of March 31, 2017 and December 31, 2016, categorized our Bank as well capitalized.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 2013, the Federal Reserve approved a final rule that establishes an integrated regulatory capital framework (the “New Capital Rules”). The rule implements in the United States the Basel III regulatory capital reforms from the Basel Committee on Banking Supervision and certain changes required by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capital conservation buffer began to phase in on January 1, 2016 with 1.25% and 0.625% added to the minimum ratio for adequately capitalized institutions for 2017 and 2016, respectively and 0.625% will be added each subsequent year until fully phased in during 2019. This capital conservation buffer is not reflected in the table that follows.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 strict eligibility criteria for regulatory capital instruments. The New Capital Rules also change the methodology for calculating risk-weighted assets to enhance risk sensitivity.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actual capital amounts and ratios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6"/>
              </w:rPr>
              <w:t>Minimum for</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Minimum for</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Adequately Capitalized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8"/>
                <w:szCs w:val="18"/>
                <w:color w:val="auto"/>
                <w:w w:val="93"/>
              </w:rPr>
              <w:t>Well-Capitalized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Actual</w:t>
            </w:r>
          </w:p>
        </w:tc>
        <w:tc>
          <w:tcPr>
            <w:tcW w:w="8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5"/>
              </w:rPr>
              <w:t>Institutions</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Ratio</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Ratio</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0"/>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4"/>
          </w:tcPr>
          <w:p>
            <w:pPr>
              <w:jc w:val="center"/>
              <w:ind w:left="11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940" w:type="dxa"/>
            <w:vAlign w:val="bottom"/>
            <w:gridSpan w:val="2"/>
          </w:tcPr>
          <w:p>
            <w:pPr>
              <w:spacing w:after="0"/>
              <w:rPr>
                <w:sz w:val="20"/>
                <w:szCs w:val="20"/>
                <w:color w:val="auto"/>
              </w:rPr>
            </w:pPr>
            <w:r>
              <w:rPr>
                <w:rFonts w:ascii="Arial" w:cs="Arial" w:eastAsia="Arial" w:hAnsi="Arial"/>
                <w:sz w:val="18"/>
                <w:szCs w:val="18"/>
                <w:color w:val="auto"/>
              </w:rPr>
              <w:t>March 31, 2017</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148,484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273,822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14.77</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148,308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185,384</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9"/>
              </w:rPr>
              <w:t>Tier 1 capital to risk-weighted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111,363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253,024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13.65</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111,231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148,308</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83,522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253,024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13.65</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83,423</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120,500</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101,693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253,024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9.96</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101,609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127,011</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December 31, 2016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286,289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15.86%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144,413</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144,223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180,279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9"/>
              </w:rPr>
              <w:t>Tier 1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265,405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108,309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108,167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144,223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assets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238,996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13.24%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81,232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81,126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117,181</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265,405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101,112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101,019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126,274</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1780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The components of our regulatory capital are as follows: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Consolidated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700"/>
              <w:spacing w:after="0"/>
              <w:rPr>
                <w:sz w:val="20"/>
                <w:szCs w:val="20"/>
                <w:color w:val="auto"/>
              </w:rPr>
            </w:pPr>
            <w:r>
              <w:rPr>
                <w:rFonts w:ascii="Arial" w:cs="Arial" w:eastAsia="Arial" w:hAnsi="Arial"/>
                <w:sz w:val="18"/>
                <w:szCs w:val="18"/>
                <w:color w:val="auto"/>
              </w:rPr>
              <w:t>Independent Bank</w:t>
            </w:r>
          </w:p>
        </w:tc>
      </w:tr>
      <w:tr>
        <w:trPr>
          <w:trHeight w:val="202"/>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60"/>
              <w:spacing w:after="0" w:line="201" w:lineRule="exact"/>
              <w:rPr>
                <w:sz w:val="20"/>
                <w:szCs w:val="20"/>
                <w:color w:val="auto"/>
              </w:rPr>
            </w:pPr>
            <w:r>
              <w:rPr>
                <w:rFonts w:ascii="Arial" w:cs="Arial" w:eastAsia="Arial" w:hAnsi="Arial"/>
                <w:sz w:val="18"/>
                <w:szCs w:val="18"/>
                <w:color w:val="auto"/>
                <w:w w:val="97"/>
              </w:rPr>
              <w:t>March 31,</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w w:val="94"/>
              </w:rPr>
              <w:t>March 31,</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255,475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248,980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262,716</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258,814</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Add (deduct)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for regulatory purposes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w:t>
            </w: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(1,159)</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Disallowed deferred tax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(12,135)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(10,994)</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60" w:type="dxa"/>
            <w:vAlign w:val="bottom"/>
          </w:tcPr>
          <w:p>
            <w:pPr>
              <w:ind w:left="500"/>
              <w:spacing w:after="0"/>
              <w:rPr>
                <w:sz w:val="20"/>
                <w:szCs w:val="20"/>
                <w:color w:val="auto"/>
              </w:rPr>
            </w:pPr>
            <w:r>
              <w:rPr>
                <w:rFonts w:ascii="Arial" w:cs="Arial" w:eastAsia="Arial" w:hAnsi="Arial"/>
                <w:sz w:val="18"/>
                <w:szCs w:val="18"/>
                <w:color w:val="auto"/>
              </w:rPr>
              <w:t>Common equity tier 1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238,996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253,024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249,971</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trust preferred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ind w:left="340"/>
              <w:spacing w:after="0"/>
              <w:rPr>
                <w:sz w:val="20"/>
                <w:szCs w:val="20"/>
                <w:color w:val="auto"/>
              </w:rPr>
            </w:pPr>
            <w:r>
              <w:rPr>
                <w:rFonts w:ascii="Arial" w:cs="Arial" w:eastAsia="Arial" w:hAnsi="Arial"/>
                <w:sz w:val="18"/>
                <w:szCs w:val="18"/>
                <w:color w:val="auto"/>
              </w:rPr>
              <w:t>Disallowed deferred tax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(8,091)</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Tier 1 capital</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265,405</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249,971</w:t>
            </w:r>
          </w:p>
        </w:tc>
        <w:tc>
          <w:tcPr>
            <w:tcW w:w="100" w:type="dxa"/>
            <w:vAlign w:val="bottom"/>
            <w:shd w:val="clear" w:color="auto" w:fill="CCEEFF"/>
          </w:tcPr>
          <w:p>
            <w:pPr>
              <w:spacing w:after="0"/>
              <w:rPr>
                <w:sz w:val="18"/>
                <w:szCs w:val="18"/>
                <w:color w:val="auto"/>
              </w:rPr>
            </w:pPr>
          </w:p>
        </w:tc>
      </w:tr>
      <w:tr>
        <w:trPr>
          <w:trHeight w:val="202"/>
        </w:trPr>
        <w:tc>
          <w:tcPr>
            <w:tcW w:w="5960" w:type="dxa"/>
            <w:vAlign w:val="bottom"/>
          </w:tcPr>
          <w:p>
            <w:pPr>
              <w:ind w:left="340"/>
              <w:spacing w:after="0" w:line="201" w:lineRule="exact"/>
              <w:rPr>
                <w:sz w:val="20"/>
                <w:szCs w:val="20"/>
                <w:color w:val="auto"/>
              </w:rPr>
            </w:pPr>
            <w:r>
              <w:rPr>
                <w:rFonts w:ascii="Arial" w:cs="Arial" w:eastAsia="Arial" w:hAnsi="Arial"/>
                <w:sz w:val="18"/>
                <w:szCs w:val="18"/>
                <w:color w:val="auto"/>
                <w:w w:val="92"/>
              </w:rPr>
              <w:t>Allowance for loan losses and allowance for unfunded lending commitments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60" w:type="dxa"/>
            <w:vAlign w:val="bottom"/>
          </w:tcPr>
          <w:p>
            <w:pPr>
              <w:ind w:left="500"/>
              <w:spacing w:after="0"/>
              <w:rPr>
                <w:sz w:val="20"/>
                <w:szCs w:val="20"/>
                <w:color w:val="auto"/>
              </w:rPr>
            </w:pPr>
            <w:r>
              <w:rPr>
                <w:rFonts w:ascii="Arial" w:cs="Arial" w:eastAsia="Arial" w:hAnsi="Arial"/>
                <w:sz w:val="18"/>
                <w:szCs w:val="18"/>
                <w:color w:val="auto"/>
              </w:rPr>
              <w:t>limited to 1.25% of total risk-weighted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20,798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20,884</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20,798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20,884</w:t>
            </w:r>
          </w:p>
        </w:tc>
      </w:tr>
      <w:tr>
        <w:trPr>
          <w:trHeight w:val="25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risk-based capital</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291,505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286,289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273,822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270,855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Fair Value Disclosures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08"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Securities</w:t>
      </w:r>
      <w:r>
        <w:rPr>
          <w:rFonts w:ascii="Arial" w:cs="Arial" w:eastAsia="Arial" w:hAnsi="Arial"/>
          <w:sz w:val="16"/>
          <w:szCs w:val="16"/>
          <w:color w:val="auto"/>
        </w:rPr>
        <w:t>: Where quoted market prices are available in an active market, securities (trading or available for sale) are classified as Level 1 of the valuation hierarchy. Level 1 securities include certain preferred stocks included in our trading portfolio for which there are quoted prices in active markets.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Loans held for sale</w:t>
      </w:r>
      <w:r>
        <w:rPr>
          <w:rFonts w:ascii="Arial" w:cs="Arial" w:eastAsia="Arial" w:hAnsi="Arial"/>
          <w:sz w:val="16"/>
          <w:szCs w:val="16"/>
          <w:color w:val="auto"/>
        </w:rPr>
        <w:t>: The fair value of mortgage loans held for sale is based on mortgage backed security pricing for comparable assets (recurring Level 2).</w:t>
      </w: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Impaired loans with specific loss allocations based on collateral value</w:t>
      </w:r>
      <w:r>
        <w:rPr>
          <w:rFonts w:ascii="Arial" w:cs="Arial" w:eastAsia="Arial" w:hAnsi="Arial"/>
          <w:sz w:val="17"/>
          <w:szCs w:val="17"/>
          <w:color w:val="auto"/>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represent loans for which the fair value of the expected repayments or collateral exceed the recorded investments in such loans. At March 31, 2017 and December 31, 2016, all of our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Other real estate</w:t>
      </w:r>
      <w:r>
        <w:rPr>
          <w:rFonts w:ascii="Arial" w:cs="Arial" w:eastAsia="Arial" w:hAnsi="Arial"/>
          <w:sz w:val="17"/>
          <w:szCs w:val="17"/>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(for commercial properties over $0.25 million) or a member of our Collateral Evaluation Department (for commercial properties under $0.25 million) or a member of our Special Assets Group (for retail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retail properties we typically discount an appraisal to account for various factors that the appraisal excludes in its assumptions. These additional discounts generally do not result in material adjustments to the appraised value.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Capitalized mortgage loan servicing rights</w:t>
      </w:r>
      <w:r>
        <w:rPr>
          <w:rFonts w:ascii="Arial" w:cs="Arial" w:eastAsia="Arial" w:hAnsi="Arial"/>
          <w:sz w:val="17"/>
          <w:szCs w:val="17"/>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 Prior to January 1, 2017, capitalized mortgage loan servicing rights were accounted for using the amortization method accounting and were measured at fair value on a non-recurring basis. During the first quarter of 2017, we adopted the fair value method of accounting for our capitalized mortgage loan servicing rights (see note #2) and are now measured at fair value on a recurring basis.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The fair value of rate-lock mortgage loan commitments and mandatory commitments to sell mortgage loans is based on mortgage backed security pricing for comparable assets (recurring Level 2). The fair value of interest rate swap agreements is based on a discounted cash flow analysis whose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March 31, 2017:</w:t>
            </w:r>
          </w:p>
        </w:tc>
        <w:tc>
          <w:tcPr>
            <w:tcW w:w="8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60" w:type="dxa"/>
            <w:vAlign w:val="bottom"/>
            <w:tcBorders>
              <w:bottom w:val="single" w:sz="8" w:color="auto"/>
            </w:tcBorders>
            <w:gridSpan w:val="2"/>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6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Assets</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28,784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147,874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147,874</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12,195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28,840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28,840</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145,795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145,795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180,250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180,250</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60,967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2,653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Loans held for sale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37,613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37,613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mortgage loan servicing rights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Derivatives (1)</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2,145</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Derivatives (2)</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Measured at Fair Value on a Non-recurring basis: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Impaired loans (3)</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40"/>
              <w:spacing w:after="0"/>
              <w:rPr>
                <w:sz w:val="20"/>
                <w:szCs w:val="20"/>
                <w:color w:val="auto"/>
              </w:rPr>
            </w:pPr>
            <w:r>
              <w:rPr>
                <w:rFonts w:ascii="Arial" w:cs="Arial" w:eastAsia="Arial" w:hAnsi="Arial"/>
                <w:sz w:val="18"/>
                <w:szCs w:val="18"/>
                <w:color w:val="auto"/>
              </w:rPr>
              <w:t>Income producing - real estate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40"/>
              <w:spacing w:after="0"/>
              <w:rPr>
                <w:sz w:val="20"/>
                <w:szCs w:val="20"/>
                <w:color w:val="auto"/>
              </w:rPr>
            </w:pPr>
            <w:r>
              <w:rPr>
                <w:rFonts w:ascii="Arial" w:cs="Arial" w:eastAsia="Arial" w:hAnsi="Arial"/>
                <w:sz w:val="18"/>
                <w:szCs w:val="18"/>
                <w:color w:val="auto"/>
              </w:rPr>
              <w:t>Commercial and industrial</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Resort lending</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Other real estate (4)</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Commercial</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rPr>
              <w:t>Income producing - real estate (5)</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2,863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Land, land development &amp; construction-real estate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Mortgage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1-4 family</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640"/>
              <w:spacing w:after="0"/>
              <w:rPr>
                <w:sz w:val="20"/>
                <w:szCs w:val="20"/>
                <w:color w:val="auto"/>
              </w:rPr>
            </w:pPr>
            <w:r>
              <w:rPr>
                <w:rFonts w:ascii="Arial" w:cs="Arial" w:eastAsia="Arial" w:hAnsi="Arial"/>
                <w:sz w:val="18"/>
                <w:szCs w:val="18"/>
                <w:color w:val="auto"/>
              </w:rPr>
              <w:t>Resort lending</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valuation is based on a signed purchase agreement.</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9"/>
          </w:tcPr>
          <w:p>
            <w:pPr>
              <w:jc w:val="center"/>
              <w:ind w:right="26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90"/>
              <w:spacing w:after="0" w:line="201" w:lineRule="exact"/>
              <w:rPr>
                <w:sz w:val="20"/>
                <w:szCs w:val="20"/>
                <w:color w:val="auto"/>
              </w:rPr>
            </w:pPr>
            <w:r>
              <w:rPr>
                <w:rFonts w:ascii="Arial" w:cs="Arial" w:eastAsia="Arial" w:hAnsi="Arial"/>
                <w:sz w:val="18"/>
                <w:szCs w:val="18"/>
                <w:color w:val="auto"/>
                <w:w w:val="87"/>
              </w:rPr>
              <w:t>Quoted</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90"/>
              <w:spacing w:after="0"/>
              <w:rPr>
                <w:sz w:val="20"/>
                <w:szCs w:val="20"/>
                <w:color w:val="auto"/>
              </w:rPr>
            </w:pPr>
            <w:r>
              <w:rPr>
                <w:rFonts w:ascii="Arial" w:cs="Arial" w:eastAsia="Arial" w:hAnsi="Arial"/>
                <w:sz w:val="18"/>
                <w:szCs w:val="18"/>
                <w:color w:val="auto"/>
                <w:w w:val="87"/>
              </w:rPr>
              <w:t>Prices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7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90"/>
              <w:spacing w:after="0"/>
              <w:rPr>
                <w:sz w:val="20"/>
                <w:szCs w:val="20"/>
                <w:color w:val="auto"/>
              </w:rPr>
            </w:pPr>
            <w:r>
              <w:rPr>
                <w:rFonts w:ascii="Arial" w:cs="Arial" w:eastAsia="Arial" w:hAnsi="Arial"/>
                <w:sz w:val="18"/>
                <w:szCs w:val="18"/>
                <w:color w:val="auto"/>
                <w:w w:val="93"/>
              </w:rPr>
              <w:t>Markets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90"/>
              <w:spacing w:after="0"/>
              <w:rPr>
                <w:sz w:val="20"/>
                <w:szCs w:val="20"/>
                <w:color w:val="auto"/>
              </w:rPr>
            </w:pPr>
            <w:r>
              <w:rPr>
                <w:rFonts w:ascii="Arial" w:cs="Arial" w:eastAsia="Arial" w:hAnsi="Arial"/>
                <w:sz w:val="18"/>
                <w:szCs w:val="18"/>
                <w:color w:val="auto"/>
                <w:w w:val="94"/>
              </w:rPr>
              <w:t>for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90"/>
              <w:spacing w:after="0"/>
              <w:rPr>
                <w:sz w:val="20"/>
                <w:szCs w:val="20"/>
                <w:color w:val="auto"/>
              </w:rPr>
            </w:pPr>
            <w:r>
              <w:rPr>
                <w:rFonts w:ascii="Arial" w:cs="Arial" w:eastAsia="Arial" w:hAnsi="Arial"/>
                <w:sz w:val="18"/>
                <w:szCs w:val="18"/>
                <w:color w:val="auto"/>
                <w:w w:val="95"/>
              </w:rPr>
              <w:t>Identical</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Observable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90"/>
              <w:spacing w:after="0"/>
              <w:rPr>
                <w:sz w:val="20"/>
                <w:szCs w:val="20"/>
                <w:color w:val="auto"/>
              </w:rPr>
            </w:pPr>
            <w:r>
              <w:rPr>
                <w:rFonts w:ascii="Arial" w:cs="Arial" w:eastAsia="Arial" w:hAnsi="Arial"/>
                <w:sz w:val="18"/>
                <w:szCs w:val="18"/>
                <w:color w:val="auto"/>
                <w:w w:val="88"/>
              </w:rPr>
              <w:t>Assets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4"/>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2016:</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156,289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34,727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34,727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170,899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170,899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Loans held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35,946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35,946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Measured at Fair Value on a Non-recurring basis: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mortgage loan servicing rights (3)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Impaired loans (4)</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Income producing -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real estate (5)</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producing - real estate (6)</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Resort lending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includes servicing rights that are carried at fair value due to recognition of a valuation allowance.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valuation is based on a signed purchase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three months ended March 31, 2017 and 2016.</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values for financial assets which we have elected the fair value option for the periods presented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40" w:type="dxa"/>
            <w:vAlign w:val="bottom"/>
            <w:gridSpan w:val="10"/>
          </w:tcPr>
          <w:p>
            <w:pPr>
              <w:jc w:val="center"/>
              <w:ind w:right="420"/>
              <w:spacing w:after="0"/>
              <w:rPr>
                <w:sz w:val="20"/>
                <w:szCs w:val="20"/>
                <w:color w:val="auto"/>
              </w:rPr>
            </w:pPr>
            <w:r>
              <w:rPr>
                <w:rFonts w:ascii="Arial" w:cs="Arial" w:eastAsia="Arial" w:hAnsi="Arial"/>
                <w:sz w:val="18"/>
                <w:szCs w:val="18"/>
                <w:color w:val="auto"/>
                <w:w w:val="91"/>
              </w:rPr>
              <w:t>Changes in Fair Values for the Three-Month</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40" w:type="dxa"/>
            <w:vAlign w:val="bottom"/>
            <w:gridSpan w:val="10"/>
          </w:tcPr>
          <w:p>
            <w:pPr>
              <w:jc w:val="center"/>
              <w:ind w:right="420"/>
              <w:spacing w:after="0"/>
              <w:rPr>
                <w:sz w:val="20"/>
                <w:szCs w:val="20"/>
                <w:color w:val="auto"/>
              </w:rPr>
            </w:pPr>
            <w:r>
              <w:rPr>
                <w:rFonts w:ascii="Arial" w:cs="Arial" w:eastAsia="Arial" w:hAnsi="Arial"/>
                <w:sz w:val="18"/>
                <w:szCs w:val="18"/>
                <w:color w:val="auto"/>
                <w:w w:val="89"/>
              </w:rPr>
              <w:t>Periods Ended March 31 for Items Measured at</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12"/>
          </w:tcPr>
          <w:p>
            <w:pPr>
              <w:jc w:val="center"/>
              <w:ind w:right="100"/>
              <w:spacing w:after="0"/>
              <w:rPr>
                <w:sz w:val="20"/>
                <w:szCs w:val="20"/>
                <w:color w:val="auto"/>
              </w:rPr>
            </w:pPr>
            <w:r>
              <w:rPr>
                <w:rFonts w:ascii="Arial" w:cs="Arial" w:eastAsia="Arial" w:hAnsi="Arial"/>
                <w:sz w:val="18"/>
                <w:szCs w:val="18"/>
                <w:color w:val="auto"/>
                <w:w w:val="91"/>
              </w:rPr>
              <w:t>Fair Value Pursuant to Election of the Fair Value Option</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7"/>
                <w:szCs w:val="17"/>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Change</w:t>
            </w: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in Fair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in Fair</w:t>
            </w: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Values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Values</w:t>
            </w: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Included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Included</w:t>
            </w: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4"/>
          </w:tcPr>
          <w:p>
            <w:pPr>
              <w:jc w:val="center"/>
              <w:ind w:left="50"/>
              <w:spacing w:after="0"/>
              <w:rPr>
                <w:sz w:val="20"/>
                <w:szCs w:val="20"/>
                <w:color w:val="auto"/>
              </w:rPr>
            </w:pPr>
            <w:r>
              <w:rPr>
                <w:rFonts w:ascii="Arial" w:cs="Arial" w:eastAsia="Arial" w:hAnsi="Arial"/>
                <w:sz w:val="18"/>
                <w:szCs w:val="18"/>
                <w:color w:val="auto"/>
                <w:w w:val="89"/>
              </w:rPr>
              <w:t>Net Gains (Losses)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Mortgage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 Current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5"/>
          </w:tcPr>
          <w:p>
            <w:pPr>
              <w:jc w:val="center"/>
              <w:ind w:right="260"/>
              <w:spacing w:after="0"/>
              <w:rPr>
                <w:sz w:val="20"/>
                <w:szCs w:val="20"/>
                <w:color w:val="auto"/>
              </w:rPr>
            </w:pPr>
            <w:r>
              <w:rPr>
                <w:rFonts w:ascii="Arial" w:cs="Arial" w:eastAsia="Arial" w:hAnsi="Arial"/>
                <w:sz w:val="18"/>
                <w:szCs w:val="18"/>
                <w:color w:val="auto"/>
                <w:w w:val="89"/>
              </w:rPr>
              <w:t>Net Gains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 Current</w:t>
            </w:r>
          </w:p>
        </w:tc>
      </w:tr>
      <w:tr>
        <w:trPr>
          <w:trHeight w:val="237"/>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88"/>
              </w:rPr>
              <w:t>on Assets</w:t>
            </w:r>
          </w:p>
        </w:tc>
        <w:tc>
          <w:tcPr>
            <w:tcW w:w="3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Period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85"/>
              </w:rPr>
              <w:t>on Assets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Period</w:t>
            </w:r>
          </w:p>
        </w:tc>
      </w:tr>
      <w:tr>
        <w:trPr>
          <w:trHeight w:val="223"/>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Securities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Loans</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Servicing, net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Earnings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Securities</w:t>
            </w:r>
          </w:p>
        </w:tc>
        <w:tc>
          <w:tcPr>
            <w:tcW w:w="300" w:type="dxa"/>
            <w:vAlign w:val="bottom"/>
          </w:tcPr>
          <w:p>
            <w:pPr>
              <w:spacing w:after="0"/>
              <w:rPr>
                <w:sz w:val="19"/>
                <w:szCs w:val="19"/>
                <w:color w:val="auto"/>
              </w:rPr>
            </w:pPr>
          </w:p>
        </w:tc>
        <w:tc>
          <w:tcPr>
            <w:tcW w:w="840" w:type="dxa"/>
            <w:vAlign w:val="bottom"/>
          </w:tcPr>
          <w:p>
            <w:pPr>
              <w:jc w:val="center"/>
              <w:ind w:right="19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Earnings</w:t>
            </w: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(In 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mortgage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8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loan servicing rights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 impairment charges recognized during the three month periods ended March 31, 2017 and 2016 relating to assets measured at fair value on a non-recurring basis:</w:t>
      </w:r>
    </w:p>
    <w:p>
      <w:pPr>
        <w:spacing w:after="0" w:line="170" w:lineRule="exact"/>
        <w:rPr>
          <w:sz w:val="20"/>
          <w:szCs w:val="20"/>
          <w:color w:val="auto"/>
        </w:rPr>
      </w:pPr>
    </w:p>
    <w:p>
      <w:pPr>
        <w:jc w:val="both"/>
        <w:ind w:left="660" w:hanging="328"/>
        <w:spacing w:after="0" w:line="271"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Capitalized mortgage loan servicing rights, whose individual strata are measured at fair value, had a carrying amount of $8.2 million, which is net of a valuation allowance of $2.3 million, at December 31, 2016. An additional charge relating to capitalized mortgage loan servicing rights measured at fair value of $1.5 million was included in our results of operations for the three month period ending March 31, 2016.</w:t>
      </w: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Loans which are measured for impairment using the fair value of collateral for collateral dependent loans had a carrying amount of $2.6 million, with a valuation allowance of $0.7 million at March 31, 2017, and had a carrying amount of $4.0 million, with a valuation allowance of $2.0 million at December 31, 2016. The provision for loan losses included in our results of operations relating to impaired loans was an expense of $0.3 million and $0.6 million during the three month periods ended March 31, 2017 and 2016, respectively.</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real estate, which is measured using the fair value of the property, had a carrying amount of $3.2 million which is net of a valuation allowance of $0.7 million at March 31, 2017, and a carrying amount of $3.2 million, which is net of a valuation allowance of $0.8 million, at December 31, 2016. An additional charge relating to other real estate measured at fair value of $0.02 million and $0.17 million was included in our results of operations during the three month periods ended March 31, 2017 and 2016,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for all assets and (liabilities) measured at fair value on a recurring basis using significant unobservable inputs (Level 3) for the three months ended March 31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8"/>
                <w:szCs w:val="18"/>
                <w:color w:val="auto"/>
                <w:w w:val="92"/>
              </w:rPr>
              <w:t>Capitalized Mortgage Loan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8"/>
                <w:szCs w:val="18"/>
                <w:color w:val="auto"/>
                <w:w w:val="92"/>
              </w:rPr>
              <w:t>Servicing Rights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5"/>
          </w:tcPr>
          <w:p>
            <w:pPr>
              <w:jc w:val="center"/>
              <w:ind w:right="90"/>
              <w:spacing w:after="0" w:line="201" w:lineRule="exact"/>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center"/>
              <w:ind w:left="570"/>
              <w:spacing w:after="0"/>
              <w:rPr>
                <w:sz w:val="20"/>
                <w:szCs w:val="20"/>
                <w:color w:val="auto"/>
              </w:rPr>
            </w:pPr>
            <w:r>
              <w:rPr>
                <w:rFonts w:ascii="Arial" w:cs="Arial" w:eastAsia="Arial" w:hAnsi="Arial"/>
                <w:sz w:val="18"/>
                <w:szCs w:val="18"/>
                <w:color w:val="auto"/>
                <w:w w:val="92"/>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Change in accounting</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adjusted</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Total losses realized and 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Included in results of operations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issuances, settlements, maturities and calls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Amount of total losses for the period included in earnings attributable to the change in unrealized gains (losses) relating</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assets and liabilities still held at March 31</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above we changed the accounting for capitalized mortgage loan servicing rights during the first quarter of 2017 (see note #2) and are now measuring valuation on a recurring basis. 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and float rate. Significant changes in all four of these assumptions in isolation would result in significant changes to the value of our capitalized mortgage loan servicing rights. Quantitative information about our Level 3 fair value measurements measured on a recurring basis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Asset</w:t>
            </w:r>
          </w:p>
        </w:tc>
        <w:tc>
          <w:tcPr>
            <w:tcW w:w="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c>
          <w:tcPr>
            <w:tcW w:w="6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Valuation</w:t>
            </w:r>
          </w:p>
        </w:tc>
        <w:tc>
          <w:tcPr>
            <w:tcW w:w="120" w:type="dxa"/>
            <w:vAlign w:val="bottom"/>
          </w:tcPr>
          <w:p>
            <w:pPr>
              <w:spacing w:after="0"/>
              <w:rPr>
                <w:sz w:val="18"/>
                <w:szCs w:val="18"/>
                <w:color w:val="auto"/>
              </w:rPr>
            </w:pPr>
          </w:p>
        </w:tc>
        <w:tc>
          <w:tcPr>
            <w:tcW w:w="2860" w:type="dxa"/>
            <w:vAlign w:val="bottom"/>
          </w:tcPr>
          <w:p>
            <w:pPr>
              <w:ind w:left="920"/>
              <w:spacing w:after="0"/>
              <w:rPr>
                <w:sz w:val="20"/>
                <w:szCs w:val="20"/>
                <w:color w:val="auto"/>
              </w:rPr>
            </w:pPr>
            <w:r>
              <w:rPr>
                <w:rFonts w:ascii="Arial" w:cs="Arial" w:eastAsia="Arial" w:hAnsi="Arial"/>
                <w:sz w:val="18"/>
                <w:szCs w:val="18"/>
                <w:color w:val="auto"/>
              </w:rPr>
              <w:t>Unobservable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6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Technique</w:t>
            </w:r>
          </w:p>
        </w:tc>
        <w:tc>
          <w:tcPr>
            <w:tcW w:w="120" w:type="dxa"/>
            <w:vAlign w:val="bottom"/>
          </w:tcPr>
          <w:p>
            <w:pPr>
              <w:spacing w:after="0"/>
              <w:rPr>
                <w:sz w:val="20"/>
                <w:szCs w:val="20"/>
                <w:color w:val="auto"/>
              </w:rPr>
            </w:pPr>
          </w:p>
        </w:tc>
        <w:tc>
          <w:tcPr>
            <w:tcW w:w="2860" w:type="dxa"/>
            <w:vAlign w:val="bottom"/>
          </w:tcPr>
          <w:p>
            <w:pPr>
              <w:ind w:left="1200"/>
              <w:spacing w:after="0"/>
              <w:rPr>
                <w:sz w:val="20"/>
                <w:szCs w:val="20"/>
                <w:color w:val="auto"/>
              </w:rPr>
            </w:pPr>
            <w:r>
              <w:rPr>
                <w:rFonts w:ascii="Arial" w:cs="Arial" w:eastAsia="Arial" w:hAnsi="Arial"/>
                <w:sz w:val="18"/>
                <w:szCs w:val="18"/>
                <w:color w:val="auto"/>
              </w:rPr>
              <w:t>Inputs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30"/>
        </w:trPr>
        <w:tc>
          <w:tcPr>
            <w:tcW w:w="2960" w:type="dxa"/>
            <w:vAlign w:val="bottom"/>
            <w:vMerge w:val="restart"/>
          </w:tcPr>
          <w:p>
            <w:pPr>
              <w:spacing w:after="0"/>
              <w:rPr>
                <w:sz w:val="20"/>
                <w:szCs w:val="20"/>
                <w:color w:val="auto"/>
              </w:rPr>
            </w:pPr>
            <w:r>
              <w:rPr>
                <w:rFonts w:ascii="Arial" w:cs="Arial" w:eastAsia="Arial" w:hAnsi="Arial"/>
                <w:sz w:val="18"/>
                <w:szCs w:val="18"/>
                <w:color w:val="auto"/>
              </w:rPr>
              <w:t>March 31, 2017</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(In thousands)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Capitalized mortgage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servicing rights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14,727</w:t>
            </w:r>
          </w:p>
        </w:tc>
        <w:tc>
          <w:tcPr>
            <w:tcW w:w="2900" w:type="dxa"/>
            <w:vAlign w:val="bottom"/>
            <w:gridSpan w:val="2"/>
            <w:shd w:val="clear" w:color="auto" w:fill="CCEEFF"/>
          </w:tcPr>
          <w:p>
            <w:pPr>
              <w:jc w:val="center"/>
              <w:ind w:right="1270"/>
              <w:spacing w:after="0"/>
              <w:rPr>
                <w:sz w:val="20"/>
                <w:szCs w:val="20"/>
                <w:color w:val="auto"/>
              </w:rPr>
            </w:pPr>
            <w:r>
              <w:rPr>
                <w:rFonts w:ascii="Arial" w:cs="Arial" w:eastAsia="Arial" w:hAnsi="Arial"/>
                <w:sz w:val="18"/>
                <w:szCs w:val="18"/>
                <w:color w:val="auto"/>
                <w:w w:val="88"/>
              </w:rPr>
              <w:t>Present value of net</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40" w:type="dxa"/>
            <w:vAlign w:val="bottom"/>
          </w:tcPr>
          <w:p>
            <w:pPr>
              <w:jc w:val="center"/>
              <w:ind w:right="1310"/>
              <w:spacing w:after="0"/>
              <w:rPr>
                <w:sz w:val="20"/>
                <w:szCs w:val="20"/>
                <w:color w:val="auto"/>
              </w:rPr>
            </w:pPr>
            <w:r>
              <w:rPr>
                <w:rFonts w:ascii="Arial" w:cs="Arial" w:eastAsia="Arial" w:hAnsi="Arial"/>
                <w:sz w:val="18"/>
                <w:szCs w:val="18"/>
                <w:color w:val="auto"/>
                <w:w w:val="90"/>
              </w:rPr>
              <w:t>servicing revenue</w:t>
            </w:r>
          </w:p>
        </w:tc>
        <w:tc>
          <w:tcPr>
            <w:tcW w:w="1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Cost to service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Ancillary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Float rate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581"/>
        </w:trPr>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gridSpan w:val="2"/>
          </w:tcPr>
          <w:p>
            <w:pPr>
              <w:jc w:val="right"/>
              <w:ind w:right="117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Asset</w:t>
            </w: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Fair</w:t>
            </w:r>
          </w:p>
        </w:tc>
        <w:tc>
          <w:tcPr>
            <w:tcW w:w="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3"/>
              </w:rPr>
              <w:t>Valuation</w:t>
            </w:r>
          </w:p>
        </w:tc>
        <w:tc>
          <w:tcPr>
            <w:tcW w:w="1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Unobservable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Weighted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4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7"/>
              </w:rPr>
              <w:t>Technique</w:t>
            </w:r>
          </w:p>
        </w:tc>
        <w:tc>
          <w:tcPr>
            <w:tcW w:w="10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3"/>
              </w:rPr>
              <w:t>Inputs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02"/>
        </w:trPr>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March 31, 2017</w:t>
            </w:r>
          </w:p>
        </w:tc>
        <w:tc>
          <w:tcPr>
            <w:tcW w:w="114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8"/>
              </w:rPr>
              <w:t>(In thousands)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Impaired loans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6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320"/>
              <w:spacing w:after="0" w:line="201" w:lineRule="exact"/>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9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290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320"/>
              <w:spacing w:after="0" w:line="201" w:lineRule="exact"/>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9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290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w w:val="95"/>
              </w:rPr>
              <w:t>Capitalized mortgage loan servicing</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rights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8,163</w:t>
            </w:r>
          </w:p>
        </w:tc>
        <w:tc>
          <w:tcPr>
            <w:tcW w:w="60" w:type="dxa"/>
            <w:vAlign w:val="bottom"/>
          </w:tcPr>
          <w:p>
            <w:pPr>
              <w:spacing w:after="0"/>
              <w:rPr>
                <w:sz w:val="20"/>
                <w:szCs w:val="20"/>
                <w:color w:val="auto"/>
              </w:rPr>
            </w:pPr>
          </w:p>
        </w:tc>
        <w:tc>
          <w:tcPr>
            <w:tcW w:w="2900" w:type="dxa"/>
            <w:vAlign w:val="bottom"/>
            <w:gridSpan w:val="2"/>
          </w:tcPr>
          <w:p>
            <w:pPr>
              <w:ind w:left="40"/>
              <w:spacing w:after="0"/>
              <w:rPr>
                <w:sz w:val="20"/>
                <w:szCs w:val="20"/>
                <w:color w:val="auto"/>
              </w:rPr>
            </w:pPr>
            <w:r>
              <w:rPr>
                <w:rFonts w:ascii="Arial" w:cs="Arial" w:eastAsia="Arial" w:hAnsi="Arial"/>
                <w:sz w:val="18"/>
                <w:szCs w:val="18"/>
                <w:color w:val="auto"/>
                <w:w w:val="92"/>
              </w:rPr>
              <w:t>Present value of net servicing revenue</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to service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Ancillary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Float rate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Impaired loans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Commercial (1)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6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320"/>
              <w:spacing w:after="0" w:line="201" w:lineRule="exact"/>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9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c>
          <w:tcPr>
            <w:tcW w:w="290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320"/>
              <w:spacing w:after="0" w:line="201" w:lineRule="exact"/>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9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290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197485</wp:posOffset>
            </wp:positionV>
            <wp:extent cx="14147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398" w:lineRule="exact"/>
        <w:rPr>
          <w:sz w:val="20"/>
          <w:szCs w:val="20"/>
          <w:color w:val="auto"/>
        </w:rPr>
      </w:pPr>
    </w:p>
    <w:p>
      <w:pPr>
        <w:jc w:val="both"/>
        <w:ind w:left="340" w:hanging="332"/>
        <w:spacing w:after="0" w:line="279"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addition to the valuation techniques and unobservable inputs discussed above, at December 31, 2016, we had an impaired collateral dependent commercial relationship that totaled $0.2 million that was primarily secured by collateral other than real estate. Collateral securing this relationship primarily included machinery and equipment and inventory. Valuation techniques included appraisals and discounting restructuring firm valuations based on estimates of value recovery of each particular asset type. Discount rates used ranged from 0% to 100% of stated values.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Contractual</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Difference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0" w:type="dxa"/>
            <w:vAlign w:val="bottom"/>
          </w:tcPr>
          <w:p>
            <w:pPr>
              <w:spacing w:after="0"/>
              <w:rPr>
                <w:sz w:val="1"/>
                <w:szCs w:val="1"/>
                <w:color w:val="auto"/>
              </w:rPr>
            </w:pPr>
          </w:p>
        </w:tc>
      </w:tr>
      <w:tr>
        <w:trPr>
          <w:trHeight w:val="230"/>
        </w:trPr>
        <w:tc>
          <w:tcPr>
            <w:tcW w:w="362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38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vMerge w:val="continue"/>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2017</w:t>
            </w:r>
          </w:p>
        </w:tc>
        <w:tc>
          <w:tcPr>
            <w:tcW w:w="3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36,595</w:t>
            </w: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December 31, 2016</w:t>
            </w: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35,946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35,509</w:t>
            </w:r>
          </w:p>
        </w:tc>
        <w:tc>
          <w:tcPr>
            <w:tcW w:w="0" w:type="dxa"/>
            <w:vAlign w:val="bottom"/>
          </w:tcPr>
          <w:p>
            <w:pPr>
              <w:spacing w:after="0"/>
              <w:rPr>
                <w:sz w:val="1"/>
                <w:szCs w:val="1"/>
                <w:color w:val="auto"/>
              </w:rPr>
            </w:pPr>
          </w:p>
        </w:tc>
      </w:tr>
      <w:tr>
        <w:trPr>
          <w:trHeight w:val="568"/>
        </w:trPr>
        <w:tc>
          <w:tcPr>
            <w:tcW w:w="3620" w:type="dxa"/>
            <w:vAlign w:val="bottom"/>
          </w:tcPr>
          <w:p>
            <w:pPr>
              <w:spacing w:after="0"/>
              <w:rPr>
                <w:sz w:val="24"/>
                <w:szCs w:val="24"/>
                <w:color w:val="auto"/>
              </w:rPr>
            </w:pPr>
          </w:p>
        </w:tc>
        <w:tc>
          <w:tcPr>
            <w:tcW w:w="3820" w:type="dxa"/>
            <w:vAlign w:val="bottom"/>
          </w:tcPr>
          <w:p>
            <w:pPr>
              <w:jc w:val="right"/>
              <w:ind w:right="1579"/>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20" w:type="dxa"/>
            <w:vAlign w:val="bottom"/>
            <w:tcBorders>
              <w:bottom w:val="single" w:sz="8" w:color="auto"/>
            </w:tcBorders>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Fair Values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 Fair value methodologies discussed below do not necessarily represent an exit price in the determination of the fair value of these financial instruments.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due from banks and interest bearing deposits</w:t>
      </w:r>
      <w:r>
        <w:rPr>
          <w:rFonts w:ascii="Arial" w:cs="Arial" w:eastAsia="Arial" w:hAnsi="Arial"/>
          <w:sz w:val="18"/>
          <w:szCs w:val="18"/>
          <w:color w:val="auto"/>
        </w:rPr>
        <w:t>: The recorded book balance of cash and due from banks and interest bearing deposits approximate fair value and are classified as Level 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Interest bearing deposits - time</w:t>
      </w:r>
      <w:r>
        <w:rPr>
          <w:rFonts w:ascii="Arial" w:cs="Arial" w:eastAsia="Arial" w:hAnsi="Arial"/>
          <w:sz w:val="18"/>
          <w:szCs w:val="18"/>
          <w:color w:val="auto"/>
        </w:rPr>
        <w:t>: Interest bearing deposits - time have been valued based on a model using a benchmark yield curve plus a base spread and are classified as Level 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Financial instrument assets actively traded in a secondary market have been valued using quoted market prices. Trading securities are classified as Level 1 while securities available for sale are classified as Level 2 as described in note #11.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Federal Home Loan Bank and Federal Reserve Bank Stock</w:t>
      </w:r>
      <w:r>
        <w:rPr>
          <w:rFonts w:ascii="Arial" w:cs="Arial" w:eastAsia="Arial" w:hAnsi="Arial"/>
          <w:sz w:val="18"/>
          <w:szCs w:val="18"/>
          <w:color w:val="auto"/>
        </w:rPr>
        <w:t>: It is not practicable to determine the fair value of FHLB and FRB Stock due to restrictions placed on transferability.</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Net loans and loans held for sale</w:t>
      </w:r>
      <w:r>
        <w:rPr>
          <w:rFonts w:ascii="Arial" w:cs="Arial" w:eastAsia="Arial" w:hAnsi="Arial"/>
          <w:sz w:val="17"/>
          <w:szCs w:val="17"/>
          <w:color w:val="auto"/>
        </w:rPr>
        <w:t>: The fair value of loans is calculated by discounting estimated future cash flows using estimated market discount rates that reflect credit and interest-rate risk inherent in the loans and do not necessarily represent an exit price. Loans are classified as Level 3. Impaired loans are valued at the lower of cost or fair value as described in note #11. Loans held for sale are classified as Level 2 as described in note #11. Payment plan receivables held for sale are also classified as Level 2 based on a signed purchase agreement as described in note #15.</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Accrued interest receivable and payable</w:t>
      </w:r>
      <w:r>
        <w:rPr>
          <w:rFonts w:ascii="Arial" w:cs="Arial" w:eastAsia="Arial" w:hAnsi="Arial"/>
          <w:sz w:val="18"/>
          <w:szCs w:val="18"/>
          <w:color w:val="auto"/>
        </w:rPr>
        <w:t>: The recorded book balance of accrued interest receivable and payable approximate fair value and are classified at the same Level as the asset and liability they are associated with.</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Derivative financial instruments</w:t>
      </w:r>
      <w:r>
        <w:rPr>
          <w:rFonts w:ascii="Arial" w:cs="Arial" w:eastAsia="Arial" w:hAnsi="Arial"/>
          <w:sz w:val="18"/>
          <w:szCs w:val="18"/>
          <w:color w:val="auto"/>
        </w:rPr>
        <w:t>: The fair value of rate-lock mortgage loan commitments and mandatory commitments to sell mortgage loans is based on mortgage backed security pricing for comparable assets, the fair value of interest rate swap agreements is based on a discounted cash flow analysis whose significant fair value inputs can generally be observed in the market place and do not typically involve judgment by management and the fair value of purchased and written options is based on prices of financial instruments with similar characteristics and do not typically involve judgment by management. Each of these instruments has been classified as Level 2 as described in note #11.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Deposits</w:t>
      </w:r>
      <w:r>
        <w:rPr>
          <w:rFonts w:ascii="Arial" w:cs="Arial" w:eastAsia="Arial" w:hAnsi="Arial"/>
          <w:sz w:val="18"/>
          <w:szCs w:val="18"/>
          <w:color w:val="auto"/>
        </w:rPr>
        <w:t>: Deposits without a stated maturity, including demand deposits, savings, NOW and money market accounts, have a fair value equal to the amount payable on demand. Each of these instruments is classified as Level 1. Deposits with a stated maturity, such as time deposits have generally been valued based on the discounted value of contractual cash flows using a discount rate approximating current market rates for liabilities with a similar maturity resulting in a Level 2 classification.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Other borrowings</w:t>
      </w:r>
      <w:r>
        <w:rPr>
          <w:rFonts w:ascii="Arial" w:cs="Arial" w:eastAsia="Arial" w:hAnsi="Arial"/>
          <w:sz w:val="18"/>
          <w:szCs w:val="18"/>
          <w:color w:val="auto"/>
        </w:rPr>
        <w:t>: Other borrowings have been valued based on the discounted value of contractual cash flows using a discount rate approximating current market rates for liabilities with a similar maturity resulting in a Level 2 classification.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Subordinated debentures</w:t>
      </w:r>
      <w:r>
        <w:rPr>
          <w:rFonts w:ascii="Arial" w:cs="Arial" w:eastAsia="Arial" w:hAnsi="Arial"/>
          <w:sz w:val="18"/>
          <w:szCs w:val="18"/>
          <w:color w:val="auto"/>
        </w:rPr>
        <w:t>: Subordinated debentures have generally been valued based on a quoted market price of similar instruments resulting in a Level 2 classification.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3"/>
              </w:rPr>
              <w:t>The estimated recorded book balances and fair values follow:</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Fair Value Using</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color w:val="auto"/>
                <w:w w:val="91"/>
              </w:rPr>
              <w:t>Quoted</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25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color w:val="auto"/>
                <w:w w:val="90"/>
              </w:rPr>
              <w:t>Markets</w:t>
            </w:r>
          </w:p>
        </w:tc>
        <w:tc>
          <w:tcPr>
            <w:tcW w:w="24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color w:val="auto"/>
              </w:rPr>
              <w:t>for</w:t>
            </w:r>
          </w:p>
        </w:tc>
        <w:tc>
          <w:tcPr>
            <w:tcW w:w="24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color w:val="auto"/>
                <w:w w:val="92"/>
              </w:rPr>
              <w:t>Identical</w:t>
            </w:r>
          </w:p>
        </w:tc>
        <w:tc>
          <w:tcPr>
            <w:tcW w:w="24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Book</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color w:val="auto"/>
                <w:w w:val="85"/>
              </w:rPr>
              <w:t>Assets</w:t>
            </w:r>
          </w:p>
        </w:tc>
        <w:tc>
          <w:tcPr>
            <w:tcW w:w="24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Fair Value</w:t>
            </w:r>
          </w:p>
        </w:tc>
        <w:tc>
          <w:tcPr>
            <w:tcW w:w="260" w:type="dxa"/>
            <w:vAlign w:val="bottom"/>
          </w:tcPr>
          <w:p>
            <w:pPr>
              <w:spacing w:after="0"/>
              <w:rPr>
                <w:sz w:val="20"/>
                <w:szCs w:val="20"/>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color w:val="auto"/>
                <w:w w:val="97"/>
              </w:rPr>
              <w:t>(Level 2)</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March 31, 2017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29,866</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Interest bearing 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39,957</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39,957</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39,957</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 - time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Trading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608,964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608,964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608,964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Federal Home Loan Bank and Federal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Reserve Bank Stock</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Net loans and loans held for sale (1)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1,721,180</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1,689,457</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70,471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1,618,986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2,145</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2,145</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2,145</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no stated maturity (2)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1,786,095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1,786,095</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1,786,095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Deposits with stated maturity (2)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476,964</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474,892</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474,892</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borrowings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Subordinated debentures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35,569</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26,018</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26,018</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1,294</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1,294</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December 31, 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35,238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35,238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35,238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47,956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47,956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Interest bearing deposits - time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5,591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5,611</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5,611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610,616</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610,616</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610,616</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and Federal</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Reserve Bank 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15,543</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loans and loans held for sale (1)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1,655,335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1,629,587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67,321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7,316</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7,316</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2,364</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Deposits with no stated maturity (2)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1,740,601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1,740,601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1,740,601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stated maturity (2)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485,118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483,469</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483,469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Other borrowings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9,433</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10,371</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10,371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debentures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35,569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25,017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25,017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932</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hanging="332"/>
        <w:spacing w:after="0" w:line="25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loans and loans held for sale include $32.9 million and $31.4 million of payment plan receivables and commercial loans held for sale at March 31, 2017 and December 31, 2016, respectively.</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Deposits with no stated maturity include reciprocal deposits with a recorded book balance of $12.9 million and $7.4 million at March 31, 2017 and December 31, 2016, respectively. Deposits with a stated maturity include reciprocal deposits with a recorded book balance of $28.5 million and $31.3 million March 31, 2017 and December 31, 2016, respectively.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97"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Contingent Liabilities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2016, we reached a tentative settlement regarding litigation initiated against us in Wayne County, Michigan Circuit Court. The Court issued a preliminary approval of this settlement in the first quarter of 2017. This litigation concerned checking account transaction sequencing during a period from February 2009 to June 2011. Under the terms of the settlement, we have agreed to pay $2.2 million and are also responsible for class notification costs and certain other expenses which are estimated to total approximately $0.1 million (these amounts were accrued for and expensed in the fourth quarter of 2016). We expect the settlement payment to occur in the second half of 2017. Although, we deny any liability associated with this matter and believe we have meritorious defenses to the allegations in the complaint, given the costs and uncertainty of litigation, it was determined that this settlement was in the best interests of the organization.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involved in various other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Mepco conducts its payment plan business activities across the United States. Mepco acquires the payment plans from companies (which we refer to as Mepco’s “counterparties”) at a discount from the face amount of the payment plan. Each payment plan (which are classified as payment plan receivables in our Condensed Consolidated Statements of Financial Condition) permits a consumer to purchase a vehicle service contract by making installment payments, generally for a term of 12 to 30 months, to the sellers of those contracts (one of the “counterparties”). Mepco thereafter collects the payments from consumers. In acquiring the payment plan, Mepco generally funds a portion of the cost to the seller of the service contract and a portion of the cost to the administrator of the service contract. The administrator, in turn, pays the necessary contractual liability insurance policy (“CLIP”) premium to the insurer or risk retention group.</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Consumers are allowed to voluntarily cancel the service contract at any time and are generally entitled to receive a refund from the administrator of the unearned portion of the service contract at the time of cancellation. As a result, while Mepco does not owe any refund to the consumer, it also does not have any recourse against the consumer for nonpayment of a payment plan and therefore does not evaluate the creditworthiness of the individual consumer. If a consumer stops making payments on a payment plan or exercises the right to voluntarily cancel the service contract, the service contract seller and administrator are each obligated to refund to Mepco the amount necessary to make Mepco whole as a result of its funding of the service contract. In addition, the insurer or risk retention group that issued the CLIP for the service contract often guarantees all or a portion of the refund to Mepco.</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Upon the cancellation of a service contract and the completion of the billing process to the counterparties for amounts due to Mepco, there is a decrease in the amount of “payment plan receivables” and an increase in the amount of “vehicle service contract counterparty receivables” until such time as the amount due from the counterparty is collected. These amounts represent funds actually due to Mepco from its counterparties for cancelled service contracts. Mepco is currently in the process of working to recover these receivables, primarily through negotiated settlements with the counterparties. In some cases, Mepco requires collateral or guaranties by the principals of the counterparties to secure these refund obligations; however, this is generally only the case when no insurance company is involved to guarantee the repayment obligation of the seller and administrator counterparties. In most cases, there is no collateral to secure the counterparties’ refund obligations to Mepco, but Mepco has the contractual right to offset unpaid refund obligations against amounts Mepco would otherwise be obligated to fund to the counterparties. In addition, even when collateral is involved, the refund obligations of these counterparties are not fully secured. Mepco incurs losses when it is unable to fully recover funds owed to it by counterparties upon cancellation of the underlying service contracts. The sudden failure of one of Mepco’s major counterparties (an insurance company, administrator, or seller/dealer) could expose us to significant losses.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When counterparties do not honor their contractual obligations to Mepco to repay funds, we recognize estimated losses. Mepco pursues collection (including commencing legal action if necessary) of funds due to it under its various contracts with counterparties. Mepco has had to initiate litigation against certain counterparties, including third party insurers, to collect amounts owed to Mepco as a result of those parties' dispute of their contractual obligations to Mepco. During the first quarter of 2016, we settled our last significant remaining litigation matter with certain of Mepco’s counterparties. This settlement resulted in our receipt of a cash payment of $4.0 million on March 31, 2016. This settlement also resulted in our receipt of an interest-bearing promissory note from one of Mepco’s counterparties for $1.5 million with monthly payments scheduled over a five-year period beginning in May 2016. Due to the lack of any payment history and limited financial information on this counterparty, we established a full reserve on this promissory note as of March 31, 2016. A full reserve on the remaining balance ($1.25 million) on this note was maintained at March 31, 2017. Thus far, this counterparty has made all required monthly payments on the note. As a longer-term payment history is developed on this note, we will continue to evaluate the need for all or any part of a reserve. Vehicle service contract counterparty receivables, net totaled $2.2 million as of March 31, 2017 compared to $2.3 million as of December 31, 2016. Expense/(credit) related to vehicle service contract counterparty contingencies included in non-interest expense totaled $(0.10) million and $0.03 million for the three month periods ended March 31, 2017 and 2016, respectively. These (recoveries) charges are being classified in non-interest expense – other in the Condensed Consolidated Statements of Operations because they are associated with a default or potential default of a contractual obligation under our counterparty contracts as opposed to loss on the administration of the payment plan itself.</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estimate of probable incurred losses from vehicle service contract counterparty contingencies requires a significant amount of judgment because a number of factors can influence the amount of loss that we may ultimately incur. These factors include our estimate of future cancellations of vehicle service contracts, our evaluation of collateral that may be available to recover funds due from our counterparties, and our assessment of the amount that may ultimately be collected from counterparties in connection with their contractual obligations. We apply a rigorous process, based upon historical payment plan activity and past experience, to estimate probable incurred losses and quantify the necessary reserves for our vehicle service contract counterparty contingencies, but there can be no assurance that our modeling process will successfully identify all such losses.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assumptions regarding the collection of vehicle service contract counterparty receivables are reasonable, and we based them on our good faith judgments using data currently available. We also believe the current amount of reserves we have established and the vehicle service contract counterparty contingencies expense that we have recorded are appropriate given our estimate of probable incurred losses at the applicable Condensed Consolidated Statement of Financial Condition date. However, because of the uncertainty surrounding the numerous and complex assumptions made, actual losses could exceed the charges we have taken to date.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our pending sale of Mepco (see note #15), we agreed to contractually indemnify the purchaser from certain losses it may incur, including as a result of its failure to collect certain receivables it purchased as part of the business as well as breaches of representations and warranties we made in the sale agreement, subject to various limitations. We have not accrued any liability related to these indemnification requirements in our March 31, 2017 Condensed Consolidated Statement of Financial Condition because we believe the likelihood of having to pay any amount as a result of these indemnification obligations is remote. However, if the purchaser is unable to collect the receivables it purchased from Mepco or otherwise encounters difficulties in operating the business, it is possible it could make one or more claims against us pursuant to the sale agreement. In that event, we may incur expenses in defending any such claims and/or amounts paid to such purchaser to resolve such claims.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provision for loss reimbursement on sold loans represents our estimate of incurred losses related to mortgage loans that we have sold to investors (primarily Fannie Mae, Freddie Mac and Ginnie Mae). Since we sell mortgage loans without recourse, loss reimbursements only occur in those instances where we have breached a representation or warranty or other contractual requirement related to the loan sale. The provision for loss reimbursement on sold loans was an expense (credit) of $0.03 million and $(0.02) million for the three months ended March 31, 2017 and 2016, respectively. The small expense provision in the first quarter of 2017 is due primarily to the settlement of a loss reimbursement claim at a slightly higher amount than what had been specifically reserved for at the end of 2016. The small credit provision in the first quarter of 2016 is due primarily to the settlement of certain loss reimbursement claims at slightly lower amounts than what had been specifically reserved for at the end of 2015. The reserve for loss reimbursements on sold mortgage loans totaled $0.5 million and $0.6 million at March 31, 2017 and December 31, 2016, respectively. This reserve is included in accrued expenses and other liabilities in our Condensed Consolidated Statements of Financial Condition.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4"/>
          </w:tcPr>
          <w:p>
            <w:pPr>
              <w:spacing w:after="0"/>
              <w:rPr>
                <w:sz w:val="20"/>
                <w:szCs w:val="20"/>
                <w:color w:val="auto"/>
              </w:rPr>
            </w:pPr>
            <w:r>
              <w:rPr>
                <w:rFonts w:ascii="Arial" w:cs="Arial" w:eastAsia="Arial" w:hAnsi="Arial"/>
                <w:sz w:val="18"/>
                <w:szCs w:val="18"/>
                <w:color w:val="auto"/>
              </w:rPr>
              <w:t>14. Accumulated Other Comprehensive Loss (“AOCL”)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440" w:type="dxa"/>
            <w:vAlign w:val="bottom"/>
            <w:gridSpan w:val="4"/>
          </w:tcPr>
          <w:p>
            <w:pPr>
              <w:spacing w:after="0"/>
              <w:rPr>
                <w:sz w:val="20"/>
                <w:szCs w:val="20"/>
                <w:color w:val="auto"/>
              </w:rPr>
            </w:pPr>
            <w:r>
              <w:rPr>
                <w:rFonts w:ascii="Arial" w:cs="Arial" w:eastAsia="Arial" w:hAnsi="Arial"/>
                <w:sz w:val="18"/>
                <w:szCs w:val="18"/>
                <w:color w:val="auto"/>
              </w:rPr>
              <w:t>A summary of changes in AOCL follows: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Dispropor-</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tionate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Tax Effects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(Losses) on</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from</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Securities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Securities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Available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for Sale</w:t>
            </w: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for Sale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7440" w:type="dxa"/>
            <w:vAlign w:val="bottom"/>
            <w:gridSpan w:val="4"/>
            <w:vMerge w:val="restart"/>
          </w:tcPr>
          <w:p>
            <w:pPr>
              <w:spacing w:after="0"/>
              <w:rPr>
                <w:sz w:val="20"/>
                <w:szCs w:val="20"/>
                <w:color w:val="auto"/>
              </w:rPr>
            </w:pPr>
            <w:r>
              <w:rPr>
                <w:rFonts w:ascii="Arial" w:cs="Arial" w:eastAsia="Arial" w:hAnsi="Arial"/>
                <w:sz w:val="18"/>
                <w:szCs w:val="18"/>
                <w:color w:val="auto"/>
              </w:rPr>
              <w:t>For the three months ended March 31,</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4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jc w:val="right"/>
              <w:ind w:right="3490"/>
              <w:spacing w:after="0"/>
              <w:rPr>
                <w:sz w:val="20"/>
                <w:szCs w:val="20"/>
                <w:color w:val="auto"/>
              </w:rPr>
            </w:pPr>
            <w:r>
              <w:rPr>
                <w:rFonts w:ascii="Arial" w:cs="Arial" w:eastAsia="Arial" w:hAnsi="Arial"/>
                <w:sz w:val="18"/>
                <w:szCs w:val="18"/>
                <w:color w:val="auto"/>
              </w:rPr>
              <w:t>2017</w:t>
            </w: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beginning of period, as adjusted</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jc w:val="right"/>
              <w:ind w:right="3490"/>
              <w:spacing w:after="0"/>
              <w:rPr>
                <w:sz w:val="20"/>
                <w:szCs w:val="20"/>
                <w:color w:val="auto"/>
              </w:rPr>
            </w:pPr>
            <w:r>
              <w:rPr>
                <w:rFonts w:ascii="Arial" w:cs="Arial" w:eastAsia="Arial" w:hAnsi="Arial"/>
                <w:sz w:val="18"/>
                <w:szCs w:val="18"/>
                <w:color w:val="auto"/>
              </w:rPr>
              <w:t>2016</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adopted ASU 2017-08 during the first quarter of 2017 using a modified retrospective approach. As a result, accumulated other comprehensive loss as of January 1, 2017 was adjusted by $0.30 million (see note #2).</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AOCL for the three months ended March 31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From</w:t>
            </w:r>
          </w:p>
        </w:tc>
        <w:tc>
          <w:tcPr>
            <w:tcW w:w="1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Affected Line Item in Condensed</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AOCL</w:t>
            </w:r>
          </w:p>
        </w:tc>
        <w:tc>
          <w:tcPr>
            <w:tcW w:w="10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5040" w:type="dxa"/>
            <w:vAlign w:val="bottom"/>
            <w:vMerge w:val="restart"/>
          </w:tcPr>
          <w:p>
            <w:pPr>
              <w:jc w:val="right"/>
              <w:ind w:right="4590"/>
              <w:spacing w:after="0"/>
              <w:rPr>
                <w:sz w:val="20"/>
                <w:szCs w:val="20"/>
                <w:color w:val="auto"/>
              </w:rPr>
            </w:pPr>
            <w:r>
              <w:rPr>
                <w:rFonts w:ascii="Arial" w:cs="Arial" w:eastAsia="Arial" w:hAnsi="Arial"/>
                <w:sz w:val="18"/>
                <w:szCs w:val="18"/>
                <w:color w:val="auto"/>
                <w:w w:val="84"/>
              </w:rPr>
              <w:t>2017</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tcPr>
          <w:p>
            <w:pPr>
              <w:jc w:val="right"/>
              <w:ind w:right="1350"/>
              <w:spacing w:after="0"/>
              <w:rPr>
                <w:sz w:val="20"/>
                <w:szCs w:val="20"/>
                <w:color w:val="auto"/>
              </w:rPr>
            </w:pPr>
            <w:r>
              <w:rPr>
                <w:rFonts w:ascii="Arial" w:cs="Arial" w:eastAsia="Arial" w:hAnsi="Arial"/>
                <w:sz w:val="18"/>
                <w:szCs w:val="18"/>
                <w:color w:val="auto"/>
                <w:w w:val="94"/>
              </w:rPr>
              <w:t>Unrealized gains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40" w:hanging="886"/>
        <w:spacing w:after="0"/>
        <w:tabs>
          <w:tab w:leader="none" w:pos="6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106  Net gains on securities</w:t>
      </w:r>
    </w:p>
    <w:p>
      <w:pPr>
        <w:spacing w:after="0" w:line="9" w:lineRule="exact"/>
        <w:rPr>
          <w:rFonts w:ascii="Arial" w:cs="Arial" w:eastAsia="Arial" w:hAnsi="Arial"/>
          <w:sz w:val="18"/>
          <w:szCs w:val="18"/>
          <w:color w:val="auto"/>
        </w:rPr>
      </w:pPr>
    </w:p>
    <w:p>
      <w:pPr>
        <w:ind w:left="6460" w:hanging="218"/>
        <w:spacing w:after="0"/>
        <w:tabs>
          <w:tab w:leader="none" w:pos="6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40"/>
        <w:spacing w:after="0"/>
        <w:tabs>
          <w:tab w:leader="none" w:pos="64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4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120" w:hanging="966"/>
        <w:spacing w:after="0"/>
        <w:tabs>
          <w:tab w:leader="none" w:pos="6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69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securities available for sale</w:t>
      </w:r>
    </w:p>
    <w:p>
      <w:pPr>
        <w:spacing w:after="0" w:line="9" w:lineRule="exact"/>
        <w:rPr>
          <w:sz w:val="20"/>
          <w:szCs w:val="20"/>
          <w:color w:val="auto"/>
        </w:rPr>
      </w:pPr>
    </w:p>
    <w:p>
      <w:pPr>
        <w:ind w:left="6040" w:hanging="886"/>
        <w:spacing w:after="0"/>
        <w:tabs>
          <w:tab w:leader="none" w:pos="6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174  Net gains on securities</w:t>
      </w:r>
    </w:p>
    <w:p>
      <w:pPr>
        <w:spacing w:after="0" w:line="9" w:lineRule="exact"/>
        <w:rPr>
          <w:rFonts w:ascii="Arial" w:cs="Arial" w:eastAsia="Arial" w:hAnsi="Arial"/>
          <w:sz w:val="18"/>
          <w:szCs w:val="18"/>
          <w:color w:val="auto"/>
        </w:rPr>
      </w:pPr>
    </w:p>
    <w:p>
      <w:pPr>
        <w:ind w:left="6460" w:hanging="218"/>
        <w:spacing w:after="0"/>
        <w:tabs>
          <w:tab w:leader="none" w:pos="6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040"/>
        <w:spacing w:after="0"/>
        <w:tabs>
          <w:tab w:leader="none" w:pos="64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Total reclassifications before tax</w:t>
      </w:r>
    </w:p>
    <w:p>
      <w:pPr>
        <w:spacing w:after="0" w:line="23" w:lineRule="exact"/>
        <w:rPr>
          <w:sz w:val="20"/>
          <w:szCs w:val="20"/>
          <w:color w:val="auto"/>
        </w:rPr>
      </w:pPr>
    </w:p>
    <w:p>
      <w:pPr>
        <w:ind w:left="6120"/>
        <w:spacing w:after="0"/>
        <w:tabs>
          <w:tab w:leader="none" w:pos="6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040" w:hanging="886"/>
        <w:spacing w:after="0"/>
        <w:tabs>
          <w:tab w:leader="none" w:pos="6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112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40640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Payment Plan Receivables and Other Assets Held for Sale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30, 2016 Mepco executed an Asset Purchase Agreement (the “APA”) with Seabury Asset Management LLC (“Seabury”). Pursuant to the terms of the APA, Mepco is selling its payment plan processing business, payment plan receivables ($32.3 million and $30.6 million at March 31, 2017 and December 31, 2016, respectively), commercial loans ($0.6 million and $0.8 million at March 31, 2017 and December 31, 2016, respectively) and certain other assets ($1.9 million and $2.0 million at March 31, 2017 and December 31, 2016, respectively) to Seabury, who also is assuming certain liabilities ($1.4 million and $0.7 million at March 31, 2017 and December 31, 2016, respectively) of Mepco. These assets and liabilities are categorized as “held for sale” in our March 31, 2017 and December 31, 2016 Condensed Consolidated Statements of Financial Condition. This transaction is expected to close during the second quarter of 2017. These assets and corresponding liabilities held for sale are carried at the lower of cost or fair value on an aggregate basis. Fair value adjustments, if any, are recorded in current earnings.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OF </w:t>
      </w:r>
      <w:r>
        <w:rPr>
          <w:rFonts w:ascii="Arial" w:cs="Arial" w:eastAsia="Arial" w:hAnsi="Arial"/>
          <w:sz w:val="18"/>
          <w:szCs w:val="18"/>
          <w:b w:val="1"/>
          <w:bCs w:val="1"/>
          <w:color w:val="auto"/>
        </w:rPr>
        <w:t>F</w:t>
      </w:r>
      <w:r>
        <w:rPr>
          <w:rFonts w:ascii="Arial" w:cs="Arial" w:eastAsia="Arial" w:hAnsi="Arial"/>
          <w:sz w:val="12"/>
          <w:szCs w:val="12"/>
          <w:b w:val="1"/>
          <w:bCs w:val="1"/>
          <w:color w:val="auto"/>
        </w:rPr>
        <w:t xml:space="preserve">INANCIAL </w:t>
      </w:r>
      <w:r>
        <w:rPr>
          <w:rFonts w:ascii="Arial" w:cs="Arial" w:eastAsia="Arial" w:hAnsi="Arial"/>
          <w:sz w:val="18"/>
          <w:szCs w:val="18"/>
          <w:b w:val="1"/>
          <w:bCs w:val="1"/>
          <w:color w:val="auto"/>
        </w:rPr>
        <w:t>C</w:t>
      </w:r>
      <w:r>
        <w:rPr>
          <w:rFonts w:ascii="Arial" w:cs="Arial" w:eastAsia="Arial" w:hAnsi="Arial"/>
          <w:sz w:val="12"/>
          <w:szCs w:val="12"/>
          <w:b w:val="1"/>
          <w:bCs w:val="1"/>
          <w:color w:val="auto"/>
        </w:rPr>
        <w:t xml:space="preserve">ONDITION AND </w:t>
      </w:r>
      <w:r>
        <w:rPr>
          <w:rFonts w:ascii="Arial" w:cs="Arial" w:eastAsia="Arial" w:hAnsi="Arial"/>
          <w:sz w:val="18"/>
          <w:szCs w:val="18"/>
          <w:b w:val="1"/>
          <w:bCs w:val="1"/>
          <w:color w:val="auto"/>
        </w:rPr>
        <w:t>R</w:t>
      </w:r>
      <w:r>
        <w:rPr>
          <w:rFonts w:ascii="Arial" w:cs="Arial" w:eastAsia="Arial" w:hAnsi="Arial"/>
          <w:sz w:val="12"/>
          <w:szCs w:val="12"/>
          <w:b w:val="1"/>
          <w:bCs w:val="1"/>
          <w:color w:val="auto"/>
        </w:rPr>
        <w:t xml:space="preserve">ESULTS OF </w:t>
      </w:r>
      <w:r>
        <w:rPr>
          <w:rFonts w:ascii="Arial" w:cs="Arial" w:eastAsia="Arial" w:hAnsi="Arial"/>
          <w:sz w:val="18"/>
          <w:szCs w:val="18"/>
          <w:b w:val="1"/>
          <w:bCs w:val="1"/>
          <w:color w:val="auto"/>
        </w:rPr>
        <w:t>O</w:t>
      </w:r>
      <w:r>
        <w:rPr>
          <w:rFonts w:ascii="Arial" w:cs="Arial" w:eastAsia="Arial" w:hAnsi="Arial"/>
          <w:sz w:val="12"/>
          <w:szCs w:val="12"/>
          <w:b w:val="1"/>
          <w:bCs w:val="1"/>
          <w:color w:val="auto"/>
        </w:rPr>
        <w:t>PERATIONS</w:t>
      </w:r>
    </w:p>
    <w:p>
      <w:pPr>
        <w:spacing w:after="0" w:line="23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Introduction</w:t>
      </w:r>
      <w:r>
        <w:rPr>
          <w:rFonts w:ascii="Arial" w:cs="Arial" w:eastAsia="Arial" w:hAnsi="Arial"/>
          <w:sz w:val="16"/>
          <w:szCs w:val="16"/>
          <w:color w:val="auto"/>
        </w:rPr>
        <w:t>. The following section presents additional information to assess the financial condition and results of operations of Independent Bank</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its wholly-owned bank, Independent Bank (the "Bank"), and their subsidiaries. This section should be read in conjunction with the Condensed Consolidated Financial Statements. We also encourage you to read our 2016 Annual Report on Form 10-K filed with the U.S. Securities and Exchange Commission ("SEC"). That report includes a list of risk factors that you should consider in connection with any decision to buy or sell our securities.</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Overview</w:t>
      </w:r>
      <w:r>
        <w:rPr>
          <w:rFonts w:ascii="Arial" w:cs="Arial" w:eastAsia="Arial" w:hAnsi="Arial"/>
          <w:sz w:val="16"/>
          <w:szCs w:val="16"/>
          <w:color w:val="auto"/>
        </w:rPr>
        <w:t>. We provide banking services to customers located primarily in Michigan’s Lower Peninsula. As a result, our success depends to a great extent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economic conditions in Michigan’s Lower Peninsula. At times, we have experienced a difficult economy in Michigan. Economic conditions in Michigan began to show signs of improvement during 2010. Generally, these improvements have continued into 2017, albeit at an uneven pace. There has been an overall decline in the unemployment rate as well as generally improving housing prices and other related statistics (such as home sales and new building permits). In addition, since early- to mid-2009, we have seen an improvement in our asset quality metrics. In particular, since early 2012, we have generally experienced a decline in non-performing assets, reduced levels of new loan defaults, and reduced levels of loan net charge-offs.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Recent Developments</w:t>
      </w:r>
      <w:r>
        <w:rPr>
          <w:rFonts w:ascii="Arial" w:cs="Arial" w:eastAsia="Arial" w:hAnsi="Arial"/>
          <w:sz w:val="18"/>
          <w:szCs w:val="18"/>
          <w:color w:val="auto"/>
        </w:rPr>
        <w:t>. Effective on January 1, 2017, we adopted the fair value accounting method for capitalized mortgage loan servicing rights. The</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of this accounting method resulted in the following changes to the January 1, 2017 beginning balances: an increase in capitalized mortgage loan servicing rights of $0.54 million; a decrease in deferred income taxes of $0.19 million and a decrease in our accumulated deficit of $0.35 million. See note 2 to the Condensed Consolidated Financial Statements.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30, 2016, the Bank and its wholly-owned subsidiary, Mepco Finance Corporation (“Mepco”), entered into an Asset Purchase Agreement (“APA”) with Seabury Asset Management LLC (“Seabury”). Pursuant to the terms of the APA, we are selling our payment plan processing business, payment plan receivables, and certain other assets to Seabury, who also is assuming certain liabilities of Mepco. These assets and liabilities are categorized as “held for sale” in the March 31, 2017 and December 31, 2016 Condensed Consolidated Statements of Financial Condition. We also recorded a $0.32 million loss related to the sale of these assets in the fourth quarter of 2016. This transaction is expected to close on May 5, 2017. In the first quarter of 2017, Mepco recorded $1.0 million of interest income (compared to $1.1 million in 2016), $0.9 million of net interest income (compared to $0.9 million in 2016), $0.7 million of non-interest expense (compared to $1.3 million in 2016), income before income taxes of $0.21 million (compared to a loss before income taxes of $0.36 million in 2016) and net income of $0.14 million (compared to a net loss of $0.24 million in 2016). We do not believe that the sale of the Mepco assets will have a significant impact on our overall financial condition or results of operations.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fourth quarter of 2016, we reached a tentative settlement regarding litigation initiated against the Bank in Wayne County, Michigan Circuit Court. The Court issued a preliminary approval of this settlement in the first quarter of 2017. This litigation concerned the Bank’s checking account transaction sequencing during a period from February 2009 to June 2011. Under the terms of the settlement, we have agreed to pay $2.2 million and we are also responsible for class notification costs and certain other expenses which are estimated to total approximately $0.1 million. We recorded a $2.3 million expense in the fourth quarter of 2016 for this settlement. We expect the settlement payment to occur in the second half of 2017. Although, we deny any liability associated with this matter and believe we have meritorious defenses to the allegations in the complaint, given the costs and uncertainty of litigation, we determined that this settlement was in the best interests of the organization.</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Regulation</w:t>
      </w:r>
      <w:r>
        <w:rPr>
          <w:rFonts w:ascii="Arial" w:cs="Arial" w:eastAsia="Arial" w:hAnsi="Arial"/>
          <w:sz w:val="17"/>
          <w:szCs w:val="17"/>
          <w:color w:val="auto"/>
        </w:rPr>
        <w:t>. On July 2, 2013, the Federal Reserve Board approved a final rule that establishes an integrated regulatory capital framework (the "New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Rules"). The rule implements in the United States the Basel III regulatory capital reforms from the Basel Committee on Banking Supervision and certain changes required by the 2010 Dodd-Frank Wall Street Reform and Consumer Protection Act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2.5% capital conservation buffer is being phased in ratably over a four-year period that began in 2016. In 2017, 1.25% is being added to the minimum ratio for adequately capitalized institutions. To avoid limits on capital distributions and certain discretionary bonus payments we must meet the minimum ratio for adequately capitalized institutions plus the phased in buffer (now 5.75% in 2017).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implements strict eligibility criteria for regulatory capital instruments. The New Capital Rules also change the methodology for calculating risk-weighted assets to enhance risk sensitivity. Under the New Capital Rules our existing trust preferred securities are grandfathered as qualifying regulatory capital. As of March 31, 2017 and December 31, 2016 we exceeded all of the capital ratio requirements of the New Capital Rules.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It is against this backdrop that we discuss our results of operations and financial condition in the first quarter of 2017 as compared to 2016.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We recorded net income of $6.0 million during the three months ended March 31, 2017, compared to net income of $4.1 million during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March 31, 2016. The increase in net income is primarily due to increases in net interest income and non-interest income that were partially offset by increases in the provision for loan losses (lower credit), non-interest expense and income tax expense.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87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Key performance ratios</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Three months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180" w:type="dxa"/>
            <w:vAlign w:val="bottom"/>
            <w:gridSpan w:val="3"/>
          </w:tcPr>
          <w:p>
            <w:pPr>
              <w:jc w:val="right"/>
              <w:ind w:right="210"/>
              <w:spacing w:after="0"/>
              <w:rPr>
                <w:sz w:val="20"/>
                <w:szCs w:val="20"/>
                <w:color w:val="auto"/>
              </w:rPr>
            </w:pPr>
            <w:r>
              <w:rPr>
                <w:rFonts w:ascii="Arial" w:cs="Arial" w:eastAsia="Arial" w:hAnsi="Arial"/>
                <w:sz w:val="18"/>
                <w:szCs w:val="18"/>
                <w:color w:val="auto"/>
              </w:rPr>
              <w:t>ended March 31,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Arial" w:cs="Arial" w:eastAsia="Arial" w:hAnsi="Arial"/>
                <w:sz w:val="18"/>
                <w:szCs w:val="18"/>
                <w:color w:val="auto"/>
              </w:rPr>
              <w:t>Net income (annualized) to</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assets</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0.95%</w:t>
            </w: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160"/>
              <w:spacing w:after="0"/>
              <w:rPr>
                <w:sz w:val="20"/>
                <w:szCs w:val="20"/>
                <w:color w:val="auto"/>
              </w:rPr>
            </w:pPr>
            <w:r>
              <w:rPr>
                <w:rFonts w:ascii="Arial" w:cs="Arial" w:eastAsia="Arial" w:hAnsi="Arial"/>
                <w:sz w:val="18"/>
                <w:szCs w:val="18"/>
                <w:color w:val="auto"/>
              </w:rPr>
              <w:t>Average common shareholders’ equity</w:t>
            </w:r>
          </w:p>
        </w:tc>
        <w:tc>
          <w:tcPr>
            <w:tcW w:w="760" w:type="dxa"/>
            <w:vAlign w:val="bottom"/>
          </w:tcPr>
          <w:p>
            <w:pPr>
              <w:spacing w:after="0"/>
              <w:rPr>
                <w:sz w:val="18"/>
                <w:szCs w:val="18"/>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9.63</w:t>
            </w:r>
          </w:p>
        </w:tc>
        <w:tc>
          <w:tcPr>
            <w:tcW w:w="84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jc w:val="right"/>
              <w:ind w:right="59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0.28</w:t>
            </w:r>
          </w:p>
        </w:tc>
        <w:tc>
          <w:tcPr>
            <w:tcW w:w="8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0.28</w:t>
            </w:r>
          </w:p>
        </w:tc>
        <w:tc>
          <w:tcPr>
            <w:tcW w:w="84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interest income totaled $21.5 million during the first quarter of 2017, which represents a $1.7 million, or 8.6% increase, from the comparable quarter one year earlier. The increase in net interest income in 2017 compared to 2016 primarily reflects an eight basis point increase in our tax equivalent net interest income as a percent of average interest-earning assets (the “net interest margin”) as well as an increase in average interest-earning assets.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average interest-earning assets were $2.37 billion in the first quarter of 2017 compared to $2.21 billion in the year ago quarter. Also contributing to the growth in net interest income were net recoveries of interest on loans on non-accrual or previously charged-off of $0.50 million in the first quarter of 2017 compared to $0.55 million in the year ago quarter.</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Interest rates have generally been at low levels since 2008 due primarily to the Federal Reserve Bank’s monetary policies and its efforts to stimulate the U.S. economy. The prolonged low interest rate environment has reduced our average loan yields; however, this has been offset by growth in the amount of our interest-earning assets, particularly loans. Recently, the Federal Reserve Bank has been moving the target federal funds rate up, with 0.25% increases in March 2017, December 2016 and December 2015. Future changes in the target federal funds rate (now currently at 1.0%) are uncertain; however, we anticipate that any upward movements in short-term interest rates will be gradual. Given the repricing characteristics of our interest-earning assets and interest-bearing liabilities (and our level of non-interest bearing demand deposits), we would expect that our net interest margin will generally benefit on a long-term basis from rising interest rates. However, we have $1.786 billion of non-maturity deposits and future in-flows and out-flows of such deposits may be unpredictable as short-term interest rates rise. A large net out-flow of non-maturity deposits in the future could cause us to have to borrow funds or liquidate investment securities, which could adversely impact our net interest income.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net interest income is also adversely impacted by our level of non-accrual loans. In the first quarter of 2017 non-accrual loans averaged $11.6 million compared to $10.5 million in the first quarter of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Balances and Tax Equivalent Rates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5"/>
          </w:tcPr>
          <w:p>
            <w:pPr>
              <w:ind w:left="50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660" w:type="dxa"/>
            <w:vAlign w:val="bottom"/>
            <w:gridSpan w:val="3"/>
          </w:tcPr>
          <w:p>
            <w:pPr>
              <w:ind w:left="900"/>
              <w:spacing w:after="0"/>
              <w:rPr>
                <w:sz w:val="20"/>
                <w:szCs w:val="20"/>
                <w:color w:val="auto"/>
              </w:rPr>
            </w:pPr>
            <w:r>
              <w:rPr>
                <w:rFonts w:ascii="Arial" w:cs="Arial" w:eastAsia="Arial" w:hAnsi="Arial"/>
                <w:sz w:val="18"/>
                <w:szCs w:val="18"/>
                <w:color w:val="auto"/>
                <w:w w:val="92"/>
              </w:rPr>
              <w:t>March 31,</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26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Interest</w:t>
            </w:r>
          </w:p>
        </w:tc>
        <w:tc>
          <w:tcPr>
            <w:tcW w:w="14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r>
              <w:rPr>
                <w:rFonts w:ascii="Arial" w:cs="Arial" w:eastAsia="Arial" w:hAnsi="Arial"/>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Taxable loans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1,685,936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19,824</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1,546,142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18,520</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4,067</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5.19</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3,647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521,407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2,754</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521,833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2,244</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78,044</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3.58</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41,982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66,708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0.69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81,436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investments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15,543</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5.19</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15,546</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Interest Earning Assets</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2,371,705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23,640</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4.02</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2,210,586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21,506</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33,790</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45,165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153,992</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165,104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2,559,487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2,420,855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Savings and interest-bearing checking</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1,047,114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1,014,117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Time deposits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482,188</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1,160</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435,943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844</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4.24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Interest Bearing Liabilities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1,574,306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1,913</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0.49</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1,497,584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1,591</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704,551</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653,417</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29,064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23,768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251,566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246,086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w w:val="99"/>
              </w:rPr>
              <w:t>Total liabilities and shareholders’ equity</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2,559,487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2,420,855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Interest Income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21,727</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19,915</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jc w:val="right"/>
              <w:ind w:right="451"/>
              <w:spacing w:after="0" w:line="201" w:lineRule="exact"/>
              <w:rPr>
                <w:sz w:val="20"/>
                <w:szCs w:val="20"/>
                <w:color w:val="auto"/>
              </w:rPr>
            </w:pPr>
            <w:r>
              <w:rPr>
                <w:rFonts w:ascii="Arial" w:cs="Arial" w:eastAsia="Arial" w:hAnsi="Arial"/>
                <w:sz w:val="18"/>
                <w:szCs w:val="18"/>
                <w:color w:val="auto"/>
                <w:w w:val="93"/>
              </w:rPr>
              <w:t>Net Interest Income as a Percent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jc w:val="right"/>
              <w:ind w:right="511"/>
              <w:spacing w:after="0"/>
              <w:rPr>
                <w:sz w:val="20"/>
                <w:szCs w:val="20"/>
                <w:color w:val="auto"/>
              </w:rPr>
            </w:pPr>
            <w:r>
              <w:rPr>
                <w:rFonts w:ascii="Arial" w:cs="Arial" w:eastAsia="Arial" w:hAnsi="Arial"/>
                <w:sz w:val="18"/>
                <w:szCs w:val="18"/>
                <w:color w:val="auto"/>
              </w:rPr>
              <w:t>Average Interest Earning 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3.69%</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3.61%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89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35%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87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Reconciliation of Net Interest Margin, Fully Taxable Equivalent ("FTE")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(Dollars</w:t>
            </w:r>
          </w:p>
        </w:tc>
        <w:tc>
          <w:tcPr>
            <w:tcW w:w="240" w:type="dxa"/>
            <w:vAlign w:val="bottom"/>
          </w:tcPr>
          <w:p>
            <w:pPr>
              <w:jc w:val="right"/>
              <w:ind w:right="110"/>
              <w:spacing w:after="0"/>
              <w:rPr>
                <w:sz w:val="20"/>
                <w:szCs w:val="20"/>
                <w:color w:val="auto"/>
              </w:rPr>
            </w:pPr>
            <w:r>
              <w:rPr>
                <w:rFonts w:ascii="Arial" w:cs="Arial" w:eastAsia="Arial" w:hAnsi="Arial"/>
                <w:sz w:val="10"/>
                <w:szCs w:val="10"/>
                <w:color w:val="auto"/>
                <w:w w:val="76"/>
              </w:rPr>
              <w:t>in</w:t>
            </w: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21,466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160"/>
              <w:spacing w:after="0"/>
              <w:rPr>
                <w:sz w:val="20"/>
                <w:szCs w:val="20"/>
                <w:color w:val="auto"/>
              </w:rPr>
            </w:pPr>
            <w:r>
              <w:rPr>
                <w:rFonts w:ascii="Arial" w:cs="Arial" w:eastAsia="Arial" w:hAnsi="Arial"/>
                <w:sz w:val="18"/>
                <w:szCs w:val="18"/>
                <w:color w:val="auto"/>
              </w:rPr>
              <w:t>Add: taxable equivalent adjustment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21,727</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gridSpan w:val="2"/>
          </w:tcPr>
          <w:p>
            <w:pPr>
              <w:spacing w:after="0" w:line="210" w:lineRule="exact"/>
              <w:rPr>
                <w:sz w:val="20"/>
                <w:szCs w:val="20"/>
                <w:color w:val="auto"/>
              </w:rPr>
            </w:pPr>
            <w:r>
              <w:rPr>
                <w:rFonts w:ascii="Arial" w:cs="Arial" w:eastAsia="Arial" w:hAnsi="Arial"/>
                <w:sz w:val="15"/>
                <w:szCs w:val="15"/>
                <w:color w:val="auto"/>
              </w:rPr>
              <w:t xml:space="preserve">Net interest margin (GAAP) </w:t>
            </w:r>
            <w:r>
              <w:rPr>
                <w:rFonts w:ascii="Arial" w:cs="Arial" w:eastAsia="Arial" w:hAnsi="Arial"/>
                <w:sz w:val="24"/>
                <w:szCs w:val="24"/>
                <w:color w:val="auto"/>
                <w:vertAlign w:val="superscript"/>
              </w:rPr>
              <w:t>(1)</w:t>
            </w:r>
          </w:p>
        </w:tc>
        <w:tc>
          <w:tcPr>
            <w:tcW w:w="24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3.67%</w:t>
            </w: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700" w:type="dxa"/>
            <w:vAlign w:val="bottom"/>
            <w:gridSpan w:val="2"/>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interest margin (FTE) </w:t>
            </w:r>
            <w:r>
              <w:rPr>
                <w:rFonts w:ascii="Arial" w:cs="Arial" w:eastAsia="Arial" w:hAnsi="Arial"/>
                <w:sz w:val="24"/>
                <w:szCs w:val="24"/>
                <w:color w:val="auto"/>
                <w:vertAlign w:val="superscript"/>
              </w:rPr>
              <w:t>(1)</w:t>
            </w: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Provision for loan losses. </w:t>
      </w:r>
      <w:r>
        <w:rPr>
          <w:rFonts w:ascii="Arial" w:cs="Arial" w:eastAsia="Arial" w:hAnsi="Arial"/>
          <w:sz w:val="18"/>
          <w:szCs w:val="18"/>
          <w:color w:val="auto"/>
        </w:rPr>
        <w:t>The provision for loan losses was a credit of $0.4 million and a credit of $0.5 million in the first quarters of 2017 and 2016,</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The provision reflects our assessment of the allowance for loan losses taking into consideration factors such as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 in the first quarter of 2017.</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Non-interest income. </w:t>
      </w:r>
      <w:r>
        <w:rPr>
          <w:rFonts w:ascii="Arial" w:cs="Arial" w:eastAsia="Arial" w:hAnsi="Arial"/>
          <w:sz w:val="18"/>
          <w:szCs w:val="18"/>
          <w:color w:val="auto"/>
        </w:rPr>
        <w:t>Non-interest income is a significant element in assessing our results of operations. Non-interest income totaled $10.3 million and $7.8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during the first three months of 2017 and 2016, respectively. The components of non-interest income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7660" w:type="dxa"/>
            <w:vAlign w:val="bottom"/>
          </w:tcPr>
          <w:p>
            <w:pPr>
              <w:spacing w:after="0"/>
              <w:rPr>
                <w:sz w:val="24"/>
                <w:szCs w:val="24"/>
                <w:color w:val="auto"/>
              </w:rPr>
            </w:pPr>
          </w:p>
        </w:tc>
        <w:tc>
          <w:tcPr>
            <w:tcW w:w="2020" w:type="dxa"/>
            <w:vAlign w:val="bottom"/>
            <w:gridSpan w:val="4"/>
          </w:tcPr>
          <w:p>
            <w:pPr>
              <w:jc w:val="center"/>
              <w:ind w:left="70"/>
              <w:spacing w:after="0"/>
              <w:rPr>
                <w:sz w:val="20"/>
                <w:szCs w:val="20"/>
                <w:color w:val="auto"/>
              </w:rPr>
            </w:pPr>
            <w:r>
              <w:rPr>
                <w:rFonts w:ascii="Arial" w:cs="Arial" w:eastAsia="Arial" w:hAnsi="Arial"/>
                <w:sz w:val="18"/>
                <w:szCs w:val="18"/>
                <w:color w:val="auto"/>
                <w:w w:val="87"/>
              </w:rPr>
              <w:t>Three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3"/>
          </w:tcPr>
          <w:p>
            <w:pPr>
              <w:jc w:val="center"/>
              <w:ind w:right="377"/>
              <w:spacing w:after="0"/>
              <w:rPr>
                <w:sz w:val="20"/>
                <w:szCs w:val="20"/>
                <w:color w:val="auto"/>
              </w:rPr>
            </w:pPr>
            <w:r>
              <w:rPr>
                <w:rFonts w:ascii="Arial" w:cs="Arial" w:eastAsia="Arial" w:hAnsi="Arial"/>
                <w:sz w:val="18"/>
                <w:szCs w:val="18"/>
                <w:color w:val="auto"/>
                <w:w w:val="92"/>
              </w:rPr>
              <w:t>March 31,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766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660" w:type="dxa"/>
            <w:vAlign w:val="bottom"/>
          </w:tcPr>
          <w:p>
            <w:pPr>
              <w:spacing w:after="0"/>
              <w:rPr>
                <w:sz w:val="18"/>
                <w:szCs w:val="18"/>
                <w:color w:val="auto"/>
              </w:rPr>
            </w:pPr>
          </w:p>
        </w:tc>
        <w:tc>
          <w:tcPr>
            <w:tcW w:w="202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(In thousands)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880" w:type="dxa"/>
            <w:vAlign w:val="bottom"/>
            <w:gridSpan w:val="2"/>
            <w:shd w:val="clear" w:color="auto" w:fill="CCEEFF"/>
          </w:tcPr>
          <w:p>
            <w:pPr>
              <w:jc w:val="right"/>
              <w:ind w:right="49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2,845</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Interchange income</w:t>
            </w: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1,922</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1,878</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gains on assets</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Mortgage loans</w:t>
            </w: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2,571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1,642</w:t>
            </w: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Mortgage loan servicing, net</w:t>
            </w: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(978)</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Title insurance fees</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1,215</w:t>
            </w: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non-interest income</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10,339</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49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Service charges on deposit accounts totaled $3.0 million in the first quarter of 2017, an increase of $0.2 million from the comparable period in 2016. This increase was principally due to higher service charges on commercial accounts and a modest increase in non-sufficient funds occurrences.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Interchange income totaled $1.9 million in the first quarter of 2017, up slightly compared to the year ago period. Transaction volume increased 1.4% year-over-year and interchange revenue per transaction increased by 0.7%.</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gains on mortgage loans were $2.6 million and $1.6 million in the first quarters of 2017 and 2016, respectively. Mortgage loan sales totaled $79.7 million in the first quarter of 2017 compared to $55.7 million in the first quarter of 2016. Mortgage loans originated totaled $158.1 million in the first quarter of 2017 compared to $73.5 million in the comparable quarter of 2016. The increase in mortgage loan originations, sales and net gains in 2017 as compared to 2016 is due primarily to the expansion of our mortgage-banking operations.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last quarter of 2016 and the first quarter of 2017, we significantly expanded our mortgage-banking operations by adding new employees and opening six new loan production offices (Ann Arbor, Brighton, Traverse City and Troy, Michigan and Columbus and Fairlawn, Ohio). We are also in the process of opening an additional loan production office in Dearborn, Michigan. Overall, we have increased average full-time equivalent employees by 18.64 (38.9%) and by 25.57 (60.0%) in mortgage loan sales and mortgage loan operations, respectively, in the first quarter of 2017 as compared to the year ago quarter. We expect this business expansion to add to net gains on mortgage loans and on a longer-term basis, accelerate the growth of portfolio mortgage loans and mortgage loans serviced for others, leading to increased interest and mortgage loan servicing income. However, this expansion will also increase non-interest expenses, particularly compensation and employee benefits and occupancy. In addition, due to higher interest rates, we expect mortgage loan refinance volume to decline in 2017 on an industry wide basis. It is important to our future results of operations that we effectively and successfully manage this business expansion.</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Mortgage Loan Activity</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6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6"/>
          </w:tcPr>
          <w:p>
            <w:pPr>
              <w:jc w:val="center"/>
              <w:ind w:right="420"/>
              <w:spacing w:after="0"/>
              <w:rPr>
                <w:sz w:val="20"/>
                <w:szCs w:val="20"/>
                <w:color w:val="auto"/>
              </w:rPr>
            </w:pPr>
            <w:r>
              <w:rPr>
                <w:rFonts w:ascii="Arial" w:cs="Arial" w:eastAsia="Arial" w:hAnsi="Arial"/>
                <w:sz w:val="18"/>
                <w:szCs w:val="18"/>
                <w:color w:val="auto"/>
                <w:w w:val="87"/>
              </w:rPr>
              <w:t>Three months ended</w:t>
            </w:r>
          </w:p>
        </w:tc>
      </w:tr>
      <w:tr>
        <w:trPr>
          <w:trHeight w:val="216"/>
        </w:trPr>
        <w:tc>
          <w:tcPr>
            <w:tcW w:w="6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4"/>
          </w:tcPr>
          <w:p>
            <w:pPr>
              <w:jc w:val="center"/>
              <w:ind w:left="510"/>
              <w:spacing w:after="0"/>
              <w:rPr>
                <w:sz w:val="20"/>
                <w:szCs w:val="20"/>
                <w:color w:val="auto"/>
              </w:rPr>
            </w:pPr>
            <w:r>
              <w:rPr>
                <w:rFonts w:ascii="Arial" w:cs="Arial" w:eastAsia="Arial" w:hAnsi="Arial"/>
                <w:sz w:val="18"/>
                <w:szCs w:val="18"/>
                <w:color w:val="auto"/>
                <w:w w:val="92"/>
              </w:rPr>
              <w:t>March 31,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6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r>
      <w:tr>
        <w:trPr>
          <w:trHeight w:val="216"/>
        </w:trPr>
        <w:tc>
          <w:tcPr>
            <w:tcW w:w="6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1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158,081</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73,502</w:t>
            </w:r>
          </w:p>
        </w:tc>
        <w:tc>
          <w:tcPr>
            <w:tcW w:w="1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Mortgage loans sold</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79,691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55,666</w:t>
            </w:r>
          </w:p>
        </w:tc>
        <w:tc>
          <w:tcPr>
            <w:tcW w:w="1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gains on the sale of mortgage loans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Net gains as a percentage of mortgage loans sold (“Loan Sales Margin”)</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Net gains as a percentage of mortgage loans sold (our “Loan Sales Margin”) are impacted by several factors including competition and the manner in which the loan is sold. Net gains on mortgage loans are also impacted by recording fair value accounting adjustments. Excluding these fair value accounting adjustments, the Loan Sales Margin would have been 3.03% and 2.70% in the first quarters of 2017 and 2016,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net gains on securities of approximately $0.03 million and $0.16 million in the first quarters of 2017 and 2016, respectively. The first quarter 2017 net gains on securities are due primarily to sales of $6.2 million that were partially offset by a $0.08 million decline in the fair value of trading securities. The first quarter 2016 net gains on securities are due primarily to the sales of $42.4 million.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no net impairment losses in either the first quarter of 2017 or 2016, for other than temporary impairment of securities available for sale. (See “Securities.”)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Mortgage loan servicing generated income of $0.8 million and a loss of $1.0 million in the first quarters of 2017 and 2016, respectively. As discussed under “Recent Developments” above, we adopted the fair value accounting method for capitalized mortgage loan servicing rights effective January 1, 2017. The first quarter of 2017 included a decline in fair value adjustment of $0.3 million. The first quarter of 2016 included amortization and an increase in the valuation allowance of $2.0 million. Activity related to capitalized mortgage loan servicing rights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40" w:type="dxa"/>
            <w:vAlign w:val="bottom"/>
          </w:tcPr>
          <w:p>
            <w:pPr>
              <w:ind w:left="80"/>
              <w:spacing w:after="0"/>
              <w:rPr>
                <w:sz w:val="20"/>
                <w:szCs w:val="20"/>
                <w:color w:val="auto"/>
              </w:rPr>
            </w:pPr>
            <w:r>
              <w:rPr>
                <w:rFonts w:ascii="Arial" w:cs="Arial" w:eastAsia="Arial" w:hAnsi="Arial"/>
                <w:sz w:val="18"/>
                <w:szCs w:val="18"/>
                <w:b w:val="1"/>
                <w:bCs w:val="1"/>
                <w:color w:val="auto"/>
              </w:rPr>
              <w:t>Capitalized Mortgage Loan Servicing Rights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3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13,671</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Change in accounting</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Originated servicing rights capitalized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14,727</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Valuation allowance at end of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2017 we were servicing approximately $1.68 billion in mortgage loans for others on which servicing rights have been capitalized. This servicing portfolio had a weighted average coupon rate of 4.19% and a weighted average service fee of approximately 25.7 basis points. Capitalized mortgage loan servicing rights (recorded at fair value) at March 31, 2017 totaled $14.7 million, representing approximately 87.6 basis points on the related amount of mortgage loans serviced for others.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Investment and insurance commissions were essentially unchanged during the first quarter of 2017 as compared to the year ago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earned $0.25 million and $0.29 million in the first quarters of 2017 and 2016, respectively, principally as a result of increases in the cash surrender value of our separate account bank owned life insurance. Our separate account is primarily invested in agency mortgage-backed securities and managed by PIMCO. The crediting rate (on which the earnings are based) reflects the performance of the separate account. The total cash surrender value of our bank owned life insurance was $53.8 million and $54.0 million at March 31, 2017 and December 31, 2016, respectively. The reduction in the cash surrender value of our bank owned life insurance during the first quarter of 2017 was due to the receipt of cash on death claims that was partially offset by net earnings credits.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Title insurance fees totaled $0.3 million in both the first quarters of 2017 and 2016.</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non-interest income totaled $1.0 million and $1.2 million during the first quarters of 2017 and 2016, respectively. This decrease is primarily due to a decline in commercial loan swap fee income.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Non-interest expense. </w:t>
      </w:r>
      <w:r>
        <w:rPr>
          <w:rFonts w:ascii="Arial" w:cs="Arial" w:eastAsia="Arial" w:hAnsi="Arial"/>
          <w:sz w:val="17"/>
          <w:szCs w:val="17"/>
          <w:color w:val="auto"/>
        </w:rPr>
        <w:t>Non-interest expense is an important component of our results of operations. We strive to efficiently manage our cost structure.</w:t>
      </w: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expense totaled $23.6 million in the first quarter of 2017 compared to $22.0 million in the year ago period. The components of non-interest expense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ind w:left="420"/>
              <w:spacing w:after="0"/>
              <w:rPr>
                <w:sz w:val="20"/>
                <w:szCs w:val="20"/>
                <w:color w:val="auto"/>
              </w:rPr>
            </w:pPr>
            <w:r>
              <w:rPr>
                <w:rFonts w:ascii="Arial" w:cs="Arial" w:eastAsia="Arial" w:hAnsi="Arial"/>
                <w:sz w:val="18"/>
                <w:szCs w:val="18"/>
                <w:b w:val="1"/>
                <w:bCs w:val="1"/>
                <w:color w:val="auto"/>
              </w:rPr>
              <w:t>Non-Interest Expense</w:t>
            </w:r>
          </w:p>
        </w:tc>
        <w:tc>
          <w:tcPr>
            <w:tcW w:w="3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8"/>
                <w:szCs w:val="18"/>
                <w:color w:val="auto"/>
              </w:rPr>
              <w:t>Three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3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Performance-based compensation</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3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Compensation and employee benefits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14,147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11,881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Occupancy, net</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Data processing</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Communications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Legal and professional</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Loan and collection</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Interchange expense</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FDIC deposit insurance</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Credit card and bank service fees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Costs related to unfunded lending commitments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Provision for loss reimbursement on sold loans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Total non-interest expense</w:t>
            </w:r>
          </w:p>
        </w:tc>
        <w:tc>
          <w:tcPr>
            <w:tcW w:w="3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23,569</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22,045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400" w:type="dxa"/>
            <w:vAlign w:val="bottom"/>
            <w:vMerge w:val="restart"/>
          </w:tcPr>
          <w:p>
            <w:pPr>
              <w:jc w:val="right"/>
              <w:ind w:right="2376"/>
              <w:spacing w:after="0"/>
              <w:rPr>
                <w:sz w:val="20"/>
                <w:szCs w:val="20"/>
                <w:color w:val="auto"/>
              </w:rPr>
            </w:pPr>
            <w:r>
              <w:rPr>
                <w:rFonts w:ascii="Arial" w:cs="Arial" w:eastAsia="Arial" w:hAnsi="Arial"/>
                <w:sz w:val="14"/>
                <w:szCs w:val="14"/>
                <w:color w:val="auto"/>
              </w:rPr>
              <w:t>63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employee benefits expenses, in total, increased by $2.3 million, or 19.1%, in the first quarter of 2017, as compared to the year ago period.</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increased by $1.4 million, or 17.5%. Average full-time equivalent employees (“FTEs”) increased by 64.5, or 8.4%, during the first quarter of 2017 compared to the year ago quarter due primarily to the aforementioned expansion of our mortgage-banking operations. In addition, we granted annual pay increases that were effective January 1, 2017.</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Performance-based compensation increased by $0.5 million in 2017 due primarily to a higher accrual for anticipated incentive compensation based on our forecasted 2017 performance as compared to goals.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Payroll taxes and employee benefits increased $0.4 million in 2017 due primarily to higher medical insurance costs and payroll taxes related to the aforementioned increase in FTEs as well as increased sales training costs.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Occupancy, net, decreased $0.1 million, or 2.9%, in the first quarter of 2017 compared to 2016 primarily because of lower snow removal costs associated with a milder winter.</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Data processing expense decreased $0.2 million, or 7.8%, in the first quarter of 2017 compared to the year earlier period due primarily to a decline in software amortization at Mepco.</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Furniture, fixtures and equipment, advertising, legal and professional, credit card and bank service fees, supplies and other non-interest expenses were all relatively unchanged in the first quarter of 2017 as compared to the year earlier period.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Communications expense decreased $0.2 million, or 23.1%, in the first quarter of 2017 compared to the year earlier period due primarily to reduced telephone costs related to a change in vendor and reduced mailing costs as the first quarter of 2016 included expenses for mailing out new chip enabled debit cards and a new deposit product mailing.</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 and collection expenses primarily reflect costs related to the management and collection of non-performing loans and other problem credits. These expenses have declined in 2017, which primarily reflects the recovery of previously incurred collection costs on certain non-performing loans. (See “Portfolio Loans and asset quality.”)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Interchange expense increased modestly in the first quarter of 2017 compared to the year earlier period due primarily to an increase in debit card transaction volume.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cost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amortization of intangible assets primarily relates to branch acquisitions and the amortization of the deposit customer relationship value, including core deposit value, which was acquired in connection with those acquisitions. We had remaining unamortized intangible assets of $1.8 million and $1.9 million at March 31, 2017 and December 31, 2016, respectively. See note #7 to the Condensed Consolidated Financial Statements for a schedule of future amortization of intangible assets.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provision for loss reimbursement on sold loans was an expense of $0.03 million and a credit of $0.02 million in the first quarters of 2017 and 2016, respectively, and represents our estimate of incurred losses related to mortgage loans that we have sold to investors (primarily Fannie Mae, Freddie Mac and Ginnie Mae). The small expense provision in the first quarter of 2017 is due primarily to the settlement of a loss reimbursement claim at a slightly higher amount than what had been specifically reserved for at the end of 2016. The small credit provision in the first quarter of 2016 is due primarily to the settlement of certain loss reimbursement claims at slightly lower amounts than what had been specifically reserved for at the end of 2015. Since we sell mortgage loans without recourse, loss reimbursements only occur in those instances where we have breached a representation or warranty or other contractual requirement related to the loan sale. The reserve for loss reimbursements on sold mortgage loans totaled $0.53 million and $0.56 million at March 31, 2017 and December 31, 2016, respectively. This reserve is included in accrued expenses and other liabilities in our Condensed Consolidated Statements of Financial Condition.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We recorded an income tax expense of $2.6 million and $2.0 million in the first quarters of 2017 and 2016, respectively.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first quarter of 2017 includes a $0.1 million reduction of income tax expense related to impact of the excess value of stock awards that vested and stock options that were exercised as compared to the initial fair values that were expensed.</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March 31, 2017 and 2016 and at December 31, 2016, that the realization of substantially all of our deferred tax assets continues to be more likely than not.</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did maintain a valuation allowance against our deferred tax assets of approximately $1.1 million at both March 31, 2017 and December 31, 2016. This valuation allowance on our deferred tax assets primarily relates to state income taxes at Mepco. In this instance, we determined that the future realization of these particular deferred tax assets was not more likely than not. This conclusion was primarily based on the pending sale of Mepco’s payment plan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w:t>
      </w:r>
    </w:p>
    <w:p>
      <w:pPr>
        <w:spacing w:after="0" w:line="25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Our total assets increased by $47.5 million during the first three months of 2017. Loans, excluding loans held for sale ("Portfolio Loans"), totaled</w:t>
      </w:r>
      <w:r>
        <w:rPr>
          <w:rFonts w:ascii="Arial" w:cs="Arial" w:eastAsia="Arial" w:hAnsi="Arial"/>
          <w:sz w:val="17"/>
          <w:szCs w:val="17"/>
          <w:b w:val="1"/>
          <w:bCs w:val="1"/>
          <w:color w:val="auto"/>
        </w:rPr>
        <w:t xml:space="preserve"> </w:t>
      </w:r>
      <w:r>
        <w:rPr>
          <w:rFonts w:ascii="Arial" w:cs="Arial" w:eastAsia="Arial" w:hAnsi="Arial"/>
          <w:sz w:val="17"/>
          <w:szCs w:val="17"/>
          <w:color w:val="auto"/>
        </w:rPr>
        <w:t>$1.67 billion at March 31, 2017, an increase of $62.5 million, or 3.9%, from December 31, 2016. (See "Portfolio Loans and asset quality.")</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Deposits totaled $2.26 billion at March 31, 2017, compared to $2.23 billion at December 31, 2016. The $37.3 million increase in total deposits during the period is primarily due to growth in savings and interest-bearing checking deposit account balances.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maintain diversified securities portfolios, which primarily include obligations of U.S. government-sponsored agencies, securities issued by</w:t>
      </w:r>
      <w:r>
        <w:rPr>
          <w:rFonts w:ascii="Arial" w:cs="Arial" w:eastAsia="Arial" w:hAnsi="Arial"/>
          <w:sz w:val="18"/>
          <w:szCs w:val="18"/>
          <w:b w:val="1"/>
          <w:bCs w:val="1"/>
          <w:color w:val="auto"/>
        </w:rPr>
        <w:t xml:space="preserve"> </w:t>
      </w:r>
      <w:r>
        <w:rPr>
          <w:rFonts w:ascii="Arial" w:cs="Arial" w:eastAsia="Arial" w:hAnsi="Arial"/>
          <w:sz w:val="18"/>
          <w:szCs w:val="18"/>
          <w:color w:val="auto"/>
        </w:rPr>
        <w:t>states and political subdivisions, residential and commercial mortgage-backed securities, asset-backed securities, corporate securities and trust preferred securities.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Securities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w w:val="92"/>
              </w:rPr>
              <w:t>Unrealized</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8"/>
              </w:rPr>
              <w:t>Amortized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Fair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gridSpan w:val="2"/>
            <w:vMerge w:val="restart"/>
          </w:tcPr>
          <w:p>
            <w:pPr>
              <w:ind w:left="580"/>
              <w:spacing w:after="0"/>
              <w:rPr>
                <w:sz w:val="20"/>
                <w:szCs w:val="20"/>
                <w:color w:val="auto"/>
              </w:rPr>
            </w:pPr>
            <w:r>
              <w:rPr>
                <w:rFonts w:ascii="Arial" w:cs="Arial" w:eastAsia="Arial" w:hAnsi="Arial"/>
                <w:sz w:val="18"/>
                <w:szCs w:val="18"/>
                <w:color w:val="auto"/>
              </w:rPr>
              <w:t>Securities available for sale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7"/>
              </w:rPr>
              <w:t>(In 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31, 2017</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460" w:type="dxa"/>
            <w:vAlign w:val="bottom"/>
          </w:tcPr>
          <w:p>
            <w:pPr>
              <w:ind w:left="320"/>
              <w:spacing w:after="0"/>
              <w:rPr>
                <w:sz w:val="20"/>
                <w:szCs w:val="20"/>
                <w:color w:val="auto"/>
              </w:rPr>
            </w:pPr>
            <w:r>
              <w:rPr>
                <w:rFonts w:ascii="Arial" w:cs="Arial" w:eastAsia="Arial" w:hAnsi="Arial"/>
                <w:sz w:val="18"/>
                <w:szCs w:val="18"/>
                <w:color w:val="auto"/>
              </w:rPr>
              <w:t>December 31, 2016</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615,709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7,641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610,616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ASU 2017-08 during the first quarter of 2017 using a modified retrospective approach. As a result, the amortized cost of securities as of January 1, 2017 was adjusted lower by $0.46 million (see note #2).</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Securities available for sale declined slightly during the first quarter of 2017. 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We recorded no impairment losses related to other than temporary impairment on securities available for sale in either the first quarter of 2017 or 2016.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55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580" w:type="dxa"/>
            <w:vAlign w:val="bottom"/>
            <w:gridSpan w:val="3"/>
          </w:tcPr>
          <w:p>
            <w:pPr>
              <w:spacing w:after="0"/>
              <w:rPr>
                <w:sz w:val="20"/>
                <w:szCs w:val="20"/>
                <w:color w:val="auto"/>
              </w:rPr>
            </w:pPr>
            <w:r>
              <w:rPr>
                <w:rFonts w:ascii="Arial" w:cs="Arial" w:eastAsia="Arial" w:hAnsi="Arial"/>
                <w:sz w:val="18"/>
                <w:szCs w:val="18"/>
                <w:color w:val="auto"/>
              </w:rPr>
              <w:t>Sales of securities were as follows (See “Non-interest income.”):</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400" w:type="dxa"/>
            <w:vAlign w:val="bottom"/>
            <w:gridSpan w:val="4"/>
          </w:tcPr>
          <w:p>
            <w:pPr>
              <w:jc w:val="right"/>
              <w:ind w:right="67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 w:type="dxa"/>
            <w:vAlign w:val="bottom"/>
            <w:vMerge w:val="restart"/>
          </w:tcPr>
          <w:p>
            <w:pPr>
              <w:spacing w:after="0"/>
              <w:rPr>
                <w:sz w:val="17"/>
                <w:szCs w:val="17"/>
                <w:color w:val="auto"/>
              </w:rPr>
            </w:pPr>
          </w:p>
        </w:tc>
        <w:tc>
          <w:tcPr>
            <w:tcW w:w="198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20" w:type="dxa"/>
            <w:vAlign w:val="bottom"/>
            <w:vMerge w:val="continue"/>
          </w:tcPr>
          <w:p>
            <w:pPr>
              <w:spacing w:after="0"/>
              <w:rPr>
                <w:sz w:val="22"/>
                <w:szCs w:val="22"/>
                <w:color w:val="auto"/>
              </w:rPr>
            </w:pPr>
          </w:p>
        </w:tc>
        <w:tc>
          <w:tcPr>
            <w:tcW w:w="1980" w:type="dxa"/>
            <w:vAlign w:val="bottom"/>
            <w:vMerge w:val="continue"/>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1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42,391</w:t>
            </w: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1980" w:type="dxa"/>
            <w:vAlign w:val="bottom"/>
            <w:vMerge w:val="restart"/>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106</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Gross losses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impairment charges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Fair value adjustments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gains</w:t>
            </w: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Portfolio Loans and asset quality. </w:t>
      </w:r>
      <w:r>
        <w:rPr>
          <w:rFonts w:ascii="Arial" w:cs="Arial" w:eastAsia="Arial" w:hAnsi="Arial"/>
          <w:sz w:val="18"/>
          <w:szCs w:val="18"/>
          <w:color w:val="auto"/>
        </w:rPr>
        <w:t>In addition to the communities served by our Bank branch and loan production office network, our principal lending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Non-performing assets</w:t>
      </w:r>
      <w:r>
        <w:rPr>
          <w:rFonts w:ascii="Arial" w:cs="Arial" w:eastAsia="Arial" w:hAnsi="Arial"/>
          <w:sz w:val="30"/>
          <w:szCs w:val="30"/>
          <w:b w:val="1"/>
          <w:bCs w:val="1"/>
          <w:color w:val="auto"/>
          <w:vertAlign w:val="superscript"/>
        </w:rPr>
        <w:t>(1)</w:t>
      </w:r>
    </w:p>
    <w:p>
      <w:pPr>
        <w:spacing w:after="0" w:line="12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w w:val="94"/>
              </w:rPr>
              <w:t>March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December 31,</w:t>
            </w:r>
          </w:p>
        </w:tc>
      </w:tr>
      <w:tr>
        <w:trPr>
          <w:trHeight w:val="237"/>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12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non-performing loans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real estate and repossessed assets</w:t>
            </w: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1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 non-performing assets</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14,271</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As a percent of Portfolio Loans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Non-performing loans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0.83%</w:t>
            </w: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total assets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222.30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151.41</w:t>
            </w:r>
          </w:p>
        </w:tc>
        <w:tc>
          <w:tcPr>
            <w:tcW w:w="180" w:type="dxa"/>
            <w:vAlign w:val="bottom"/>
          </w:tcPr>
          <w:p>
            <w:pPr>
              <w:spacing w:after="0"/>
              <w:rPr>
                <w:sz w:val="20"/>
                <w:szCs w:val="20"/>
                <w:color w:val="auto"/>
              </w:rPr>
            </w:pPr>
          </w:p>
        </w:tc>
      </w:tr>
    </w:tbl>
    <w:p>
      <w:pPr>
        <w:spacing w:after="0" w:line="21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(1) Excludes loans classified as “troubled debt restructured” that are not past due and vehicle service contract counterparty receivables, net.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Troubled debt restructurings ("TDR")</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1"/>
              </w:rPr>
              <w:t>March 31, 2017</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Retail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(In thousands)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57,544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67,750</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Non-performing TDR's(1)</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80"/>
              <w:spacing w:after="0" w:line="216" w:lineRule="exact"/>
              <w:rPr>
                <w:sz w:val="20"/>
                <w:szCs w:val="20"/>
                <w:color w:val="auto"/>
              </w:rPr>
            </w:pPr>
            <w:r>
              <w:rPr>
                <w:rFonts w:ascii="Arial" w:cs="Arial" w:eastAsia="Arial" w:hAnsi="Arial"/>
                <w:sz w:val="16"/>
                <w:szCs w:val="16"/>
                <w:color w:val="auto"/>
              </w:rPr>
              <w:t>4,099</w:t>
            </w:r>
            <w:r>
              <w:rPr>
                <w:rFonts w:ascii="Arial" w:cs="Arial" w:eastAsia="Arial" w:hAnsi="Arial"/>
                <w:sz w:val="25"/>
                <w:szCs w:val="25"/>
                <w:color w:val="auto"/>
                <w:vertAlign w:val="superscript"/>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5,138</w:t>
            </w: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61,643</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72,888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60"/>
        </w:trPr>
        <w:tc>
          <w:tcPr>
            <w:tcW w:w="5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2016</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Retail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(In thousands)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59,726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70,286</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Non-performing TDR's(1)</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80"/>
              <w:spacing w:after="0" w:line="216" w:lineRule="exact"/>
              <w:rPr>
                <w:sz w:val="20"/>
                <w:szCs w:val="20"/>
                <w:color w:val="auto"/>
              </w:rPr>
            </w:pPr>
            <w:r>
              <w:rPr>
                <w:rFonts w:ascii="Arial" w:cs="Arial" w:eastAsia="Arial" w:hAnsi="Arial"/>
                <w:sz w:val="16"/>
                <w:szCs w:val="16"/>
                <w:color w:val="auto"/>
              </w:rPr>
              <w:t>4,071</w:t>
            </w:r>
            <w:r>
              <w:rPr>
                <w:rFonts w:ascii="Arial" w:cs="Arial" w:eastAsia="Arial" w:hAnsi="Arial"/>
                <w:sz w:val="25"/>
                <w:szCs w:val="25"/>
                <w:color w:val="auto"/>
                <w:vertAlign w:val="superscript"/>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7,636</w:t>
            </w: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63,797</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non-performing assets table above.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Non-performing loans decreased by $4.4 million, or 32.6%, during the first quarter of 2017 due principally to decreases in non-performing commercial, mortgage and consumer/installment loans. These declines primarily reflect reduced levels of new loan defaults as well as loan charge-offs, pay-offs, negotiated transactions, and the migration of loans into other real estate. In general, stable economic conditions in our market areas, as well as our collection and resolution efforts, have resulted in a downward trend in non-performing loans. However, we are still experiencing some loan defaults, particularly related to commercial loans secured by income-producing property and mortgage loans secured by resort/vacation property.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Non-performing loans exclude performing loans that are classified as troubled debt restructurings (“TDRs”). Performing TDRs totaled $67.8 million, or 4.1% of total Portfolio Loans, and $70.3 million, or 4.4% of total Portfolio Loans, at March 31, 2017 and December 31, 2016, respectively. The decrease in the amount of performing TDRs in the first quarter of 2017 primarily reflects pay downs and payoffs.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real estate and repossessed assets totaled $5.3 million at March 31, 2017, compared to $5.0 million at December 31, 2016. This increase is primarily the result of sales of other real estate being slightly below the migration of non-performing loans secured by real estate into other real estate as the foreclosure process is completed. However, in April 2017 we closed on the sale of $2.9 million of other real estate consisting of various commercial properties.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ratio of loan net charge-offs to average Portfolio Loans was a negative 0.04% (as a result of net recoveries) on an annualized basis in the first quarter of 2017 compared to a negative 0.12% in the first quarter of 2016. The $0.3 million decrease in loan net recoveries is primarily due to declines in commercial loan and mortgage loan net recoveries as well as an increase in consumer loan net charge-offs.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Allowance for loan losses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jc w:val="center"/>
              <w:ind w:right="420"/>
              <w:spacing w:after="0"/>
              <w:rPr>
                <w:sz w:val="20"/>
                <w:szCs w:val="20"/>
                <w:color w:val="auto"/>
              </w:rPr>
            </w:pPr>
            <w:r>
              <w:rPr>
                <w:rFonts w:ascii="Arial" w:cs="Arial" w:eastAsia="Arial" w:hAnsi="Arial"/>
                <w:sz w:val="18"/>
                <w:szCs w:val="18"/>
                <w:color w:val="auto"/>
                <w:w w:val="89"/>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4"/>
            <w:vMerge w:val="restart"/>
          </w:tcPr>
          <w:p>
            <w:pPr>
              <w:jc w:val="right"/>
              <w:ind w:right="50"/>
              <w:spacing w:after="0"/>
              <w:rPr>
                <w:sz w:val="20"/>
                <w:szCs w:val="20"/>
                <w:color w:val="auto"/>
              </w:rPr>
            </w:pPr>
            <w:r>
              <w:rPr>
                <w:rFonts w:ascii="Arial" w:cs="Arial" w:eastAsia="Arial" w:hAnsi="Arial"/>
                <w:sz w:val="18"/>
                <w:szCs w:val="18"/>
                <w:color w:val="auto"/>
              </w:rPr>
              <w:t>2017</w:t>
            </w:r>
          </w:p>
        </w:tc>
        <w:tc>
          <w:tcPr>
            <w:tcW w:w="1500" w:type="dxa"/>
            <w:vAlign w:val="bottom"/>
            <w:gridSpan w:val="4"/>
          </w:tcPr>
          <w:p>
            <w:pPr>
              <w:jc w:val="center"/>
              <w:ind w:left="590"/>
              <w:spacing w:after="0"/>
              <w:rPr>
                <w:sz w:val="20"/>
                <w:szCs w:val="20"/>
                <w:color w:val="auto"/>
              </w:rPr>
            </w:pPr>
            <w:r>
              <w:rPr>
                <w:rFonts w:ascii="Arial" w:cs="Arial" w:eastAsia="Arial" w:hAnsi="Arial"/>
                <w:sz w:val="18"/>
                <w:szCs w:val="18"/>
                <w:color w:val="auto"/>
                <w:w w:val="92"/>
              </w:rPr>
              <w:t>March 31,</w:t>
            </w:r>
          </w:p>
        </w:tc>
        <w:tc>
          <w:tcPr>
            <w:tcW w:w="1280" w:type="dxa"/>
            <w:vAlign w:val="bottom"/>
            <w:gridSpan w:val="4"/>
            <w:vMerge w:val="restart"/>
          </w:tcPr>
          <w:p>
            <w:pPr>
              <w:jc w:val="right"/>
              <w:ind w:right="37"/>
              <w:spacing w:after="0"/>
              <w:rPr>
                <w:sz w:val="20"/>
                <w:szCs w:val="20"/>
                <w:color w:val="auto"/>
              </w:rPr>
            </w:pPr>
            <w:r>
              <w:rPr>
                <w:rFonts w:ascii="Arial" w:cs="Arial" w:eastAsia="Arial" w:hAnsi="Arial"/>
                <w:sz w:val="18"/>
                <w:szCs w:val="18"/>
                <w:color w:val="auto"/>
              </w:rPr>
              <w:t>2016</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Unfunded</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Unfunded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Commitments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3"/>
              </w:rPr>
              <w:t>Loans</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Commitments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6"/>
          </w:tcPr>
          <w:p>
            <w:pPr>
              <w:jc w:val="center"/>
              <w:ind w:right="420"/>
              <w:spacing w:after="0"/>
              <w:rPr>
                <w:sz w:val="20"/>
                <w:szCs w:val="20"/>
                <w:color w:val="auto"/>
              </w:rPr>
            </w:pPr>
            <w:r>
              <w:rPr>
                <w:rFonts w:ascii="Arial" w:cs="Arial" w:eastAsia="Arial" w:hAnsi="Arial"/>
                <w:sz w:val="18"/>
                <w:szCs w:val="18"/>
                <w:color w:val="auto"/>
                <w:w w:val="91"/>
              </w:rPr>
              <w:t>(Dollars in thousands)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9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Additions (deductions)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Recoveries credited to allowance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959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charged against the allowance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Additions (deductions) included in non-interest expense</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20,038</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loans charged against the allowance to average Portfolio Loans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80" w:type="dxa"/>
            <w:vAlign w:val="bottom"/>
          </w:tcPr>
          <w:p>
            <w:pPr>
              <w:jc w:val="right"/>
              <w:ind w:right="79"/>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Allocation of the Allowance for Loan Losses</w:t>
            </w: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15"/>
              <w:spacing w:after="0"/>
              <w:rPr>
                <w:sz w:val="20"/>
                <w:szCs w:val="20"/>
                <w:color w:val="auto"/>
              </w:rPr>
            </w:pPr>
            <w:r>
              <w:rPr>
                <w:rFonts w:ascii="Arial" w:cs="Arial" w:eastAsia="Arial" w:hAnsi="Arial"/>
                <w:sz w:val="18"/>
                <w:szCs w:val="18"/>
                <w:color w:val="auto"/>
                <w:w w:val="97"/>
              </w:rPr>
              <w:t>March 31,</w:t>
            </w:r>
          </w:p>
        </w:tc>
        <w:tc>
          <w:tcPr>
            <w:tcW w:w="12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r>
      <w:tr>
        <w:trPr>
          <w:trHeight w:val="237"/>
        </w:trPr>
        <w:tc>
          <w:tcPr>
            <w:tcW w:w="3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9,152</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Other adversely rated commercial loans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4,929</w:t>
            </w: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Additional allocations based on subjective factors</w:t>
            </w: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5,662</w:t>
            </w:r>
          </w:p>
        </w:tc>
      </w:tr>
      <w:tr>
        <w:trPr>
          <w:trHeight w:val="257"/>
        </w:trPr>
        <w:tc>
          <w:tcPr>
            <w:tcW w:w="6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Some loans will not be repaid in full. Therefore, an allowance for loan losses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loan losses decreased $0.2 million to $20.0 million at March 31, 2017 from $20.2 million at December 31, 2016 and was equal to 1.20% of total Portfolio Loans at March 31, 2017 compared to 1.26% at December 31, 2016.</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Three of the four components of the allowance for loan losses outlined above increased in the first quarter of 2017. The allowance for loan losses related to specific loans decreased $1.5 million in 2017 due primarily to a decline in the balance of individually impaired loans as well as charge-offs. In particular, we received a full payoff in March 2017 on a commercial loan that had a specific reserve of $1.2 million at December 31, 2016. The allowance for loan losses related to other adversely rated commercial loans increased $0.1 million in 2017 primarily due to slight upward adjustments in our probability of default and expected loss rates that were partially offset by a decrease in the balance of such loans included in this component to $11.6 million at March 31, 2017 from $11.8 million at December 31, 2016. The allowance for loan losses related to historical losses increased $0.9 million during 2017 due principally to slight upward adjustments in our probability of default and expected loss rates for commercial loans, an additional component of approximately $0.5 million added for loans secured by commercial real estate due primarily to emerging risks in this sector (such as retail store closings and potential overdevelopment in certain markets) and loan growth. We also extended our historical lookback period to be more representative of the probability of default and account for infrequent migration events and extremely low levels of watch credits. The allowance for loan losses related to subjective factors increased $0.3 million during 2017 primarily due to loan growth.</w:t>
      </w:r>
    </w:p>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Two of the four components of the allowance for loan losses outlined above declined in the first quarter of 2016. The allowance for loan losses related to specific loans decreased $0.1 million in 2016 due primarily to a decline in the balance of individually impaired loans as well as charge-offs. The allowance for loan losses related to other adversely rated commercial loans decreased $0.2 million in 2016 primarily due to a decrease in the balance of such loans included in this component to $25.5 million at March 31, 2016 from $27.8 million at December 31, 2015. The allowance for loan losses related to historical losses increased $0.2 million during 2016 due principally to commercial loan growth. The allowance for loan losses related to subjective factors increased $0.1 million during 2016 primarily due to minor deterioration of some of the economic indicators used in computing this component.</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Deposits and borrowings. </w:t>
      </w:r>
      <w:r>
        <w:rPr>
          <w:rFonts w:ascii="Arial" w:cs="Arial" w:eastAsia="Arial" w:hAnsi="Arial"/>
          <w:sz w:val="17"/>
          <w:szCs w:val="17"/>
          <w:color w:val="auto"/>
        </w:rPr>
        <w:t>Historically, the loyalty of our customer base has allowed us to price deposits competitively, contributing to a net interest margin</w:t>
      </w:r>
      <w:r>
        <w:rPr>
          <w:rFonts w:ascii="Arial" w:cs="Arial" w:eastAsia="Arial" w:hAnsi="Arial"/>
          <w:sz w:val="17"/>
          <w:szCs w:val="17"/>
          <w:b w:val="1"/>
          <w:bCs w:val="1"/>
          <w:color w:val="auto"/>
        </w:rPr>
        <w:t xml:space="preserve"> </w:t>
      </w:r>
      <w:r>
        <w:rPr>
          <w:rFonts w:ascii="Arial" w:cs="Arial" w:eastAsia="Arial" w:hAnsi="Arial"/>
          <w:sz w:val="17"/>
          <w:szCs w:val="17"/>
          <w:color w:val="auto"/>
        </w:rPr>
        <w:t>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Deposits totaled $2.26 billion and $2.23 billion at March 31, 2017 and December 31, 2016, respectively. The $37.3 million increase in deposits in the first quarter of 2017 is due to growth in savings and interest-bearing checking deposit account balances. Reciprocal deposits totaled $41.4 million and $38.7 million at March 31, 2017 and December 31, 2016, respectively. These deposits represent demand, money market and time deposits from our customers that have been placed through Promontory Interfinancial Network’s Insured Cash Sweep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service and Certificate of Deposit Account Registry Service</w:t>
      </w:r>
      <w:r>
        <w:rPr>
          <w:rFonts w:ascii="Arial" w:cs="Arial" w:eastAsia="Arial" w:hAnsi="Arial"/>
          <w:sz w:val="26"/>
          <w:szCs w:val="26"/>
          <w:color w:val="auto"/>
          <w:vertAlign w:val="superscript"/>
        </w:rPr>
        <w:t>®</w:t>
      </w:r>
      <w:r>
        <w:rPr>
          <w:rFonts w:ascii="Arial" w:cs="Arial" w:eastAsia="Arial" w:hAnsi="Arial"/>
          <w:sz w:val="16"/>
          <w:szCs w:val="16"/>
          <w:color w:val="auto"/>
        </w:rPr>
        <w:t>. These services allow our customers to access multi-million dollar FDIC deposit insurance on deposit balances greater than the standard FDIC insurance maximum.</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March 31, 2017, we had approximately $566.1 million of uninsured deposits. A reduction in core deposits would likely increase our need to rely on wholesale funding sources.</w:t>
      </w:r>
    </w:p>
    <w:p>
      <w:pPr>
        <w:spacing w:after="0" w:line="20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5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borrowings, comprised almost entirely of advances from the Federal Home Loan Bank (the “FHLB”), totaled $9.4 million at both March 31, 2017 and December 31, 2016, respectively.</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described above, we utilize wholesale funding, including FHLB borrowings and Brokered CDs to augment our core deposits and fund a portion of our assets. At March 31, 2017, our use of such wholesale funding sources (including reciprocal deposits) amounted to approximately $50.8 million, or 2.2%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historically employed derivative financial instruments to manage our exposure to changes in interest rates. We discontinued the active use of derivative financial instruments during 2008. We began to again utilize interest-rate swaps in 2014, relating to our commercial lending activities. During the first quarters of 2017 and 2016, we entered into $9.8 million and 31.6 million (aggregate notional amounts), respectively, of interest rate swaps with commercial loan customers, which were offset with interest rate swaps that the Bank entered into with a broker-dealer. We recorded $0.05 million and $0.27 million of fee income related to these transactions during the first quarters of 2017 and 2016,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a federal funds purchased borrowing facility with another commercial bank, and access to the capital markets (for Brokered CDs).</w:t>
      </w:r>
    </w:p>
    <w:p>
      <w:pPr>
        <w:spacing w:after="0" w:line="197"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At March 31, 2017, we had $350.3 million of time deposits that mature in the next 12 months. Historically, a majority of these maturing time deposits are renewed by our customers. Additionally, $1.79 billion of our deposits at March 31, 2017,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short-term assets with maturities less than 30 days and loans held for sale) to total assets, short-term liability dependence and basic surplus (defined as quick assets compared to short-term liabilities). Policy limits have been established for our various liquidity measurements and are monitored on a monthly basis. In addition, we also prepare cash flow forecasts that include a variety of different scenarios.</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our ability to issue Brokered CDs and our improved financial metrics.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believe that the available cash on hand at the parent company (including time deposits) of approximately $16.8 million as of March 31, 2017 provides sufficient liquidity resources at the parent company to meet operating expenses, to make interest payments on the subordinated debentures and to pay a cash dividend on our common stock for the foreseeable future.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59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Capitalization</w:t>
            </w: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55"/>
              <w:spacing w:after="0"/>
              <w:rPr>
                <w:sz w:val="20"/>
                <w:szCs w:val="20"/>
                <w:color w:val="auto"/>
              </w:rPr>
            </w:pPr>
            <w:r>
              <w:rPr>
                <w:rFonts w:ascii="Arial" w:cs="Arial" w:eastAsia="Arial" w:hAnsi="Arial"/>
                <w:sz w:val="18"/>
                <w:szCs w:val="18"/>
                <w:color w:val="auto"/>
                <w:w w:val="97"/>
              </w:rPr>
              <w:t>March 31,</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35,569</w:t>
            </w:r>
          </w:p>
        </w:tc>
      </w:tr>
      <w:tr>
        <w:trPr>
          <w:trHeight w:val="223"/>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Amount not qualifying as regulatory capital</w:t>
            </w: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Amount qualifying as regulatory capital</w:t>
            </w:r>
          </w:p>
        </w:tc>
        <w:tc>
          <w:tcPr>
            <w:tcW w:w="2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323,745</w:t>
            </w:r>
          </w:p>
        </w:tc>
      </w:tr>
      <w:tr>
        <w:trPr>
          <w:trHeight w:val="216"/>
        </w:trPr>
        <w:tc>
          <w:tcPr>
            <w:tcW w:w="2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(61,764)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(65,657)</w:t>
            </w:r>
          </w:p>
        </w:tc>
      </w:tr>
      <w:tr>
        <w:trPr>
          <w:trHeight w:val="223"/>
        </w:trPr>
        <w:tc>
          <w:tcPr>
            <w:tcW w:w="20" w:type="dxa"/>
            <w:vAlign w:val="bottom"/>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(9,108)</w:t>
            </w: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56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284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255,475</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248,980</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2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289,975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have three special purpose entities with $34.5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March 31, 2017 and December 31, 2016.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Common shareholders’ equity increased to $255.5 million at March 31, 2017 from $249.0 million at December 31, 2016 due primarily to our net income and a decline in our accumulated other comprehensive loss that was partially offset by a dividend that we paid. Our tangible common equity (“TCE”) totaled $253.6 million and $247.0 million, respectively, at those same dates. Our ratio of TCE to tangible assets was 9.78% and 9.70% at March 31, 2017 and December 31, 2016, respectively. TCE and the ratio of TCE to tangible assets are non-GAAP measures. TCE represents total common equity less intangible assets.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23, 2017, our Board of Directors authorized a share repurchase plan. Under the terms of the 2017 share repurchase plan, we are authorized to buy back up to 5% of our outstanding common stock. This repurchase plan is authorized to last through December 31, 2017. We did not repurchase any shares during the first quarter of 2017.</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resumed a quarterly cash dividend on our common stock of six cents per share in May 2014 and continued to pay regular quarterly dividends at that amount through August 2015. In October 2016 and 2015, our Board of Directors increased the quarterly cash dividend on our common stock to ten cents and eight cents per share, respectively.</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2017 and December 31, 2016, our Bank (and holding company) continued to meet the requirements to be considered “well-capitalized” under federal regulatory standards (also see note #10 to the Condensed Consolidated Financial Statements included within this report).</w:t>
      </w:r>
    </w:p>
    <w:p>
      <w:pPr>
        <w:spacing w:after="0" w:line="17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financial instruments, including caps on adjustable-rate loans as well as borrowers’ rights to prepay fixed-rate loans, also create interest-rate risk.</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asset/liability management efforts identify and evaluate opportunities to structure our statement of financial condition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5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w w:val="99"/>
              </w:rPr>
              <w:t>Changes in Market Value of Portfolio Equity and Net Interest Income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Market Value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color w:val="auto"/>
              </w:rPr>
              <w:t>Change in Interest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Of Portfolio</w:t>
            </w:r>
          </w:p>
        </w:tc>
        <w:tc>
          <w:tcPr>
            <w:tcW w:w="1340" w:type="dxa"/>
            <w:vAlign w:val="bottom"/>
            <w:gridSpan w:val="2"/>
          </w:tcPr>
          <w:p>
            <w:pPr>
              <w:jc w:val="right"/>
              <w:ind w:right="410"/>
              <w:spacing w:after="0"/>
              <w:rPr>
                <w:sz w:val="20"/>
                <w:szCs w:val="20"/>
                <w:color w:val="auto"/>
              </w:rPr>
            </w:pPr>
            <w:r>
              <w:rPr>
                <w:rFonts w:ascii="Arial" w:cs="Arial" w:eastAsia="Arial" w:hAnsi="Arial"/>
                <w:sz w:val="18"/>
                <w:szCs w:val="18"/>
                <w:color w:val="auto"/>
              </w:rPr>
              <w:t>Percent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Net Interest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0"/>
        </w:trPr>
        <w:tc>
          <w:tcPr>
            <w:tcW w:w="5800" w:type="dxa"/>
            <w:vAlign w:val="bottom"/>
            <w:gridSpan w:val="3"/>
          </w:tcPr>
          <w:p>
            <w:pPr>
              <w:spacing w:after="0"/>
              <w:rPr>
                <w:sz w:val="20"/>
                <w:szCs w:val="20"/>
                <w:color w:val="auto"/>
              </w:rPr>
            </w:pPr>
            <w:r>
              <w:rPr>
                <w:rFonts w:ascii="Arial" w:cs="Arial" w:eastAsia="Arial" w:hAnsi="Arial"/>
                <w:sz w:val="18"/>
                <w:szCs w:val="18"/>
                <w:color w:val="auto"/>
              </w:rPr>
              <w:t>Rates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Equity(1)</w:t>
            </w:r>
          </w:p>
        </w:tc>
        <w:tc>
          <w:tcPr>
            <w:tcW w:w="1340" w:type="dxa"/>
            <w:vAlign w:val="bottom"/>
            <w:gridSpan w:val="2"/>
          </w:tcPr>
          <w:p>
            <w:pPr>
              <w:jc w:val="right"/>
              <w:ind w:right="410"/>
              <w:spacing w:after="0"/>
              <w:rPr>
                <w:sz w:val="20"/>
                <w:szCs w:val="20"/>
                <w:color w:val="auto"/>
              </w:rPr>
            </w:pPr>
            <w:r>
              <w:rPr>
                <w:rFonts w:ascii="Arial" w:cs="Arial" w:eastAsia="Arial" w:hAnsi="Arial"/>
                <w:sz w:val="18"/>
                <w:szCs w:val="18"/>
                <w:color w:val="auto"/>
              </w:rPr>
              <w:t>Change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Income(2)</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114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March 31, 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vMerge w:val="continue"/>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432,100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424,700</w:t>
            </w: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85,800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407,400</w:t>
            </w:r>
          </w:p>
        </w:tc>
        <w:tc>
          <w:tcPr>
            <w:tcW w:w="1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367,400</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(9.82)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75,600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427,400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417,800</w:t>
            </w: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82,500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399,800</w:t>
            </w:r>
          </w:p>
        </w:tc>
        <w:tc>
          <w:tcPr>
            <w:tcW w:w="1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366,000</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(8.45)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73,500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89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340" w:hanging="332"/>
        <w:spacing w:after="0" w:line="25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ind w:left="340" w:hanging="332"/>
        <w:spacing w:after="0" w:line="290"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Accounting standards update. </w:t>
      </w:r>
      <w:r>
        <w:rPr>
          <w:rFonts w:ascii="Arial" w:cs="Arial" w:eastAsia="Arial" w:hAnsi="Arial"/>
          <w:sz w:val="18"/>
          <w:szCs w:val="18"/>
          <w:color w:val="auto"/>
        </w:rPr>
        <w:t>See note #2 to the Condensed Consolidated Financial Statements included elsewhere in this report for details on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accounting pronouncements and their impact on our financial statements.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Fair valuation of financial instruments. </w:t>
      </w:r>
      <w:r>
        <w:rPr>
          <w:rFonts w:ascii="Arial" w:cs="Arial" w:eastAsia="Arial" w:hAnsi="Arial"/>
          <w:sz w:val="18"/>
          <w:szCs w:val="18"/>
          <w:color w:val="auto"/>
        </w:rPr>
        <w:t>Financial Accounting Standards Board (“FASB”) Accounting Standards Codification (“ASC”) topic 820 -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Trading securities, securities available for sale, loans held for sale, derivatives and capitalized mortgage loan servicing rights (as of January 1, 2017) are financial instruments recorded at fair value on a recurring basis. Additionally, from time to time, we may be required to record at fair value other financial assets on a nonrecurring basis, such as loans held for investment, capitalized mortgage loan servicing rights (prior to 2017) and certain other assets. These nonrecurring fair value adjustments typically involve application of lower of cost or market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ITIGATION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“Recent Developments” we settled a litigation matter in December 2016 and recorded a $2.3 million expense in the fourth quarter. We are also involved in various other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AFLL, capitalized mortgage loan servicing rights, and income taxes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2016.</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ISCLOSURES ABOUT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applicable disclosures set forth in “Management’s Discussion and Analysis of Financial Condition and Results of Operations” in Item 2 under the caption “Asset/liability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5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52"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March 31, 2017, have concluded that, as of such date, our disclosure controls and procedures were effective.</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During the quarter ended March 31, 2017, there were no changes in our internal control over financial reporting that materially affected, or are reasonably likely to materially affect, our internal control over financial reporting.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u w:val="single" w:color="auto"/>
          <w:color w:val="auto"/>
        </w:rPr>
        <w:t>Item1A.</w:t>
        <w:tab/>
        <w:t>Risk Factors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Risk Factors of our Annual Report on Form 10-K for the year ended December 31, 2016.</w:t>
      </w:r>
    </w:p>
    <w:p>
      <w:pPr>
        <w:spacing w:after="0" w:line="19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first quarter of 2017, the Company issued 679 shares of common stock to non-employee directors on a current basis and 985 shares of common stock to the trust for distribution to directors on a deferred basis. The shares were issued on January 1, 2017, at a price of $21.70 per share, representing aggregate fees of $0.04 million.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repurchases of common stock for the three-months ended March 31,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Remaining</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for Purchase</w:t>
            </w:r>
          </w:p>
        </w:tc>
      </w:tr>
      <w:tr>
        <w:trPr>
          <w:trHeight w:val="237"/>
        </w:trPr>
        <w:tc>
          <w:tcPr>
            <w:tcW w:w="20" w:type="dxa"/>
            <w:vAlign w:val="bottom"/>
          </w:tcPr>
          <w:p>
            <w:pPr>
              <w:spacing w:after="0"/>
              <w:rPr>
                <w:sz w:val="20"/>
                <w:szCs w:val="20"/>
                <w:color w:val="auto"/>
              </w:rPr>
            </w:pPr>
          </w:p>
        </w:tc>
        <w:tc>
          <w:tcPr>
            <w:tcW w:w="5420" w:type="dxa"/>
            <w:vAlign w:val="bottom"/>
          </w:tcPr>
          <w:p>
            <w:pPr>
              <w:ind w:left="320"/>
              <w:spacing w:after="0"/>
              <w:rPr>
                <w:sz w:val="20"/>
                <w:szCs w:val="20"/>
                <w:color w:val="auto"/>
              </w:rPr>
            </w:pPr>
            <w:r>
              <w:rPr>
                <w:rFonts w:ascii="Arial" w:cs="Arial" w:eastAsia="Arial" w:hAnsi="Arial"/>
                <w:sz w:val="18"/>
                <w:szCs w:val="18"/>
                <w:color w:val="auto"/>
              </w:rPr>
              <w:t>Period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w w:val="85"/>
              </w:rPr>
              <w:t>Shares Purchased (1)</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Paid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Announced Plan</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6"/>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2017</w:t>
            </w: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February 2017</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46,538</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21.80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1,062,905</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2017</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46,538</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21.80</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1,062,905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(i) 29,355 shares of our common stock purchased in the open market by the Independent Bank Corporation Employee Stock Ownership Trust as part of our employee stock ownership plan, and (ii) 17,183 shares withheld from the shares that would otherwise have been issued to certain officers in order to satisfy tax withholding obligations resulting from vesting of restricted stock.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The following exhibits (listed by number corresponding to the Exhibit Table as Item 601 in Regulation S-K) are filed with this report:</w:t>
      </w:r>
    </w:p>
    <w:p>
      <w:pPr>
        <w:spacing w:after="0" w:line="23" w:lineRule="exact"/>
        <w:rPr>
          <w:sz w:val="20"/>
          <w:szCs w:val="20"/>
          <w:color w:val="auto"/>
        </w:rPr>
      </w:pPr>
    </w:p>
    <w:p>
      <w:pPr>
        <w:ind w:left="920" w:hanging="337"/>
        <w:spacing w:after="0" w:line="250" w:lineRule="auto"/>
        <w:rPr>
          <w:rFonts w:ascii="Arial" w:cs="Arial" w:eastAsia="Arial" w:hAnsi="Arial"/>
          <w:sz w:val="18"/>
          <w:szCs w:val="18"/>
          <w:color w:val="0000EE"/>
        </w:rPr>
      </w:pPr>
      <w:hyperlink w:anchor="page83">
        <w:r>
          <w:rPr>
            <w:rFonts w:ascii="Arial" w:cs="Arial" w:eastAsia="Arial" w:hAnsi="Arial"/>
            <w:sz w:val="18"/>
            <w:szCs w:val="18"/>
            <w:u w:val="single" w:color="auto"/>
            <w:color w:val="0000EE"/>
          </w:rPr>
          <w:t>31.1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20" w:hanging="337"/>
        <w:spacing w:after="0" w:line="250" w:lineRule="auto"/>
        <w:rPr>
          <w:rFonts w:ascii="Arial" w:cs="Arial" w:eastAsia="Arial" w:hAnsi="Arial"/>
          <w:sz w:val="18"/>
          <w:szCs w:val="18"/>
          <w:color w:val="0000EE"/>
        </w:rPr>
      </w:pPr>
      <w:hyperlink w:anchor="page84">
        <w:r>
          <w:rPr>
            <w:rFonts w:ascii="Arial" w:cs="Arial" w:eastAsia="Arial" w:hAnsi="Arial"/>
            <w:sz w:val="18"/>
            <w:szCs w:val="18"/>
            <w:u w:val="single" w:color="auto"/>
            <w:color w:val="0000EE"/>
          </w:rPr>
          <w:t>31.2</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Financial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spacing w:after="0" w:line="1" w:lineRule="exact"/>
        <w:rPr>
          <w:sz w:val="20"/>
          <w:szCs w:val="20"/>
          <w:color w:val="auto"/>
        </w:rPr>
      </w:pPr>
    </w:p>
    <w:p>
      <w:pPr>
        <w:ind w:left="920" w:hanging="337"/>
        <w:spacing w:after="0" w:line="250" w:lineRule="auto"/>
        <w:rPr>
          <w:rFonts w:ascii="Arial" w:cs="Arial" w:eastAsia="Arial" w:hAnsi="Arial"/>
          <w:sz w:val="18"/>
          <w:szCs w:val="18"/>
          <w:color w:val="0000EE"/>
        </w:rPr>
      </w:pPr>
      <w:hyperlink w:anchor="page85">
        <w:r>
          <w:rPr>
            <w:rFonts w:ascii="Arial" w:cs="Arial" w:eastAsia="Arial" w:hAnsi="Arial"/>
            <w:sz w:val="18"/>
            <w:szCs w:val="18"/>
            <w:u w:val="single" w:color="auto"/>
            <w:color w:val="0000EE"/>
          </w:rPr>
          <w:t>32.1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906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20" w:hanging="337"/>
        <w:spacing w:after="0" w:line="250" w:lineRule="auto"/>
        <w:rPr>
          <w:rFonts w:ascii="Arial" w:cs="Arial" w:eastAsia="Arial" w:hAnsi="Arial"/>
          <w:sz w:val="18"/>
          <w:szCs w:val="18"/>
          <w:color w:val="0000EE"/>
        </w:rPr>
      </w:pPr>
      <w:hyperlink w:anchor="page86">
        <w:r>
          <w:rPr>
            <w:rFonts w:ascii="Arial" w:cs="Arial" w:eastAsia="Arial" w:hAnsi="Arial"/>
            <w:sz w:val="18"/>
            <w:szCs w:val="18"/>
            <w:u w:val="single" w:color="auto"/>
            <w:color w:val="0000EE"/>
          </w:rPr>
          <w:t>32.2</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Financial Officer of Independent Bank Corporation pursuant to Section 906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101.INS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101.LAB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5700" w:val="left"/>
          <w:tab w:leader="none" w:pos="7960" w:val="left"/>
        </w:tabs>
        <w:rPr>
          <w:sz w:val="20"/>
          <w:szCs w:val="20"/>
          <w:color w:val="auto"/>
        </w:rPr>
      </w:pPr>
      <w:r>
        <w:rPr>
          <w:rFonts w:ascii="Arial" w:cs="Arial" w:eastAsia="Arial" w:hAnsi="Arial"/>
          <w:sz w:val="18"/>
          <w:szCs w:val="18"/>
          <w:color w:val="auto"/>
        </w:rPr>
        <w:t>Date  May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9551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Robert N. Shuster, Principal Financial Officer</w:t>
      </w:r>
    </w:p>
    <w:p>
      <w:pPr>
        <w:spacing w:after="0" w:line="225" w:lineRule="exact"/>
        <w:rPr>
          <w:sz w:val="20"/>
          <w:szCs w:val="20"/>
          <w:color w:val="auto"/>
        </w:rPr>
      </w:pPr>
    </w:p>
    <w:p>
      <w:pPr>
        <w:spacing w:after="0"/>
        <w:tabs>
          <w:tab w:leader="none" w:pos="5740" w:val="left"/>
          <w:tab w:leader="none" w:pos="7820" w:val="left"/>
        </w:tabs>
        <w:rPr>
          <w:sz w:val="20"/>
          <w:szCs w:val="20"/>
          <w:color w:val="auto"/>
        </w:rPr>
      </w:pPr>
      <w:r>
        <w:rPr>
          <w:rFonts w:ascii="Arial" w:cs="Arial" w:eastAsia="Arial" w:hAnsi="Arial"/>
          <w:sz w:val="18"/>
          <w:szCs w:val="18"/>
          <w:color w:val="auto"/>
        </w:rPr>
        <w:t>Date  May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9551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J. Twarozynski, Principal Accounting Officer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William B. Kessel, certify that:</w:t>
      </w:r>
    </w:p>
    <w:p>
      <w:pPr>
        <w:spacing w:after="0" w:line="252"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5720" w:type="dxa"/>
            <w:vAlign w:val="bottom"/>
          </w:tcPr>
          <w:p>
            <w:pPr>
              <w:spacing w:after="0"/>
              <w:rPr>
                <w:sz w:val="24"/>
                <w:szCs w:val="24"/>
                <w:color w:val="auto"/>
              </w:rPr>
            </w:pP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/s/ William B. Kessel</w:t>
            </w:r>
          </w:p>
        </w:tc>
      </w:tr>
      <w:tr>
        <w:trPr>
          <w:trHeight w:val="222"/>
        </w:trPr>
        <w:tc>
          <w:tcPr>
            <w:tcW w:w="5720" w:type="dxa"/>
            <w:vAlign w:val="bottom"/>
          </w:tcPr>
          <w:p>
            <w:pPr>
              <w:spacing w:after="0"/>
              <w:rPr>
                <w:sz w:val="19"/>
                <w:szCs w:val="19"/>
                <w:color w:val="auto"/>
              </w:rPr>
            </w:pPr>
          </w:p>
        </w:tc>
        <w:tc>
          <w:tcPr>
            <w:tcW w:w="166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4"/>
              </w:rPr>
              <w:t>William B. Kessel</w:t>
            </w:r>
          </w:p>
        </w:tc>
        <w:tc>
          <w:tcPr>
            <w:tcW w:w="4040" w:type="dxa"/>
            <w:vAlign w:val="bottom"/>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3, 2017</w:t>
            </w: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57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Robert N. Shuster, certify that:</w:t>
      </w:r>
    </w:p>
    <w:p>
      <w:pPr>
        <w:spacing w:after="0" w:line="252"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May 3, 2017</w:t>
            </w: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/s/ Robert N. Shuster</w:t>
            </w:r>
          </w:p>
        </w:tc>
      </w:tr>
      <w:tr>
        <w:trPr>
          <w:trHeight w:val="222"/>
        </w:trPr>
        <w:tc>
          <w:tcPr>
            <w:tcW w:w="5720" w:type="dxa"/>
            <w:vAlign w:val="bottom"/>
          </w:tcPr>
          <w:p>
            <w:pPr>
              <w:spacing w:after="0"/>
              <w:rPr>
                <w:sz w:val="19"/>
                <w:szCs w:val="19"/>
                <w:color w:val="auto"/>
              </w:rPr>
            </w:pPr>
          </w:p>
        </w:tc>
        <w:tc>
          <w:tcPr>
            <w:tcW w:w="16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0"/>
              </w:rPr>
              <w:t>Robert N. Shuster</w:t>
            </w:r>
          </w:p>
        </w:tc>
        <w:tc>
          <w:tcPr>
            <w:tcW w:w="4060" w:type="dxa"/>
            <w:vAlign w:val="bottom"/>
          </w:tcPr>
          <w:p>
            <w:pPr>
              <w:spacing w:after="0"/>
              <w:rPr>
                <w:sz w:val="19"/>
                <w:szCs w:val="19"/>
                <w:color w:val="auto"/>
              </w:rPr>
            </w:pPr>
          </w:p>
        </w:tc>
      </w:tr>
      <w:tr>
        <w:trPr>
          <w:trHeight w:val="230"/>
        </w:trPr>
        <w:tc>
          <w:tcPr>
            <w:tcW w:w="5720" w:type="dxa"/>
            <w:vAlign w:val="bottom"/>
          </w:tcPr>
          <w:p>
            <w:pPr>
              <w:spacing w:after="0"/>
              <w:rPr>
                <w:sz w:val="20"/>
                <w:szCs w:val="20"/>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r>
        <w:trPr>
          <w:trHeight w:val="601"/>
        </w:trPr>
        <w:tc>
          <w:tcPr>
            <w:tcW w:w="57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William B. Kessel, President and Chief Executive Officer of Independent Bank Corporation, certify, to the best of my knowledge and belief, pursuant to Section 906 of the Sarbanes-Oxley Act of 2002 (18 U.S.C. 1350) that:</w:t>
      </w:r>
    </w:p>
    <w:p>
      <w:pPr>
        <w:spacing w:after="0" w:line="197" w:lineRule="exact"/>
        <w:rPr>
          <w:sz w:val="20"/>
          <w:szCs w:val="20"/>
          <w:color w:val="auto"/>
        </w:rPr>
      </w:pPr>
    </w:p>
    <w:p>
      <w:pPr>
        <w:ind w:left="1620" w:right="20" w:hanging="640"/>
        <w:spacing w:after="0" w:line="27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2017,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March 31, 2017, fairly presents, in all material respects, the financial condition and results of operations of Independent Bank Corporation.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May 3, 2017</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/s/ William B. Kessel</w:t>
            </w:r>
          </w:p>
        </w:tc>
      </w:tr>
      <w:tr>
        <w:trPr>
          <w:trHeight w:val="222"/>
        </w:trPr>
        <w:tc>
          <w:tcPr>
            <w:tcW w:w="5720" w:type="dxa"/>
            <w:vAlign w:val="bottom"/>
          </w:tcPr>
          <w:p>
            <w:pPr>
              <w:spacing w:after="0"/>
              <w:rPr>
                <w:sz w:val="19"/>
                <w:szCs w:val="19"/>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B. Kessel</w:t>
            </w:r>
          </w:p>
        </w:tc>
        <w:tc>
          <w:tcPr>
            <w:tcW w:w="1500" w:type="dxa"/>
            <w:vAlign w:val="bottom"/>
          </w:tcPr>
          <w:p>
            <w:pPr>
              <w:spacing w:after="0"/>
              <w:rPr>
                <w:sz w:val="19"/>
                <w:szCs w:val="19"/>
                <w:color w:val="auto"/>
              </w:rPr>
            </w:pPr>
          </w:p>
        </w:tc>
      </w:tr>
      <w:tr>
        <w:trPr>
          <w:trHeight w:val="230"/>
        </w:trPr>
        <w:tc>
          <w:tcPr>
            <w:tcW w:w="57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Robert N. Shuster, Chief Financial Officer of Independent Bank Corporation, certify, to the best of my knowledge and belief, pursuant to Section 906 of the Sarbanes-Oxley Act of 2002 (18 U.S.C. 1350) that:</w:t>
      </w:r>
    </w:p>
    <w:p>
      <w:pPr>
        <w:spacing w:after="0" w:line="197" w:lineRule="exact"/>
        <w:rPr>
          <w:sz w:val="20"/>
          <w:szCs w:val="20"/>
          <w:color w:val="auto"/>
        </w:rPr>
      </w:pPr>
    </w:p>
    <w:p>
      <w:pPr>
        <w:ind w:left="1620" w:right="20" w:hanging="640"/>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2017,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March 31, 2017, fairly presents, in all material respects, the financial condition and results of operations of Independent Bank Corporation.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May 3, 2017</w:t>
            </w:r>
          </w:p>
        </w:tc>
        <w:tc>
          <w:tcPr>
            <w:tcW w:w="3120" w:type="dxa"/>
            <w:vAlign w:val="bottom"/>
            <w:gridSpan w:val="2"/>
          </w:tcPr>
          <w:p>
            <w:pPr>
              <w:ind w:left="140"/>
              <w:spacing w:after="0"/>
              <w:rPr>
                <w:sz w:val="20"/>
                <w:szCs w:val="20"/>
                <w:color w:val="auto"/>
              </w:rPr>
            </w:pPr>
            <w:r>
              <w:rPr>
                <w:rFonts w:ascii="Arial" w:cs="Arial" w:eastAsia="Arial" w:hAnsi="Arial"/>
                <w:sz w:val="18"/>
                <w:szCs w:val="18"/>
                <w:color w:val="auto"/>
              </w:rPr>
              <w:t>/s/ Robert N. Shuster</w:t>
            </w:r>
          </w:p>
        </w:tc>
      </w:tr>
      <w:tr>
        <w:trPr>
          <w:trHeight w:val="222"/>
        </w:trPr>
        <w:tc>
          <w:tcPr>
            <w:tcW w:w="5720" w:type="dxa"/>
            <w:vAlign w:val="bottom"/>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N. Shuster</w:t>
            </w:r>
          </w:p>
        </w:tc>
        <w:tc>
          <w:tcPr>
            <w:tcW w:w="1480" w:type="dxa"/>
            <w:vAlign w:val="bottom"/>
          </w:tcPr>
          <w:p>
            <w:pPr>
              <w:spacing w:after="0"/>
              <w:rPr>
                <w:sz w:val="19"/>
                <w:szCs w:val="19"/>
                <w:color w:val="auto"/>
              </w:rPr>
            </w:pPr>
          </w:p>
        </w:tc>
      </w:tr>
      <w:tr>
        <w:trPr>
          <w:trHeight w:val="230"/>
        </w:trPr>
        <w:tc>
          <w:tcPr>
            <w:tcW w:w="57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2"/>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0"/>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2"/>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3"/>
    </w:lvl>
  </w:abstractNum>
  <w:abstractNum w:abstractNumId="19">
    <w:nsid w:val="189A769B"/>
    <w:multiLevelType w:val="hybridMultilevel"/>
    <w:lvl w:ilvl="0">
      <w:lvlJc w:val="left"/>
      <w:lvlText w:val="$"/>
      <w:numFmt w:val="bullet"/>
      <w:start w:val="1"/>
    </w:lvl>
    <w:lvl w:ilvl="1">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lvl w:ilvl="1">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5"/>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2020-01-17T06:36:17Z</dcterms:created>
  <dcterms:modified xsi:type="dcterms:W3CDTF">2020-01-17T06:36:17Z</dcterms:modified>
</cp:coreProperties>
</file>