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10-Q</w:t>
      </w:r>
    </w:p>
    <w:p>
      <w:pPr>
        <w:spacing w:after="0" w:line="26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2020</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Michigan</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38-2032782</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(616) 527-5820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address and fiscal year, if changed since last report.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6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IBCP</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6"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smaller reporting company or an emerging growth company.</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stock, no par value, 21,884,495 as of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8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INDEPENDENT BANK CORPORATION AND SUBSIDIARIES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840" w:type="dxa"/>
            <w:vAlign w:val="bottom"/>
            <w:gridSpan w:val="4"/>
          </w:tcPr>
          <w:p>
            <w:pPr>
              <w:jc w:val="center"/>
              <w:ind w:right="4280"/>
              <w:spacing w:after="0"/>
              <w:rPr>
                <w:sz w:val="20"/>
                <w:szCs w:val="20"/>
                <w:color w:val="auto"/>
              </w:rPr>
            </w:pPr>
            <w:r>
              <w:rPr>
                <w:rFonts w:ascii="Times New Roman" w:cs="Times New Roman" w:eastAsia="Times New Roman" w:hAnsi="Times New Roman"/>
                <w:sz w:val="18"/>
                <w:szCs w:val="18"/>
                <w:color w:val="auto"/>
                <w:w w:val="99"/>
              </w:rPr>
              <w:t>INDEX</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 -</w:t>
            </w:r>
          </w:p>
        </w:tc>
        <w:tc>
          <w:tcPr>
            <w:tcW w:w="442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Financial Information</w:t>
            </w:r>
          </w:p>
        </w:tc>
        <w:tc>
          <w:tcPr>
            <w:tcW w:w="560" w:type="dxa"/>
            <w:vAlign w:val="bottom"/>
            <w:tcBorders>
              <w:top w:val="single" w:sz="8" w:color="auto"/>
            </w:tcBorders>
            <w:vMerge w:val="restart"/>
          </w:tcPr>
          <w:p>
            <w:pPr>
              <w:spacing w:after="0"/>
              <w:rPr>
                <w:sz w:val="24"/>
                <w:szCs w:val="24"/>
                <w:color w:val="auto"/>
              </w:rPr>
            </w:pPr>
          </w:p>
        </w:tc>
        <w:tc>
          <w:tcPr>
            <w:tcW w:w="4280" w:type="dxa"/>
            <w:vAlign w:val="bottom"/>
            <w:gridSpan w:val="3"/>
            <w:vMerge w:val="restart"/>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Number(s)</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4420" w:type="dxa"/>
            <w:vAlign w:val="bottom"/>
            <w:gridSpan w:val="7"/>
            <w:vMerge w:val="continue"/>
          </w:tcPr>
          <w:p>
            <w:pPr>
              <w:spacing w:after="0"/>
              <w:rPr>
                <w:sz w:val="17"/>
                <w:szCs w:val="17"/>
                <w:color w:val="auto"/>
              </w:rPr>
            </w:pPr>
          </w:p>
        </w:tc>
        <w:tc>
          <w:tcPr>
            <w:tcW w:w="560" w:type="dxa"/>
            <w:vAlign w:val="bottom"/>
            <w:tcBorders>
              <w:top w:val="single" w:sz="8" w:color="auto"/>
            </w:tcBorders>
            <w:vMerge w:val="continue"/>
          </w:tcPr>
          <w:p>
            <w:pPr>
              <w:spacing w:after="0"/>
              <w:rPr>
                <w:sz w:val="17"/>
                <w:szCs w:val="17"/>
                <w:color w:val="auto"/>
              </w:rPr>
            </w:pPr>
          </w:p>
        </w:tc>
        <w:tc>
          <w:tcPr>
            <w:tcW w:w="4280" w:type="dxa"/>
            <w:vAlign w:val="bottom"/>
            <w:gridSpan w:val="3"/>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1"/>
            <w:shd w:val="clear" w:color="auto" w:fill="CCEEFF"/>
          </w:tcPr>
          <w:p>
            <w:pPr>
              <w:ind w:left="2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Financial Condition September 30, 2020 and December 31, 2019</w:t>
              </w:r>
            </w:hyperlink>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60" w:type="dxa"/>
            <w:vAlign w:val="bottom"/>
            <w:gridSpan w:val="11"/>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Operations Three- and Nine-month periods ended September 30, 2020 and 2019</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Three- and Nine-month periods ended September 30,</w:t>
              </w:r>
            </w:hyperlink>
          </w:p>
        </w:tc>
        <w:tc>
          <w:tcPr>
            <w:tcW w:w="10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60" w:type="dxa"/>
            <w:vAlign w:val="bottom"/>
            <w:tcBorders>
              <w:top w:val="single" w:sz="8" w:color="0000EE"/>
            </w:tcBorders>
            <w:gridSpan w:val="8"/>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2020 and 2019</w:t>
              </w:r>
            </w:hyperlink>
          </w:p>
        </w:tc>
        <w:tc>
          <w:tcPr>
            <w:tcW w:w="6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9260" w:type="dxa"/>
            <w:vAlign w:val="bottom"/>
            <w:gridSpan w:val="11"/>
          </w:tcPr>
          <w:p>
            <w:pPr>
              <w:ind w:left="2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Nine-month periods ended September 30, 2020 and 2019</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Shareholders' Equity Three- and Nine-month periods ended September 30, 2020</w:t>
              </w:r>
            </w:hyperlink>
          </w:p>
        </w:tc>
        <w:tc>
          <w:tcPr>
            <w:tcW w:w="4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60" w:type="dxa"/>
            <w:vAlign w:val="bottom"/>
            <w:gridSpan w:val="10"/>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and 2019</w:t>
              </w:r>
            </w:hyperlink>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9260" w:type="dxa"/>
            <w:vAlign w:val="bottom"/>
            <w:gridSpan w:val="11"/>
          </w:tcPr>
          <w:p>
            <w:pPr>
              <w:ind w:left="20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Interim Condensed Consolidated Financial Statements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1"/>
            <w:shd w:val="clear" w:color="auto" w:fill="CCEEFF"/>
          </w:tcPr>
          <w:p>
            <w:pPr>
              <w:ind w:left="200"/>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1"/>
          </w:tcPr>
          <w:p>
            <w:pPr>
              <w:ind w:left="20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Quantitative and Qualitative Disclosures about Market Risk</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1"/>
            <w:shd w:val="clear" w:color="auto" w:fill="CCEEFF"/>
          </w:tcPr>
          <w:p>
            <w:pPr>
              <w:ind w:left="20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Controls and Procedures</w:t>
              </w:r>
            </w:hyperlink>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 -</w:t>
            </w:r>
          </w:p>
        </w:tc>
        <w:tc>
          <w:tcPr>
            <w:tcW w:w="200" w:type="dxa"/>
            <w:vAlign w:val="bottom"/>
            <w:shd w:val="clear" w:color="auto" w:fill="CCEEFF"/>
          </w:tcPr>
          <w:p>
            <w:pPr>
              <w:spacing w:after="0"/>
              <w:rPr>
                <w:sz w:val="17"/>
                <w:szCs w:val="17"/>
                <w:color w:val="auto"/>
              </w:rPr>
            </w:pPr>
          </w:p>
        </w:tc>
        <w:tc>
          <w:tcPr>
            <w:tcW w:w="90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Item 1A</w:t>
            </w: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gridSpan w:val="4"/>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Risk Factors</w:t>
              </w:r>
            </w:hyperlink>
          </w:p>
        </w:tc>
        <w:tc>
          <w:tcPr>
            <w:tcW w:w="7740" w:type="dxa"/>
            <w:vAlign w:val="bottom"/>
            <w:tcBorders>
              <w:top w:val="single" w:sz="8" w:color="CCEEFF"/>
            </w:tcBorders>
            <w:gridSpan w:val="6"/>
          </w:tcPr>
          <w:p>
            <w:pPr>
              <w:spacing w:after="0"/>
              <w:rPr>
                <w:sz w:val="18"/>
                <w:szCs w:val="18"/>
                <w:color w:val="auto"/>
              </w:rPr>
            </w:pP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1"/>
            <w:shd w:val="clear" w:color="auto" w:fill="CCEEFF"/>
          </w:tcPr>
          <w:p>
            <w:pPr>
              <w:ind w:left="20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1"/>
          </w:tcPr>
          <w:p>
            <w:pPr>
              <w:ind w:left="200"/>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Exhibits</w:t>
              </w:r>
            </w:hyperlink>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920" w:type="dxa"/>
            <w:vAlign w:val="bottom"/>
          </w:tcPr>
          <w:p>
            <w:pPr>
              <w:spacing w:after="0"/>
              <w:rPr>
                <w:sz w:val="24"/>
                <w:szCs w:val="24"/>
                <w:color w:val="auto"/>
              </w:rPr>
            </w:pPr>
          </w:p>
        </w:tc>
        <w:tc>
          <w:tcPr>
            <w:tcW w:w="4980" w:type="dxa"/>
            <w:vAlign w:val="bottom"/>
            <w:gridSpan w:val="8"/>
          </w:tcPr>
          <w:p>
            <w:pPr>
              <w:jc w:val="center"/>
              <w:ind w:left="4330"/>
              <w:spacing w:after="0"/>
              <w:rPr>
                <w:sz w:val="20"/>
                <w:szCs w:val="20"/>
                <w:color w:val="auto"/>
              </w:rPr>
            </w:pPr>
            <w:r>
              <w:rPr>
                <w:rFonts w:ascii="Times New Roman" w:cs="Times New Roman" w:eastAsia="Times New Roman" w:hAnsi="Times New Roman"/>
                <w:sz w:val="18"/>
                <w:szCs w:val="18"/>
                <w:color w:val="auto"/>
                <w:w w:val="88"/>
              </w:rPr>
              <w:t>1</w:t>
            </w: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19"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 including the impact of the ongoing COVID-19 pandemic on each of these items;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loan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2019,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6"/>
        </w:trPr>
        <w:tc>
          <w:tcPr>
            <w:tcW w:w="302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Part I - Item 1.</w:t>
            </w:r>
          </w:p>
        </w:tc>
        <w:tc>
          <w:tcPr>
            <w:tcW w:w="5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5440" w:type="dxa"/>
            <w:vAlign w:val="bottom"/>
            <w:gridSpan w:val="3"/>
          </w:tcPr>
          <w:p>
            <w:pPr>
              <w:jc w:val="right"/>
              <w:ind w:right="68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Financial Condition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3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34"/>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53,295</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deposits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518,400</w:t>
            </w: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Federal Home Loan Bank and Federal Reserve Bank stock, at cost</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1,166,695</w:t>
            </w: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1,098,911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4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479,653</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2,725,023</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(35,771)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(26,148)</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Net Loans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2,819,708</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2,698,875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and repossessed assets,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36,538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55,710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mortgage loan servicing rights, carried at fair value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56,576</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42,751</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4,168,944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Non-interest bearing</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852,076</w:t>
            </w: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1,186,745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Reciprocal</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431,027</w:t>
            </w: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376,877</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Brokered time</w:t>
            </w:r>
          </w:p>
        </w:tc>
        <w:tc>
          <w:tcPr>
            <w:tcW w:w="4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3,036,727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88,646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39,261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39,456</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89,334</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49,696</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3,795,852</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Shareholders’ Equity</w:t>
            </w:r>
          </w:p>
        </w:tc>
        <w:tc>
          <w:tcPr>
            <w:tcW w:w="4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Preferred stock, no par value, 200,000 shares authorized; none issued or outstanding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60" w:type="dxa"/>
            <w:vAlign w:val="bottom"/>
            <w:gridSpan w:val="4"/>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no par value, 500,000,000 shares authorized; issued and outstanding: 21,885,368 shares at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September 30, 2020 and 22,481,643 shares at December 31, 2019</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352,344</w:t>
            </w: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27,538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8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49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373,092</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350,169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4,168,944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5980" w:type="dxa"/>
            <w:vAlign w:val="bottom"/>
            <w:gridSpan w:val="2"/>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8700" w:type="dxa"/>
            <w:vAlign w:val="bottom"/>
            <w:gridSpan w:val="9"/>
          </w:tcPr>
          <w:p>
            <w:pPr>
              <w:ind w:left="322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3660" w:type="dxa"/>
            <w:vAlign w:val="bottom"/>
            <w:tcBorders>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3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4140" w:type="dxa"/>
            <w:vAlign w:val="bottom"/>
            <w:gridSpan w:val="10"/>
          </w:tcPr>
          <w:p>
            <w:pPr>
              <w:jc w:val="right"/>
              <w:ind w:right="25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100,743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securities available for sale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Tax-exempt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104,367</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17,938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11,748</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gains on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6,862</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58,382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54,742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Interchange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 and collection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professional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48,411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40,535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jc w:val="right"/>
              <w:ind w:right="5050"/>
              <w:spacing w:after="0"/>
              <w:rPr>
                <w:sz w:val="20"/>
                <w:szCs w:val="20"/>
                <w:color w:val="auto"/>
              </w:rPr>
            </w:pPr>
            <w:r>
              <w:rPr>
                <w:rFonts w:ascii="Times New Roman" w:cs="Times New Roman" w:eastAsia="Times New Roman" w:hAnsi="Times New Roman"/>
                <w:sz w:val="18"/>
                <w:szCs w:val="18"/>
                <w:color w:val="auto"/>
                <w:w w:val="98"/>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32,556</w:t>
            </w:r>
          </w:p>
        </w:tc>
      </w:tr>
      <w:tr>
        <w:trPr>
          <w:trHeight w:val="216"/>
        </w:trPr>
        <w:tc>
          <w:tcPr>
            <w:tcW w:w="598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w w:val="99"/>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jc w:val="right"/>
              <w:ind w:right="377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arising during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10,851</w:t>
            </w: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unrealized gains and losses for which a portion of other than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temporary impairment has been recognized in earnings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gains included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198"/>
        </w:trPr>
        <w:tc>
          <w:tcPr>
            <w:tcW w:w="598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available for sale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10,659</w:t>
            </w: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2,238</w:t>
            </w:r>
          </w:p>
        </w:tc>
      </w:tr>
      <w:tr>
        <w:trPr>
          <w:trHeight w:val="198"/>
        </w:trPr>
        <w:tc>
          <w:tcPr>
            <w:tcW w:w="598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available for sale,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w:t>
            </w:r>
          </w:p>
        </w:tc>
      </w:tr>
      <w:tr>
        <w:trPr>
          <w:trHeight w:val="216"/>
        </w:trPr>
        <w:tc>
          <w:tcPr>
            <w:tcW w:w="5980" w:type="dxa"/>
            <w:vAlign w:val="bottom"/>
            <w:tcBorders>
              <w:top w:val="single" w:sz="8" w:color="CCEEFF"/>
            </w:tcBorders>
          </w:tcPr>
          <w:p>
            <w:pPr>
              <w:jc w:val="right"/>
              <w:ind w:right="411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arising during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(1,740)</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(income) expense recognized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198"/>
        </w:trPr>
        <w:tc>
          <w:tcPr>
            <w:tcW w:w="598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(2,133)</w:t>
            </w: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r>
      <w:tr>
        <w:trPr>
          <w:trHeight w:val="198"/>
        </w:trPr>
        <w:tc>
          <w:tcPr>
            <w:tcW w:w="598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derivative instruments,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9,932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13,503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8680" w:type="dxa"/>
            <w:vAlign w:val="bottom"/>
            <w:gridSpan w:val="3"/>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59"/>
        </w:trPr>
        <w:tc>
          <w:tcPr>
            <w:tcW w:w="868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760" w:type="dxa"/>
            <w:vAlign w:val="bottom"/>
          </w:tcPr>
          <w:p>
            <w:pPr>
              <w:spacing w:after="0"/>
              <w:rPr>
                <w:sz w:val="16"/>
                <w:szCs w:val="16"/>
                <w:color w:val="auto"/>
              </w:rPr>
            </w:pPr>
          </w:p>
        </w:tc>
        <w:tc>
          <w:tcPr>
            <w:tcW w:w="4920" w:type="dxa"/>
            <w:vAlign w:val="bottom"/>
            <w:gridSpan w:val="2"/>
          </w:tcPr>
          <w:p>
            <w:pPr>
              <w:jc w:val="right"/>
              <w:ind w:right="1200"/>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Cash Flows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376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37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(unaudited - In thousands)</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sale of equity securities at fair value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422,557</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Disbursements for loans held for sale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(1,057,544)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(451,572)</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deferred loan fees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(3,122)</w:t>
            </w:r>
          </w:p>
        </w:tc>
      </w:tr>
      <w:tr>
        <w:trPr>
          <w:trHeight w:val="198"/>
        </w:trPr>
        <w:tc>
          <w:tcPr>
            <w:tcW w:w="86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depreciation, amortization of intangible assets and premiums and accretion of discounts on securities, loans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accrued income and other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13,088</w:t>
            </w:r>
          </w:p>
        </w:tc>
      </w:tr>
      <w:tr>
        <w:trPr>
          <w:trHeight w:val="223"/>
        </w:trPr>
        <w:tc>
          <w:tcPr>
            <w:tcW w:w="3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the sale of securities available for sale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44,305</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prepayments and calls of securities 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110,517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(639,166)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(123,238)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maturity of interest bearing deposits - time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Purchase of Federal Home Loan Bank stock</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portfolio loans (loans originated, net of principal payments)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(213,116)</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the sale of portfolio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50,516</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bank-owned life insurance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(2,587)</w:t>
            </w:r>
          </w:p>
        </w:tc>
      </w:tr>
      <w:tr>
        <w:trPr>
          <w:trHeight w:val="27"/>
        </w:trPr>
        <w:tc>
          <w:tcPr>
            <w:tcW w:w="37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76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(570,902)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(131,595)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increase in total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138,884</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18,355</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Federal Home Loan Bank Advances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Federal Home Loan Bank Advances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(272,910)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(37,143)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issuance of subordinated debt, net of issuance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(26,284)</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w:t>
            </w:r>
          </w:p>
        </w:tc>
      </w:tr>
      <w:tr>
        <w:trPr>
          <w:trHeight w:val="223"/>
        </w:trPr>
        <w:tc>
          <w:tcPr>
            <w:tcW w:w="3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12,173</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82,417</w:t>
            </w:r>
          </w:p>
        </w:tc>
      </w:tr>
      <w:tr>
        <w:trPr>
          <w:trHeight w:val="20"/>
        </w:trPr>
        <w:tc>
          <w:tcPr>
            <w:tcW w:w="3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20,185</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5,934</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other real estate and repossessed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securities available for sale not yet settled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of portfolio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to held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36,622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5980" w:type="dxa"/>
            <w:vAlign w:val="bottom"/>
            <w:gridSpan w:val="2"/>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16"/>
        </w:trPr>
        <w:tc>
          <w:tcPr>
            <w:tcW w:w="8620" w:type="dxa"/>
            <w:vAlign w:val="bottom"/>
            <w:gridSpan w:val="9"/>
          </w:tcPr>
          <w:p>
            <w:pPr>
              <w:ind w:left="322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420" w:type="dxa"/>
            <w:vAlign w:val="bottom"/>
          </w:tcPr>
          <w:p>
            <w:pPr>
              <w:spacing w:after="0"/>
              <w:rPr>
                <w:sz w:val="16"/>
                <w:szCs w:val="16"/>
                <w:color w:val="auto"/>
              </w:rPr>
            </w:pPr>
          </w:p>
        </w:tc>
        <w:tc>
          <w:tcPr>
            <w:tcW w:w="5200" w:type="dxa"/>
            <w:vAlign w:val="bottom"/>
            <w:gridSpan w:val="8"/>
          </w:tcPr>
          <w:p>
            <w:pPr>
              <w:jc w:val="right"/>
              <w:ind w:right="800"/>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Shareholders’ Equity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3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Retained</w:t>
            </w:r>
          </w:p>
        </w:tc>
        <w:tc>
          <w:tcPr>
            <w:tcW w:w="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Earnings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Common</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Deficit)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12,338</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355,123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three months ended September 30,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19,584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$0.20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zero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zero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 (issuance of 10,583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5,398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September 30,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(16,617)</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330,846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three months ended September 30, 2019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12,445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$0.18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25,000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1,900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 (issuance of 5,991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919 shares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September 30,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1,611</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350,169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nine months ended September 30,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39,166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$0.60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(13,239)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678,929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(13,784)</w:t>
            </w: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11,917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 (issuance of 104,465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33,728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9,932</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September 30,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(28,270)</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338,994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nine months ended September 30, 2019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32,556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$0.54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1,204,688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(26,284)</w:t>
            </w: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70,299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 (issuance of 92,617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57,205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6,735</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September 30,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Financial Statements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2019 included in our Annual Report on Form 10-K.</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contain all the adjustments necessary to present fairly our consolidated financial condition as of September 30, 2020 and December 31, 2019, and the results of operations for the three and nine-month periods ended September 30, 2020 and 2019. The results of operations for the three and nine-month periods ended September 30, 2020,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loan losses and the valuation of capitalized mortgage loan servicing rights. Refer to our 2019 Annual Report on Form 10-K for a disclosure of our accounting policies.</w:t>
      </w:r>
    </w:p>
    <w:p>
      <w:pPr>
        <w:spacing w:after="0" w:line="21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Standards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ASU:</w:t>
      </w:r>
    </w:p>
    <w:p>
      <w:pPr>
        <w:spacing w:after="0" w:line="252"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inclusion of expected recoveries, limited to the cumulative amount of prior write-offs, when estimating the allowance for credit losses for in scope financial assets (including collateral dependent assets).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requires a cumulative-effect adjustment to retained earnings as of the beginning of the reporting period of adoption.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began evaluating this ASU in 2016 and established a company-wide, cross-discipline governance structure, which provides implementation oversight. We continued to test and refine our current expected credit loss models that satisfied the requirements of this ASU. Oversight and testing, as well as efforts to meet expanded disclosure requirements, extended through the end of 2019. We currently expect to estimate losses over approximately a two year forecast period using the Federal Open Market Committee median economic projections and other economic forecast sources, and then revert to longer term historical loss experience to estimate losses over more extended periods. We were originally required to adopt this ASU on January 1, 2020 but section 4014 of the Coronavirus Aid, Relief, and Economic Security (“CARES”) Act allows for temporary relief from applying this ASU. Under the CARES Act we may delay the adoption of this ASU until the earlier of the termination of the national emergency that President Trump declared on March 13, 2020, or December 31, 2020. As such, we have chosen to delay the adoption of this ASU and continue to utilize the existing incurred loss impairment methodology to calculate our allowance for loan losses and our provision for loan losses as required under Accounting Standards Codification 310 (Receivables). When we adopt this ASU as required under the CARES act we will do so retrospectively to January 1, 2020.</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recognize a one-time cumulative effect adjustment to beginning retained earnings at January 1, 2020 increasing the allowance for loan losses. We are estimating an increase to the allowance for loan losses at that time to be in the range of $8.0 million to $10.0 million primarily driven by the longer contractual maturities of our mortgage and consumer installment loan portfolio segments. In addition, we currently expect this ASU to increase the allowance for losses related to unfunded loan commitments between $1.0 million and $2.0 million. The ultimate impact of adopting this ASU, and at each subsequent reporting period, is highly dependent on credit quality, economic forecasts and conditions, composition of our loan portfolios and securities available for sale, along with other management judgements. The transition adjustment to record the allowance for credit losses may fall outside of our estimated increase based on the finalization of assumptions including qualitative adjustments and the economic forecast used in calculating the allowance for credit losses upon the adoption of CECL.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a material allowance for credit losses to be recorded on securities available for sale upon adoption of this ASU.</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was effective for us on January 1, 2020, and did not have a material impact on our consolidated operating results or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Securities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 consist of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330,914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335,560</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8,039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43,190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44,285</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262,435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263,371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238,479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244,978</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75,017</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968,038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985,050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14,591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226,130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227,762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39,693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94,158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94,499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96,102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33,195</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513,668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518,400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1" w:name="page12"/>
    <w:bookmarkEnd w:id="1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investments’ gross unrealized losses and fair values aggregated by investment type and length of time that individual securities have been at a continuous unrealized loss position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81,400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82,698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28,630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jc w:val="center"/>
              <w:ind w:right="1770"/>
              <w:spacing w:after="0"/>
              <w:rPr>
                <w:sz w:val="20"/>
                <w:szCs w:val="20"/>
                <w:color w:val="auto"/>
              </w:rPr>
            </w:pPr>
            <w:r>
              <w:rPr>
                <w:rFonts w:ascii="Times New Roman" w:cs="Times New Roman" w:eastAsia="Times New Roman" w:hAnsi="Times New Roman"/>
                <w:sz w:val="18"/>
                <w:szCs w:val="18"/>
                <w:color w:val="auto"/>
                <w:w w:val="99"/>
              </w:rPr>
              <w:t>subdivisions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19,075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r>
      <w:tr>
        <w:trPr>
          <w:trHeight w:val="21"/>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56,377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jc w:val="center"/>
              <w:ind w:right="2150"/>
              <w:spacing w:after="0"/>
              <w:rPr>
                <w:sz w:val="20"/>
                <w:szCs w:val="20"/>
                <w:color w:val="auto"/>
              </w:rPr>
            </w:pPr>
            <w:r>
              <w:rPr>
                <w:rFonts w:ascii="Times New Roman" w:cs="Times New Roman" w:eastAsia="Times New Roman" w:hAnsi="Times New Roman"/>
                <w:sz w:val="18"/>
                <w:szCs w:val="18"/>
                <w:color w:val="auto"/>
              </w:rPr>
              <w:t>backed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16,387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15,666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21,062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56"/>
        </w:trPr>
        <w:tc>
          <w:tcPr>
            <w:tcW w:w="3280" w:type="dxa"/>
            <w:vAlign w:val="bottom"/>
            <w:tcBorders>
              <w:bottom w:val="single" w:sz="8" w:color="CCEEFF"/>
            </w:tcBorders>
            <w:shd w:val="clear" w:color="auto" w:fill="CCEEFF"/>
          </w:tcPr>
          <w:p>
            <w:pPr>
              <w:jc w:val="center"/>
              <w:ind w:right="215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U.S. agency and U.S. agency residential mortgage-backed securities — at September 30, 2020, we had 27 U.S. agency and 39 U.S. agency residential mortgage-backed securities whose fair value is less than amortized cost. The unrealized losses are largely attributed to widening spreads to Treasury bonds since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Private label mortgage backed, other asset backed and corporate securities — at September 30, 2020, we had 20 private label mortgage backed, 55 other asset backed and 12 corporate securities whose fair value is less than amortized cost. The unrealized losses are primarily due to credit spread widening since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Obligations of states and political subdivisions — at September 30, 2020, we had </w:t>
      </w:r>
      <w:r>
        <w:rPr>
          <w:rFonts w:ascii="Times New Roman" w:cs="Times New Roman" w:eastAsia="Times New Roman" w:hAnsi="Times New Roman"/>
          <w:sz w:val="18"/>
          <w:szCs w:val="18"/>
          <w:color w:val="000000"/>
        </w:rPr>
        <w:t>26</w:t>
      </w:r>
      <w:r>
        <w:rPr>
          <w:rFonts w:ascii="Times New Roman" w:cs="Times New Roman" w:eastAsia="Times New Roman" w:hAnsi="Times New Roman"/>
          <w:sz w:val="18"/>
          <w:szCs w:val="18"/>
          <w:color w:val="231F20"/>
        </w:rPr>
        <w:t xml:space="preserve"> municipal securities whose fair value is less than amortized cost.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unrealized losses are primarily due to wider benchmark pricing spreads since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Trust preferred securities — at September 30, 2020, </w:t>
      </w:r>
      <w:r>
        <w:rPr>
          <w:rFonts w:ascii="Times New Roman" w:cs="Times New Roman" w:eastAsia="Times New Roman" w:hAnsi="Times New Roman"/>
          <w:sz w:val="18"/>
          <w:szCs w:val="18"/>
          <w:color w:val="000000"/>
        </w:rPr>
        <w:t>we had two trust preferred securities whose fair value is less than amortized cost. Both of our trust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$0.85 million as of September 30, 2020, continues to have satisfactory credit metrics and make interest payments.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management does not intend to liquidate any of the securities discussed above and it is more likely than not that we will not be required to sell these securities prior to recovery of these unrealized losses, no declines discussed above (other than certain declines related to the two private label mortgage-backed securities currently being reviewed for OTTI) are deemed to be other than temporary.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no credit related OTTI charges in our Condensed Consolidated Statements of Operations related to securities available for sale during the three and nine month periods ended September 30, 2020 and 2019,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two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Super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Senior</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Senior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Security</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Security</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920" w:type="dxa"/>
            <w:vAlign w:val="bottom"/>
          </w:tcPr>
          <w:p>
            <w:pPr>
              <w:spacing w:after="0"/>
              <w:rPr>
                <w:sz w:val="17"/>
                <w:szCs w:val="17"/>
                <w:color w:val="auto"/>
              </w:rPr>
            </w:pPr>
          </w:p>
        </w:tc>
        <w:tc>
          <w:tcPr>
            <w:tcW w:w="358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3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Non-credit unrealized loss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credit related OTTI</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r>
      <w:tr>
        <w:trPr>
          <w:trHeight w:val="891"/>
        </w:trPr>
        <w:tc>
          <w:tcPr>
            <w:tcW w:w="3920" w:type="dxa"/>
            <w:vAlign w:val="bottom"/>
          </w:tcPr>
          <w:p>
            <w:pPr>
              <w:spacing w:after="0"/>
              <w:rPr>
                <w:sz w:val="24"/>
                <w:szCs w:val="24"/>
                <w:color w:val="auto"/>
              </w:rPr>
            </w:pPr>
          </w:p>
        </w:tc>
        <w:tc>
          <w:tcPr>
            <w:tcW w:w="34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9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of these securities are receiving principal and interest payments similar to principal reductions in the underlying collateral and have unrealized gains at September 30, 2020. The original amortized cost (current amortized cost excluding cumulative credit related OTTI) for each of these securities has been permanently adjusted downward for previously recorded credit related OTTI. The unrealized loss (based on original amortized cost) for both of these securities is now less than previously recorded credit related OTTI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r>
      <w:tr>
        <w:trPr>
          <w:trHeight w:val="198"/>
        </w:trPr>
        <w:tc>
          <w:tcPr>
            <w:tcW w:w="59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Additions to credit losses on securities for which no previous OTTI was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Increases to credit losses on securities for which OTTI was previously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During the third quarter of 2019 one security with previously recorded OTTI was settled and balance is now zero.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available for sale at September 30, 2020, by contractual maturity,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80,229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63,308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66,592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164,731</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43,190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968,038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985,050</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2020</w:t>
            </w:r>
          </w:p>
        </w:tc>
        <w:tc>
          <w:tcPr>
            <w:tcW w:w="4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36,593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2019</w:t>
            </w: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44,305</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630"/>
        </w:trPr>
        <w:tc>
          <w:tcPr>
            <w:tcW w:w="2960" w:type="dxa"/>
            <w:vAlign w:val="bottom"/>
          </w:tcPr>
          <w:p>
            <w:pPr>
              <w:spacing w:after="0"/>
              <w:rPr>
                <w:sz w:val="24"/>
                <w:szCs w:val="24"/>
                <w:color w:val="auto"/>
              </w:rPr>
            </w:pPr>
          </w:p>
        </w:tc>
        <w:tc>
          <w:tcPr>
            <w:tcW w:w="43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296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14" w:name="page15"/>
    <w:bookmarkEnd w:id="1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Certain preferred stocks which were all sold during the first quarter of 2019 had been classified as equity securities at fair value in our Condensed Consolidated Statement of Financial Condition. During the nine months ended September 30, 2019 we recognized gains on these preferred stocks of $</w:t>
      </w:r>
      <w:r>
        <w:rPr>
          <w:rFonts w:ascii="Times New Roman" w:cs="Times New Roman" w:eastAsia="Times New Roman" w:hAnsi="Times New Roman"/>
          <w:sz w:val="18"/>
          <w:szCs w:val="18"/>
          <w:color w:val="000000"/>
        </w:rPr>
        <w:t>0.167</w:t>
      </w:r>
      <w:r>
        <w:rPr>
          <w:rFonts w:ascii="Times New Roman" w:cs="Times New Roman" w:eastAsia="Times New Roman" w:hAnsi="Times New Roman"/>
          <w:sz w:val="18"/>
          <w:szCs w:val="18"/>
          <w:color w:val="231F20"/>
        </w:rPr>
        <w:t xml:space="preserve"> million </w:t>
      </w:r>
      <w:r>
        <w:rPr>
          <w:rFonts w:ascii="Times New Roman" w:cs="Times New Roman" w:eastAsia="Times New Roman" w:hAnsi="Times New Roman"/>
          <w:sz w:val="18"/>
          <w:szCs w:val="18"/>
          <w:color w:val="000000"/>
        </w:rPr>
        <w:t>that are included in net gains on securities available for sale in the Condensed Consolidated Statements of Operations.</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assessment of the allowance for loan losses is based on an evaluation of the loan portfolio, recent and historical loss experience, current economic conditions and other pertinent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loan losses by portfolio segment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25,903</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loan losses by portfolio segment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26,148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5" w:name="page16"/>
    <w:bookmarkEnd w:id="1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ending allowance for loan losses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40,573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53,520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478,281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2,809,344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 recorded investment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480,828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2,864,473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1,351,790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1,024,036</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479,653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2,855,479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ending allowance for loan losses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457,370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2,675,193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 recorded investment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1,169,693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1,166,695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6" w:name="page17"/>
    <w:bookmarkEnd w:id="1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follow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90+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Total Non-</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Still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Performing</w:t>
            </w:r>
          </w:p>
        </w:tc>
        <w:tc>
          <w:tcPr>
            <w:tcW w:w="0" w:type="dxa"/>
            <w:vAlign w:val="bottom"/>
          </w:tcPr>
          <w:p>
            <w:pPr>
              <w:spacing w:after="0"/>
              <w:rPr>
                <w:sz w:val="1"/>
                <w:szCs w:val="1"/>
                <w:color w:val="auto"/>
              </w:rPr>
            </w:pPr>
          </w:p>
        </w:tc>
      </w:tr>
      <w:tr>
        <w:trPr>
          <w:trHeight w:val="241"/>
        </w:trPr>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Accruing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Accrual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34"/>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 (3)</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 (2)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 (3)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66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exclude purchase credit impaired loans.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$0.052 million and $0.077 million of government guaranteed loans at September 30, 2020 and December 31, 2019, respectively.</w:t>
      </w:r>
    </w:p>
    <w:p>
      <w:pPr>
        <w:ind w:left="34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$0.458 million and $0.569 million of government guaranteed loans at September 30, 2020 and December 31, 2019, respectively.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loans by class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764,252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590,830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437,294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439,238</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247,086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249,121</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100,695</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168,652</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99,768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100,440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2,854,235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564,480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564,871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604,822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398,759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401,553</w:t>
            </w:r>
          </w:p>
        </w:tc>
        <w:tc>
          <w:tcPr>
            <w:tcW w:w="0" w:type="dxa"/>
            <w:vAlign w:val="bottom"/>
          </w:tcPr>
          <w:p>
            <w:pPr>
              <w:spacing w:after="0"/>
              <w:rPr>
                <w:sz w:val="1"/>
                <w:szCs w:val="1"/>
                <w:color w:val="auto"/>
              </w:rPr>
            </w:pP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jumbo</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852</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342,349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169,537</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68,174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203,282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153,445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103,884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2,718,894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2,733,370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642"/>
        </w:trPr>
        <w:tc>
          <w:tcPr>
            <w:tcW w:w="3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8" w:name="page19"/>
    <w:bookmarkEnd w:id="1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Impaired loans are as follows:</w:t>
            </w: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48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Impaired loans with no allocated allowance for loan losses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Troubled debt restructurings ("TDR")</w:t>
            </w:r>
          </w:p>
        </w:tc>
        <w:tc>
          <w:tcPr>
            <w:tcW w:w="40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 - TDR</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 an allocated allowance for loan losses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TDR - allowance based on collateral</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48,798</w:t>
            </w: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 - TDR - allowance based on collateral</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r>
      <w:tr>
        <w:trPr>
          <w:trHeight w:val="257"/>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impaired loans</w:t>
            </w:r>
          </w:p>
        </w:tc>
        <w:tc>
          <w:tcPr>
            <w:tcW w:w="3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allowance for loan losses allocated</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TDR - allowance based on collateral</w:t>
            </w:r>
          </w:p>
        </w:tc>
        <w:tc>
          <w:tcPr>
            <w:tcW w:w="40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w:t>
            </w: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 - TDR - allowance based on collateral</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r>
      <w:tr>
        <w:trPr>
          <w:trHeight w:val="257"/>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amount of allowance for loan losses allocated</w:t>
            </w:r>
          </w:p>
        </w:tc>
        <w:tc>
          <w:tcPr>
            <w:tcW w:w="3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2"/>
        </w:trPr>
        <w:tc>
          <w:tcPr>
            <w:tcW w:w="4880" w:type="dxa"/>
            <w:vAlign w:val="bottom"/>
          </w:tcPr>
          <w:p>
            <w:pPr>
              <w:spacing w:after="0"/>
              <w:rPr>
                <w:sz w:val="24"/>
                <w:szCs w:val="24"/>
                <w:color w:val="auto"/>
              </w:rPr>
            </w:pPr>
          </w:p>
        </w:tc>
        <w:tc>
          <w:tcPr>
            <w:tcW w:w="380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8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Impaired loans by class are as follows: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Related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Related</w:t>
            </w: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Unpaid</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Allowance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Unpaid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Allowance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For Loan</w:t>
            </w:r>
          </w:p>
        </w:tc>
        <w:tc>
          <w:tcPr>
            <w:tcW w:w="1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 Loan</w:t>
            </w: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jc w:val="center"/>
              <w:ind w:right="1810"/>
              <w:spacing w:after="0"/>
              <w:rPr>
                <w:sz w:val="20"/>
                <w:szCs w:val="20"/>
                <w:color w:val="auto"/>
              </w:rPr>
            </w:pPr>
            <w:r>
              <w:rPr>
                <w:rFonts w:ascii="Times New Roman" w:cs="Times New Roman" w:eastAsia="Times New Roman" w:hAnsi="Times New Roman"/>
                <w:sz w:val="18"/>
                <w:szCs w:val="18"/>
                <w:color w:val="auto"/>
                <w:w w:val="99"/>
              </w:rPr>
              <w:t>jumbo</w:t>
            </w:r>
          </w:p>
        </w:tc>
        <w:tc>
          <w:tcPr>
            <w:tcW w:w="1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 an allowance for loan losses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jumbo</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22,414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53,416</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56,708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jc w:val="center"/>
              <w:ind w:right="1810"/>
              <w:spacing w:after="0"/>
              <w:rPr>
                <w:sz w:val="20"/>
                <w:szCs w:val="20"/>
                <w:color w:val="auto"/>
              </w:rPr>
            </w:pPr>
            <w:r>
              <w:rPr>
                <w:rFonts w:ascii="Times New Roman" w:cs="Times New Roman" w:eastAsia="Times New Roman" w:hAnsi="Times New Roman"/>
                <w:sz w:val="18"/>
                <w:szCs w:val="18"/>
                <w:color w:val="auto"/>
                <w:w w:val="99"/>
              </w:rPr>
              <w:t>jumbo</w:t>
            </w:r>
          </w:p>
        </w:tc>
        <w:tc>
          <w:tcPr>
            <w:tcW w:w="1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22,728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5,285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11,351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56"/>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Times New Roman" w:cs="Times New Roman" w:eastAsia="Times New Roman" w:hAnsi="Times New Roman"/>
                <w:sz w:val="18"/>
                <w:szCs w:val="18"/>
                <w:color w:val="auto"/>
                <w:w w:val="99"/>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55,892</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163"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163" w:gutter="0" w:footer="0" w:header="0"/>
          <w:type w:val="continuous"/>
        </w:sectPr>
      </w:pPr>
    </w:p>
    <w:bookmarkStart w:id="20" w:name="page21"/>
    <w:bookmarkEnd w:id="2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recorded investment in and interest income earned on impaired loans by class for the three month periods ending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 recorded: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an allowance for loan losses recorded: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56,522</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53,636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56"/>
        </w:trPr>
        <w:tc>
          <w:tcPr>
            <w:tcW w:w="4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4740" w:type="dxa"/>
            <w:vAlign w:val="bottom"/>
          </w:tcPr>
          <w:p>
            <w:pPr>
              <w:spacing w:after="0"/>
              <w:rPr>
                <w:sz w:val="24"/>
                <w:szCs w:val="24"/>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recorded investment in and interest income earned on impaired loans by class for the nine month periods ending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41"/>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 recorded: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an allowance for loan losses recorded: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4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57,198</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55,786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57"/>
        </w:trPr>
        <w:tc>
          <w:tcPr>
            <w:tcW w:w="4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4740" w:type="dxa"/>
            <w:vAlign w:val="bottom"/>
          </w:tcPr>
          <w:p>
            <w:pPr>
              <w:spacing w:after="0"/>
              <w:rPr>
                <w:sz w:val="24"/>
                <w:szCs w:val="24"/>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TDRs follow:</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2020</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6"/>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7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45,629</w:t>
            </w:r>
          </w:p>
        </w:tc>
      </w:tr>
      <w:tr>
        <w:trPr>
          <w:trHeight w:val="26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 (2)</w:t>
            </w: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1,850</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3,053</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w:t>
            </w:r>
          </w:p>
        </w:tc>
        <w:tc>
          <w:tcPr>
            <w:tcW w:w="60" w:type="dxa"/>
            <w:vAlign w:val="bottom"/>
            <w:tcBorders>
              <w:bottom w:val="single" w:sz="8" w:color="CCEEFF"/>
            </w:tcBorders>
            <w:shd w:val="clear" w:color="auto" w:fill="CCEEFF"/>
          </w:tcPr>
          <w:p>
            <w:pPr>
              <w:spacing w:after="0"/>
              <w:rPr>
                <w:sz w:val="22"/>
                <w:szCs w:val="22"/>
                <w:color w:val="auto"/>
              </w:rPr>
            </w:pPr>
          </w:p>
        </w:tc>
      </w:tr>
      <w:tr>
        <w:trPr>
          <w:trHeight w:val="459"/>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2019</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Retail (1)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6"/>
              </w:rPr>
              <w:t>(In thousands)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7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47,575</w:t>
            </w:r>
          </w:p>
        </w:tc>
      </w:tr>
      <w:tr>
        <w:trPr>
          <w:trHeight w:val="26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 (2)</w:t>
            </w: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2,607</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3,147</w:t>
            </w:r>
          </w:p>
        </w:tc>
      </w:tr>
      <w:tr>
        <w:trPr>
          <w:trHeight w:val="257"/>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allocated $4.9 million and $5.2 million of specific reserves to customers whose loan terms have been modified in troubled debt restructurings (“TDR”) at September 30, 2020 and December 31, 2019,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and 2019, the terms of certain loans were modified as TDRs. The modification of the terms of such loans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360 months in certain circumstances.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that have been classified as TDRs during the three-month periods ended September 30 follow:</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Pre-modification</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Post-modification</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Recorded</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71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24" w:name="page25"/>
    <w:bookmarkEnd w:id="2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that have been classified as TDRs during the nine-month periods ended September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15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Pre-modification</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Post-modification</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Contracts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1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troubled debt restructurings described above for 2020 decreased the allowance for loan losses by $1.44 million and resulted in zero charge offs during the three months ended September 30, 2020, and increased the allowance for loan losses by $0.09 million and resulted in zero charge offs during the nine months ended September 30,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troubled debt restructurings described above for 2019 increased the allowance for loan losses by $0.04 million and resulted in zero charge offs during the three months ended September 30, 2019, and increased the allowance for loan losses by $0.09 million and resulted in zero charge offs during the nine months ended September 30, 2019.</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troubled debt restructurings that subsequently defaulted within twelve months following the modification during the three and nine months periods ended September 30, 2020 and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 is considered to be in payment default generally once it is 90 days contractually past due under the modified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Non-TDR Loan Modifications and Paycheck Protection Program (“PPP”) due to COVID-19 - </w:t>
      </w:r>
      <w:r>
        <w:rPr>
          <w:rFonts w:ascii="Times New Roman" w:cs="Times New Roman" w:eastAsia="Times New Roman" w:hAnsi="Times New Roman"/>
          <w:sz w:val="18"/>
          <w:szCs w:val="18"/>
          <w:color w:val="auto"/>
        </w:rPr>
        <w:t>On March 22, 2020, the federal banking agencies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as of the implementation date of a relief program are not TDRs. In addition, on March 27, 2020, President Trump signed the CARES Act. Section 4013 of the CARES Act also addressed COVID-19 related modifications and specified that COVID-19 related modifications on loans that were current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accommodations entered into under this guidance as of September 30, 2020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and Retail Loan COVID-19 Accomodations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Loan Category</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Loans (#)</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1,351,790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32,091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1,024,036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479,653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2,855,479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2,873,153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5540" w:right="4720" w:hanging="5532"/>
        <w:spacing w:after="0" w:line="501" w:lineRule="auto"/>
        <w:tabs>
          <w:tab w:leader="none" w:pos="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delegated authority from all investors to grant these deferrals on their behalf.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on subsequent accommodation extensions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and Retail Loan COVID-19 Subsequent Accomodations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 Category</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Loans (#)</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Loans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29,880</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CARES Act also included an initial $349 billion loan program administered through the U.S. Small Business Administration (“SBA”) referred to as the PPP. Under the PPP, small businesses and other entities and individuals can apply for loans from existing SBA lenders and other approved regulated lenders that enroll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closed on August 8, 2020. Most recently, the SBA released a simpler loan forgiveness application for PPP loans of $50,000 or less that streamlines the PPP forgiveness process for such loans. As of September 30, 2020, we had 2,117 PPP loans outstanding with a total balance of $261.1 million. PPP loans are included in the commercial and industrial class of the commercial loan portfolio segment. As these loans are 100% guaranteed through the SBA the allowance for loan losses recorded on these loans is zero. As of September 30, 2020, we have submitted 197 forgiveness applications for loans totaling $37.2 million. Interest and fees on loans in our condensed consolidated statement of operations includes $1.3 million and $2.3 million for the three and nine month periods of 2020, related to the accretion of net loan fees on PPP loans. No such accretion is included in the comparable prior year periods. At September 30, 2020 we had $6.5 million of remaining unaccreted net fees related to PPP loans.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 fundamentals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acceptable credit fundamentals.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These loans are generally referred to as our ‘‘substandard - non-accrual’’ and ‘‘doubtful’’ commercial credits. Our doubtful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loan ratings by loan class for our commercial portfolio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7"/>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Non-watch</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764,252</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590,960</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1,295,357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564,871</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604,822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1,096,471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credit scores by loan class for our mortgage and installment loan portfolio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Mortgage (1)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rPr>
              <w:t>1-4 Family</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rPr>
              <w:t>1-4 Family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Owner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Owner</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Occupied -</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Occupied -</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Non-owner</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 Family</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Resort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Jumbo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Non-jumbo</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Occupied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2nd Lien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136,733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64,957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110,981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74,914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272,014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41,101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36,963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12,387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12,270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439,238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249,121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1,028,433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111,521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474,044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95,064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281,835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51,174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119,052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13,230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21,938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401,553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347,260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Installment (1)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Recreational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Boat</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Vehicle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Lending</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Lending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70,936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94,666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99,798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168,652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480,828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24,470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244,127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Foreclosed residential real estate properties included in other real estate and repossessed assets on our Condensed Consolidated Statements of Financial Condition totaled $1.0 million and $1.2 million at September 30, 2020 and December 31, 2019, respectively. Retail mortgage loans secured by residential real estate properties for which formal foreclosure proceedings are in process according to local requirements totaled $0.04 million and $0.70 million at September 30, 2020 and December 31, 2019,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These transactions were done primarily for asset/liability management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During the third quarter of 2019, we sold $9.9 million of residential fixed and adjustable rate portfolio mortgage loans servicing retained to another financial institution and recognized a gain on sale of $0.07 million. During the third quarter of 2019 we also transferred $36.6 million, of portfolio residential fixed rate mortgage loans to loans held for sale, carried at the lower of cost or fair value. At the time of transfer and at September 30, 2019 the fair value of these loans exceeded their cost. During the fourth quarter of 2019 these loans were securitized servicing retained with Freddie Mac and we recognized a gain on sale of approximately $1.0 million.These transactions were done primarily for asset/liability management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PCI Loans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acquisition of TCSB Bancorp, Inc. in the second quarter of 2018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4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carrying amount</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Carrying amount, net of allowance for loan losses</w:t>
            </w:r>
          </w:p>
        </w:tc>
        <w:tc>
          <w:tcPr>
            <w:tcW w:w="4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6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180" w:type="dxa"/>
            <w:vAlign w:val="bottom"/>
            <w:gridSpan w:val="4"/>
          </w:tcPr>
          <w:p>
            <w:pPr>
              <w:jc w:val="center"/>
              <w:ind w:left="252"/>
              <w:spacing w:after="0"/>
              <w:rPr>
                <w:sz w:val="20"/>
                <w:szCs w:val="20"/>
                <w:color w:val="auto"/>
              </w:rPr>
            </w:pPr>
            <w:r>
              <w:rPr>
                <w:rFonts w:ascii="Times New Roman" w:cs="Times New Roman" w:eastAsia="Times New Roman" w:hAnsi="Times New Roman"/>
                <w:sz w:val="18"/>
                <w:szCs w:val="18"/>
                <w:color w:val="auto"/>
                <w:w w:val="99"/>
              </w:rPr>
              <w:t>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374"/>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8"/>
              </w:rPr>
              <w:t>(unaudited)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tcPr>
          <w:p>
            <w:pPr>
              <w:spacing w:after="0"/>
              <w:rPr>
                <w:sz w:val="20"/>
                <w:szCs w:val="20"/>
                <w:color w:val="auto"/>
              </w:rPr>
            </w:pPr>
          </w:p>
        </w:tc>
        <w:tc>
          <w:tcPr>
            <w:tcW w:w="218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98"/>
              </w:rPr>
              <w:t>(In thousands)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loans purchased</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recorded as loan interest income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(156)</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from (to) nonaccretable difference</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Displosals/other adjustments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780" w:type="dxa"/>
            <w:vAlign w:val="bottom"/>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18"/>
                <w:szCs w:val="18"/>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2019, our Board of Directors authorized a share repurchase plan (the “Repurchase Plan”) to buy back up to 1,120,000 shares of our outstanding common stock through December 31, 2020.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Due primarily to the economic uncertainty brought on by the COVID-19, we have not purchased any of our shares since March 2020. However, primarily as a result of our financial performance and improved economic conditions, and dependent upon market and other factors, we may begin to purchase our shares under the 2020 share repurchase plan during the last two months of the year. During the nine month periods ended September 30, 2020 and 2019 repurchases were made totaling 678,929 shares and 1,204,688 shares of common stock, respectively, for an aggregate purchase price of $13.8 million and $26.3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4"/>
          </w:tcPr>
          <w:p>
            <w:pPr>
              <w:jc w:val="right"/>
              <w:ind w:right="153"/>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12,445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32,556</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21,881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22,486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23,033</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share units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22,115</w:t>
            </w: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22,770</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22,256</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23,319</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88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Basic net income per common share includes weighted average common shares outstanding during the period and participating share awards.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the three and nine month periods ended September 30, 2020 and 2019, respectively.</w:t>
      </w:r>
    </w:p>
    <w:p>
      <w:pPr>
        <w:spacing w:after="0" w:line="200" w:lineRule="exact"/>
        <w:rPr>
          <w:sz w:val="20"/>
          <w:szCs w:val="20"/>
          <w:color w:val="auto"/>
        </w:rPr>
      </w:pPr>
    </w:p>
    <w:p>
      <w:pPr>
        <w:spacing w:after="0" w:line="23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September 30,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1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designation - Pay-fixed interest rate swap agreements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196,646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144,787</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144,787</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10,811</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options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Written options</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899,924</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designation - Pay-fixed interest rate swap agreements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0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95,363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153,946</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options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Written options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458,279</w:t>
            </w:r>
          </w:p>
        </w:tc>
        <w:tc>
          <w:tcPr>
            <w:tcW w:w="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5320" w:type="dxa"/>
            <w:vAlign w:val="bottom"/>
          </w:tcPr>
          <w:p>
            <w:pPr>
              <w:spacing w:after="0"/>
              <w:rPr>
                <w:sz w:val="24"/>
                <w:szCs w:val="24"/>
                <w:color w:val="auto"/>
              </w:rPr>
            </w:pPr>
          </w:p>
        </w:tc>
        <w:tc>
          <w:tcPr>
            <w:tcW w:w="2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3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Times New Roman" w:cs="Times New Roman" w:eastAsia="Times New Roman" w:hAnsi="Times New Roman"/>
          <w:sz w:val="18"/>
          <w:szCs w:val="18"/>
          <w:color w:val="231F20"/>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Flow Hedges included certain pay-fixed interest rate swaps and interest rate cap agreements. Pay-fixed interest rate swaps convert the variable-rate cash flows on debt obligations to fixed-rates. </w:t>
      </w:r>
      <w:r>
        <w:rPr>
          <w:rFonts w:ascii="Times New Roman" w:cs="Times New Roman" w:eastAsia="Times New Roman" w:hAnsi="Times New Roman"/>
          <w:sz w:val="18"/>
          <w:szCs w:val="18"/>
          <w:color w:val="000000"/>
        </w:rPr>
        <w:t>Under interest-rate cap agreements, we will receive cash if interest rates rise above a predetermined level. As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agreements and pay-fixed interest rate swaps, respectively to a no hedge designation. The $2.0 million and $0.5 million unrealized loss on our Cash Flow Hedge interest rate cap agreements and pay-fixed interest rate swaps, respectively which were included as a component of accumulated other comprehensive income (loss) at the time of the transfers will be reclassified into earnings over the remaining life of the interest rate cap agreements and pay-fixed interest rate swaps. The interest rate cap agreements and pay-fixed interest rate swaps are classified as a no hedge designation at September 30, 2020 and any changes in fair value since the transfers to the no hedge designation are recorded in earnings.</w:t>
      </w:r>
    </w:p>
    <w:p>
      <w:pPr>
        <w:spacing w:after="0" w:line="217" w:lineRule="exact"/>
        <w:rPr>
          <w:sz w:val="20"/>
          <w:szCs w:val="20"/>
          <w:color w:val="auto"/>
        </w:rPr>
      </w:pPr>
    </w:p>
    <w:p>
      <w:pPr>
        <w:jc w:val="both"/>
        <w:ind w:firstLine="58"/>
        <w:spacing w:after="0" w:line="255" w:lineRule="auto"/>
        <w:rPr>
          <w:sz w:val="20"/>
          <w:szCs w:val="20"/>
          <w:color w:val="auto"/>
        </w:rPr>
      </w:pPr>
      <w:r>
        <w:rPr>
          <w:rFonts w:ascii="Times New Roman" w:cs="Times New Roman" w:eastAsia="Times New Roman" w:hAnsi="Times New Roman"/>
          <w:sz w:val="18"/>
          <w:szCs w:val="18"/>
          <w:color w:val="auto"/>
        </w:rPr>
        <w:t>Prior to moving all of our Cash Flow Hedges to a no hedge designation as discussed above, we had recorded the fair value of these hedges in accrued income and other assets and accrued expenses and other liabilities on our Condensed Consolidated Statements of Financial Condition. On an ongoing basis, we adjusted our Condensed Consolidated Statements of Financial Condition to reflect the then current fair value of Cash Flow Hedges. The related gains or losses were reported in other comprehensive income or loss and were subsequently reclassified into earnings as a yield adjustment in the same period in which the related interest on the hedged items (variable-rate debt obligations) affected earnings. It is anticipated that approximately $1.1 million, of unrealized losses from the previously classified Cash Flow Hedges (all a result of the unrealized losses discussed in the previous paragraph) at September 30, 2020 will be reclassified to earnings over the next twelve months.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the second quarter of 2019 we entered into a pay-fixed interest rate swap to protect a portion of the fair value of a certain fixed rate commercial loan commitment (“Fair Value Hedge”). As a result, changes in the fair value of the pay-fixed interest rate swap is expected to offset changes in the fair value of the fixed rate commercial loan commitment due to fluctuations in interest rates. We record the fair value of Fair Value Hedges in accrued income and other assets and accrued expenses and other liabilities on our Condensed Consolidated Statements of Financial Condition. The hedged item (fixed rate commercial loan commitment) is also recorded at fair value which offsets the adjustment to the Fair Value Hedge. On an ongoing basis, we adjust our Condensed Consolidated Statements of Financial Condition to reflect the then current fair value of both the Fair Value Hedge and the hedged item. The related gains or losses are reported in non-interest income – other in our Condensed Consolidated Statements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Values of Derivative Instruments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23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Asset Derivatives</w:t>
            </w: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Liability Derivatives</w:t>
            </w:r>
          </w:p>
        </w:tc>
        <w:tc>
          <w:tcPr>
            <w:tcW w:w="1220" w:type="dxa"/>
            <w:vAlign w:val="bottom"/>
            <w:tcBorders>
              <w:bottom w:val="single" w:sz="8" w:color="auto"/>
            </w:tcBorders>
          </w:tcPr>
          <w:p>
            <w:pPr>
              <w:spacing w:after="0"/>
              <w:rPr>
                <w:sz w:val="24"/>
                <w:szCs w:val="24"/>
                <w:color w:val="auto"/>
              </w:rPr>
            </w:pPr>
          </w:p>
        </w:tc>
      </w:tr>
      <w:tr>
        <w:trPr>
          <w:trHeight w:val="198"/>
        </w:trPr>
        <w:tc>
          <w:tcPr>
            <w:tcW w:w="2380" w:type="dxa"/>
            <w:vAlign w:val="bottom"/>
          </w:tcPr>
          <w:p>
            <w:pPr>
              <w:spacing w:after="0"/>
              <w:rPr>
                <w:sz w:val="17"/>
                <w:szCs w:val="17"/>
                <w:color w:val="auto"/>
              </w:rPr>
            </w:pPr>
          </w:p>
        </w:tc>
        <w:tc>
          <w:tcPr>
            <w:tcW w:w="208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7"/>
                <w:szCs w:val="17"/>
                <w:color w:val="auto"/>
              </w:rPr>
            </w:pPr>
          </w:p>
        </w:tc>
        <w:tc>
          <w:tcPr>
            <w:tcW w:w="20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December 31,</w:t>
            </w:r>
          </w:p>
        </w:tc>
        <w:tc>
          <w:tcPr>
            <w:tcW w:w="220" w:type="dxa"/>
            <w:vAlign w:val="bottom"/>
          </w:tcPr>
          <w:p>
            <w:pPr>
              <w:spacing w:after="0"/>
              <w:rPr>
                <w:sz w:val="17"/>
                <w:szCs w:val="17"/>
                <w:color w:val="auto"/>
              </w:rPr>
            </w:pPr>
          </w:p>
        </w:tc>
        <w:tc>
          <w:tcPr>
            <w:tcW w:w="20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7"/>
                <w:szCs w:val="17"/>
                <w:color w:val="auto"/>
              </w:rPr>
            </w:pPr>
          </w:p>
        </w:tc>
        <w:tc>
          <w:tcPr>
            <w:tcW w:w="20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2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2019</w:t>
            </w:r>
          </w:p>
        </w:tc>
      </w:tr>
      <w:tr>
        <w:trPr>
          <w:trHeight w:val="198"/>
        </w:trPr>
        <w:tc>
          <w:tcPr>
            <w:tcW w:w="2380" w:type="dxa"/>
            <w:vAlign w:val="bottom"/>
          </w:tcPr>
          <w:p>
            <w:pPr>
              <w:spacing w:after="0"/>
              <w:rPr>
                <w:sz w:val="17"/>
                <w:szCs w:val="17"/>
                <w:color w:val="auto"/>
              </w:rPr>
            </w:pPr>
          </w:p>
        </w:tc>
        <w:tc>
          <w:tcPr>
            <w:tcW w:w="82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22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Sheet</w:t>
            </w: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Fair</w:t>
            </w:r>
          </w:p>
        </w:tc>
        <w:tc>
          <w:tcPr>
            <w:tcW w:w="24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Sheet</w:t>
            </w:r>
          </w:p>
        </w:tc>
        <w:tc>
          <w:tcPr>
            <w:tcW w:w="1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Fair</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Sheet</w:t>
            </w:r>
          </w:p>
        </w:tc>
        <w:tc>
          <w:tcPr>
            <w:tcW w:w="1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Fair</w:t>
            </w:r>
          </w:p>
        </w:tc>
        <w:tc>
          <w:tcPr>
            <w:tcW w:w="22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Sheet</w:t>
            </w:r>
          </w:p>
        </w:tc>
        <w:tc>
          <w:tcPr>
            <w:tcW w:w="1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380" w:type="dxa"/>
            <w:vAlign w:val="bottom"/>
          </w:tcPr>
          <w:p>
            <w:pPr>
              <w:spacing w:after="0"/>
              <w:rPr>
                <w:sz w:val="20"/>
                <w:szCs w:val="20"/>
                <w:color w:val="auto"/>
              </w:rPr>
            </w:pP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Location</w:t>
            </w: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Value</w:t>
            </w:r>
          </w:p>
        </w:tc>
        <w:tc>
          <w:tcPr>
            <w:tcW w:w="240" w:type="dxa"/>
            <w:vAlign w:val="bottom"/>
          </w:tcPr>
          <w:p>
            <w:pPr>
              <w:spacing w:after="0"/>
              <w:rPr>
                <w:sz w:val="20"/>
                <w:szCs w:val="20"/>
                <w:color w:val="auto"/>
              </w:rPr>
            </w:pP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Location</w:t>
            </w:r>
          </w:p>
        </w:tc>
        <w:tc>
          <w:tcPr>
            <w:tcW w:w="1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2"/>
              </w:rPr>
              <w:t>Value</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Location</w:t>
            </w:r>
          </w:p>
        </w:tc>
        <w:tc>
          <w:tcPr>
            <w:tcW w:w="1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Value</w:t>
            </w:r>
          </w:p>
        </w:tc>
      </w:tr>
    </w:tbl>
    <w:p>
      <w:pPr>
        <w:spacing w:after="0" w:line="2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5" w:lineRule="exact"/>
        <w:rPr>
          <w:sz w:val="20"/>
          <w:szCs w:val="20"/>
          <w:color w:val="auto"/>
        </w:rPr>
      </w:pPr>
    </w:p>
    <w:p>
      <w:pPr>
        <w:ind w:left="140" w:right="20" w:hanging="129"/>
        <w:spacing w:after="0" w:line="257" w:lineRule="auto"/>
        <w:rPr>
          <w:sz w:val="20"/>
          <w:szCs w:val="20"/>
          <w:color w:val="auto"/>
        </w:rPr>
      </w:pPr>
      <w:r>
        <w:rPr>
          <w:rFonts w:ascii="Times New Roman" w:cs="Times New Roman" w:eastAsia="Times New Roman" w:hAnsi="Times New Roman"/>
          <w:sz w:val="18"/>
          <w:szCs w:val="18"/>
          <w:color w:val="auto"/>
        </w:rPr>
        <w:t>Derivatives designated as hedging instruments Pay-fixed interest rate swap</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agreements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-702310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-153670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00"/>
            <w:col w:w="8980"/>
          </w:cols>
          <w:pgMar w:left="320" w:top="119"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hedging instruments</w:t>
            </w: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Rate-lock mortgage loan</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Mandatory commitments to</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 mortgage loans</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agreements - commercial</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Pay-variable interest rate</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swap agreements -</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options</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Written options</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7"/>
        </w:trPr>
        <w:tc>
          <w:tcPr>
            <w:tcW w:w="220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derivatives</w:t>
            </w:r>
          </w:p>
        </w:tc>
        <w:tc>
          <w:tcPr>
            <w:tcW w:w="1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line="12"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Condensed Consolidated Statements of Operations follows:</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Three Month Periods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Location of</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Gain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Reclassified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from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Gain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Reclassified from</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8"/>
              </w:rPr>
              <w:t>Recognized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Accumulated 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color w:val="auto"/>
              </w:rPr>
              <w:t>Comprehensive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Income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Location of</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Gain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color w:val="auto"/>
                <w:w w:val="99"/>
              </w:rPr>
              <w:t>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into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(Loss)</w:t>
            </w:r>
          </w:p>
        </w:tc>
        <w:tc>
          <w:tcPr>
            <w:tcW w:w="240" w:type="dxa"/>
            <w:vAlign w:val="bottom"/>
          </w:tcPr>
          <w:p>
            <w:pPr>
              <w:spacing w:after="0"/>
              <w:rPr>
                <w:sz w:val="18"/>
                <w:szCs w:val="18"/>
                <w:color w:val="auto"/>
              </w:rPr>
            </w:pPr>
          </w:p>
        </w:tc>
        <w:tc>
          <w:tcPr>
            <w:tcW w:w="14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Recognized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bottom w:val="single" w:sz="8" w:color="auto"/>
            </w:tcBorders>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(Effective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in Income</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Portion)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 Income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w:t>
            </w:r>
          </w:p>
        </w:tc>
        <w:tc>
          <w:tcPr>
            <w:tcW w:w="10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74"/>
              </w:rPr>
              <w:t>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1"/>
        </w:trPr>
        <w:tc>
          <w:tcPr>
            <w:tcW w:w="130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Cash Flow</w:t>
            </w:r>
          </w:p>
        </w:tc>
        <w:tc>
          <w:tcPr>
            <w:tcW w:w="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8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(180)</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tcPr>
          <w:p>
            <w:pPr>
              <w:spacing w:after="0"/>
              <w:rPr>
                <w:sz w:val="20"/>
                <w:szCs w:val="20"/>
                <w:color w:val="auto"/>
              </w:rPr>
            </w:pP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3"/>
              </w:rPr>
              <w:t>(72)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76"/>
              </w:rPr>
              <w:t>(310)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hedge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designation</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Rate-lock</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gains 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Mandatory</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 sell</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gains 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mortgage</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8"/>
        </w:trPr>
        <w:tc>
          <w:tcPr>
            <w:tcW w:w="1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agreements -</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Pay-variable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 -</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198"/>
        </w:trPr>
        <w:tc>
          <w:tcPr>
            <w:tcW w:w="1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rate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Written</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50" w:orient="portrait"/>
          <w:cols w:equalWidth="0" w:num="1">
            <w:col w:w="11240"/>
          </w:cols>
          <w:pgMar w:left="320" w:top="119" w:right="339" w:bottom="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50" w:orient="portrait"/>
          <w:cols w:equalWidth="0" w:num="1">
            <w:col w:w="11240"/>
          </w:cols>
          <w:pgMar w:left="320" w:top="119" w:right="339" w:bottom="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Nine Month Periods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auto"/>
              </w:rPr>
              <w:t>Location of</w:t>
            </w: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Gain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Reclassified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from</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4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Gain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Gain (Loss)</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Other</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Recognized in</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Comprehensive</w:t>
            </w:r>
          </w:p>
        </w:tc>
        <w:tc>
          <w:tcPr>
            <w:tcW w:w="2740" w:type="dxa"/>
            <w:vAlign w:val="bottom"/>
            <w:gridSpan w:val="8"/>
          </w:tcPr>
          <w:p>
            <w:pPr>
              <w:jc w:val="center"/>
              <w:ind w:right="1260"/>
              <w:spacing w:after="0"/>
              <w:rPr>
                <w:sz w:val="20"/>
                <w:szCs w:val="20"/>
                <w:color w:val="auto"/>
              </w:rPr>
            </w:pPr>
            <w:r>
              <w:rPr>
                <w:rFonts w:ascii="Times New Roman" w:cs="Times New Roman" w:eastAsia="Times New Roman" w:hAnsi="Times New Roman"/>
                <w:sz w:val="18"/>
                <w:szCs w:val="18"/>
                <w:color w:val="auto"/>
                <w:w w:val="98"/>
              </w:rPr>
              <w:t>Accumulated Other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Income (Loss)</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into</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Location of</w:t>
            </w:r>
          </w:p>
        </w:tc>
        <w:tc>
          <w:tcPr>
            <w:tcW w:w="140" w:type="dxa"/>
            <w:vAlign w:val="bottom"/>
          </w:tcPr>
          <w:p>
            <w:pPr>
              <w:spacing w:after="0"/>
              <w:rPr>
                <w:sz w:val="18"/>
                <w:szCs w:val="18"/>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rPr>
              <w:t>Gain (Loss)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Income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Income</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into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Gain (Loss)</w:t>
            </w:r>
          </w:p>
        </w:tc>
        <w:tc>
          <w:tcPr>
            <w:tcW w:w="140" w:type="dxa"/>
            <w:vAlign w:val="bottom"/>
          </w:tcPr>
          <w:p>
            <w:pPr>
              <w:spacing w:after="0"/>
              <w:rPr>
                <w:sz w:val="18"/>
                <w:szCs w:val="18"/>
                <w:color w:val="auto"/>
              </w:rPr>
            </w:pPr>
          </w:p>
        </w:tc>
        <w:tc>
          <w:tcPr>
            <w:tcW w:w="15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Recognized</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(Effective Portion)</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(Effective</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Recognized</w:t>
            </w:r>
          </w:p>
        </w:tc>
        <w:tc>
          <w:tcPr>
            <w:tcW w:w="140" w:type="dxa"/>
            <w:vAlign w:val="bottom"/>
          </w:tcPr>
          <w:p>
            <w:pPr>
              <w:spacing w:after="0"/>
              <w:rPr>
                <w:sz w:val="20"/>
                <w:szCs w:val="20"/>
                <w:color w:val="auto"/>
              </w:rPr>
            </w:pPr>
          </w:p>
        </w:tc>
        <w:tc>
          <w:tcPr>
            <w:tcW w:w="15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Income</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2019</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Portion)</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Income</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Non-interest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191"/>
        </w:trPr>
        <w:tc>
          <w:tcPr>
            <w:tcW w:w="364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(1,311)Interest expense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18"/>
                <w:szCs w:val="18"/>
                <w:color w:val="auto"/>
              </w:rPr>
            </w:pPr>
          </w:p>
        </w:tc>
        <w:tc>
          <w:tcPr>
            <w:tcW w:w="204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(429)Interest expense</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72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(1,740)</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6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 agreements -</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198"/>
        </w:trPr>
        <w:tc>
          <w:tcPr>
            <w:tcW w:w="3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Pay-variable interest rate swap agreements -</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options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Written options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84"/>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40" w:name="page41"/>
    <w:bookmarkEnd w:id="4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 2020</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2019</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Carrying</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w:t>
            </w:r>
          </w:p>
        </w:tc>
      </w:tr>
      <w:tr>
        <w:trPr>
          <w:trHeight w:val="241"/>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r>
      <w:tr>
        <w:trPr>
          <w:trHeight w:val="234"/>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23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6,590</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our required annual goodwill impairment test as of December 31, 2019 and there was no impairment. Since the first quarter of 2020 bank stocks in general as well as our market capitalization have declined as a result of events surrounding the current COVID-19 pandemic outbreak. As a result, we completed a qualitative goodwill impairment test as of March 31, 2020, June 30, 2020 and September 30, 2020. This qualitative analysis included a review of our earnings and asset quality trends as well as capital levels and the economic conditions of our markets. In addition, this qualitative analysis looked at merger and acquisition analytics for banks in general . Finally, our common stock traded over book value for several days during the second quarter. Based on this qualitative analysis we do not believe this decline is indicative of a permanent deterioration of the fundamental value of our bank. As such we do not believe that it is more likely than not goodwill impairment exists at September 30, 2020. See note 13, Contingencies, for additional information on COVID-19 and its potential impact to 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estimated core deposit intangible amortization at September 30, 2020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December 31, 2020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u w:val="single" w:color="auto"/>
          <w:color w:val="auto"/>
        </w:rPr>
        <w:t>Share Based Compensation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September 30, 2020. The non-employee director stock purchase plan permits the issuance of additional share based payments for up to 0.2 million shares of common stock as of September 30, 2020. Share based awards and payments are measured at fair value at the date of grant and are expensed over the requisite service period. Common shares issued upon exercise of stock options come from currently authorized but unissued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performance stock units (“PSU”) granted pursuant to our long-term incentive plan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98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PSU</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22,016</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0.008 million shares of restricted stock issued during the third quarter of 2019 and 0.002 million shares of restricted stock issued during the first quarter of 2019 that vest ratably over three years, 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an index of our banking peers.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90%of the current value and vest immediately. During the nine month periods ended September 30, 2020 and 2019 we issued 0.016 million and 0.008 million shares, respectively and expensed their value during those same periods.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$0.4 million and $1.2 million during the three and nine month periods ended September 30, 2020, respectively, and was $0.4 million and $1.2 million during the same periods in 2019, respectively. The corresponding tax benefit relating to this expense was $0.1 million and $0.3 million for the three and nine month periods ended September 30, 2020, respectively and $0.1 million and $0.2 million for the same periods in 2019. Total expense recognized for non-employee director share based payments was $0.09 million and $0.26 million during the three and nine month periods ended September 30, 2020, respectively, and was $0.06 million and $0.18 million during the same periods in 2019, respectively. The corresponding tax benefit relating to this expense was $0.02 million and $0.05 million for the three and nine month periods ended September 30, 2020, respectively and $0.01 million and $0.04 million during the same periods in 2019.</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the total expected compensation cost related to non-vested restricted stock and PSUs not yet recognized was $2.1 million. The weighted-average period over which this amount will be recognized is 1.8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125,389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125,389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Grant Date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(20,869)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follows: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4"/>
          </w:tcPr>
          <w:p>
            <w:pPr>
              <w:jc w:val="right"/>
              <w:ind w:right="114"/>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8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color w:val="auto"/>
                <w:w w:val="76"/>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79"/>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w:t>
            </w:r>
          </w:p>
        </w:tc>
        <w:tc>
          <w:tcPr>
            <w:tcW w:w="1320" w:type="dxa"/>
            <w:vAlign w:val="bottom"/>
            <w:gridSpan w:val="2"/>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received</w:t>
            </w:r>
          </w:p>
        </w:tc>
        <w:tc>
          <w:tcPr>
            <w:tcW w:w="1320" w:type="dxa"/>
            <w:vAlign w:val="bottom"/>
            <w:gridSpan w:val="2"/>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realized</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42"/>
        </w:trPr>
        <w:tc>
          <w:tcPr>
            <w:tcW w:w="5500" w:type="dxa"/>
            <w:vAlign w:val="bottom"/>
          </w:tcPr>
          <w:p>
            <w:pPr>
              <w:spacing w:after="0"/>
              <w:rPr>
                <w:sz w:val="24"/>
                <w:szCs w:val="24"/>
                <w:color w:val="auto"/>
              </w:rPr>
            </w:pP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55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43" w:name="page44"/>
    <w:bookmarkEnd w:id="4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was $4.8 million and $3.1 million during the three month periods ended September 30, 2020 and 2019, respectively and $9.2 million and $8.0 million during the nine months ended September 30, 2020 and 2019,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2020 include increases (reductions) of $0.01 million and ($0.19) million, respectively, of income tax expense related to the impact of the excess value of stock awards that vested and stock options that were exercised as compared to the initial fair values that were expensed. These amounts during the same periods in 2019 were reductions of $0.01 million and $0.18 million, respectively.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2020, September 30, 2019 and December 31, 2019 that the realization of substantially all of our deferred tax assets continues to be more likely than not.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September 30, 2020 and December 31, 2019, we had approximately $0.4 million, of gross unrecognized tax benefits. We do not expect the total amount of unrecognized tax benefits to significantly increase or decrease during the balance of 2020.</w:t>
      </w:r>
    </w:p>
    <w:p>
      <w:pPr>
        <w:spacing w:after="0" w:line="18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2020, the Bank had positive undivided profits of $68.3 million. It is not our intent to have dividends paid in amounts that would reduce the capital of our Bank to levels below those which we consider prudent and in accordance with guidelines of regulatory authorities.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2020 and December 31, 2019, categorized our Bank as well capitalized. Management is not aware of any conditions or events that would have changed the most recent Federal Deposit Insurance Corporation (“FDIC”) categorization.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capital amounts and ratios follow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Minimum for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Adequately Capitalized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Well-Capitalized</w:t>
            </w:r>
          </w:p>
        </w:tc>
      </w:t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Institutions</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Ratio</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Ratio</w:t>
            </w:r>
          </w:p>
        </w:tc>
        <w:tc>
          <w:tcPr>
            <w:tcW w:w="160" w:type="dxa"/>
            <w:vAlign w:val="bottom"/>
          </w:tcPr>
          <w:p>
            <w:pPr>
              <w:spacing w:after="0"/>
              <w:rPr>
                <w:sz w:val="19"/>
                <w:szCs w:val="19"/>
                <w:color w:val="auto"/>
              </w:rPr>
            </w:pPr>
          </w:p>
        </w:tc>
      </w:t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441,969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226,378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391,033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226,310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282,888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366,571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355,645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169,733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226,310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127,338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355,645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127,299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183,877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366,571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162,103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355,645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162,020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202,525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380,454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221,562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358,914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221,482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276,852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166,171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166,111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314,532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124,628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139,632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NA</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139,615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431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760" w:firstLine="8"/>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September 30, 2020 and December 31, 2019. NA - Not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Independent Bank</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350,169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366,861</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(deduct)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for regulatory purposes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(32,861)</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(33,626)</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(32,861)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(33,626)</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328,288</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314,532</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38,283</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38,232</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Tier 1 capital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366,571</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352,764</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Allowance for loan losses and allowance for unfunded lending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35,398</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27,690</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27,690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risk-based capital</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441,969</w:t>
            </w:r>
          </w:p>
        </w:tc>
        <w:tc>
          <w:tcPr>
            <w:tcW w:w="260" w:type="dxa"/>
            <w:vAlign w:val="bottom"/>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380,454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358,914</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Fair Value Disclosures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3"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 assets (recurring Level 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Impaired loans with specific loss allocations based on collateral value</w:t>
      </w:r>
      <w:r>
        <w:rPr>
          <w:rFonts w:ascii="Times New Roman" w:cs="Times New Roman" w:eastAsia="Times New Roman" w:hAnsi="Times New Roman"/>
          <w:sz w:val="18"/>
          <w:szCs w:val="18"/>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Prices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 Active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Markets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for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Fair Value</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Identical</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Measure-</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ments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335,560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335,560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8,421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44,285</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44,285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263,371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263,371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244,978</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244,978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75,017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99,747</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99,747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15,403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19,202</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19,202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12,690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1,591</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7,098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real estate (4)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 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
        </w:trPr>
        <w:tc>
          <w:tcPr>
            <w:tcW w:w="45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other real estate with subsequent write downs to fair value. The fair value of the commercial real estate property included in this table was based on a purchase agreement executed during the third quarter of 2020 that closed during the fourth quarter of 2020.</w:t>
      </w:r>
    </w:p>
    <w:p>
      <w:pPr>
        <w:sectPr>
          <w:pgSz w:w="11900" w:h="16838" w:orient="portrait"/>
          <w:cols w:equalWidth="0" w:num="1">
            <w:col w:w="11240"/>
          </w:cols>
          <w:pgMar w:left="320" w:top="119"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5"/>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Fair Value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Measure-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ments</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14,661</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227,762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227,762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10,756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39,693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39,693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93,886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93,886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96,102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96,102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33,195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33,195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69,800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19,171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real estate (4)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Mortgage - 1-4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Installment - 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83"/>
        </w:trPr>
        <w:tc>
          <w:tcPr>
            <w:tcW w:w="45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other real estate with subsequent write downs to fair value.</w:t>
      </w:r>
    </w:p>
    <w:p>
      <w:pPr>
        <w:sectPr>
          <w:pgSz w:w="11900" w:h="16838" w:orient="portrait"/>
          <w:cols w:equalWidth="0" w:num="1">
            <w:col w:w="11240"/>
          </w:cols>
          <w:pgMar w:left="320" w:top="119"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color w:val="auto"/>
                <w:w w:val="99"/>
              </w:rPr>
              <w:t>Changes in Fair Values for the Nine-Month Periods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Ended September 30 for Items Measured at Fair Value</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Pursuant to Election of the Fair Value Option</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 Fair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Net Gains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Values</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color w:val="auto"/>
              </w:rPr>
              <w:t>Included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on Assets</w:t>
            </w:r>
          </w:p>
        </w:tc>
        <w:tc>
          <w:tcPr>
            <w:tcW w:w="240" w:type="dxa"/>
            <w:vAlign w:val="bottom"/>
          </w:tcPr>
          <w:p>
            <w:pPr>
              <w:spacing w:after="0"/>
              <w:rPr>
                <w:sz w:val="20"/>
                <w:szCs w:val="20"/>
                <w:color w:val="auto"/>
              </w:rPr>
            </w:pPr>
          </w:p>
        </w:tc>
        <w:tc>
          <w:tcPr>
            <w:tcW w:w="13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Mortgage</w:t>
            </w: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in Current</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Available For</w:t>
            </w:r>
          </w:p>
        </w:tc>
        <w:tc>
          <w:tcPr>
            <w:tcW w:w="2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8"/>
                <w:szCs w:val="18"/>
                <w:color w:val="auto"/>
              </w:rPr>
            </w:pPr>
          </w:p>
        </w:tc>
        <w:tc>
          <w:tcPr>
            <w:tcW w:w="13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7"/>
              </w:rPr>
              <w:t>Loan</w:t>
            </w: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Sale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Loans</w:t>
            </w:r>
          </w:p>
        </w:tc>
        <w:tc>
          <w:tcPr>
            <w:tcW w:w="160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Servicing, net</w:t>
            </w: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2,081</w:t>
            </w:r>
          </w:p>
        </w:tc>
        <w:tc>
          <w:tcPr>
            <w:tcW w:w="24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(14,028)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three and nine month periods ended September 30, 2020 and 2019 relating to assets measured at fair value on a non-recurring basis:</w:t>
      </w:r>
    </w:p>
    <w:p>
      <w:pPr>
        <w:spacing w:after="0" w:line="189" w:lineRule="exact"/>
        <w:rPr>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are measured for impairment using the fair value of collateral for collateral dependent loans had a carrying amount of $10.1 million, which is net of a valuation allowance of $2.3 million at September 30, 2020, and had a carrying amount of $3.4 million, which is net of a valuation allowance of $1.5 million at December 31, 2019. The provision for loan losses included in our results of operations relating to impaired loans was a net expense of $0.2 million and $0.5 million for the three month periods ending September 30, 2020 and 2019, respectively, and a net expense of $1.1 million and $0.8 million for the nine month periods ending September 30, 2020 and 2019, respectively.</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real estate, which is measured using the fair value of the property, had a carrying amount of 0.47 million which is net of a valuation allowance of $0.15 million at September 30, 2020, and a carrying amount of $0.06 million which is net of a valuation allowance of $0.09 million, at December 31, 2019. Charges included in our results of operations relating to other real estate measured at fair value were zero and $0.09 million during the three and nine month periods ended September 30, 2020, and were $0.07 million and $0.08 million during the three and nine month periods ended September 30, 2019.</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for all assets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w w:val="79"/>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(losses) realized and 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(14,028)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4,764</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total losses for the period included in earnings attributable to the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relating to assets and liabilities still held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5"/>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Fair</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Weighted</w:t>
            </w:r>
          </w:p>
        </w:tc>
      </w:tr>
      <w:tr>
        <w:trPr>
          <w:trHeight w:val="241"/>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Technique</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Range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440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620" w:type="dxa"/>
            <w:vAlign w:val="bottom"/>
            <w:gridSpan w:val="2"/>
            <w:shd w:val="clear" w:color="auto" w:fill="CCEEFF"/>
          </w:tcPr>
          <w:p>
            <w:pPr>
              <w:jc w:val="right"/>
              <w:ind w:right="1330"/>
              <w:spacing w:after="0" w:line="198" w:lineRule="exact"/>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of net</w:t>
            </w: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r>
      <w:tr>
        <w:trPr>
          <w:trHeight w:val="198"/>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to service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 to $215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r>
      <w:tr>
        <w:trPr>
          <w:trHeight w:val="198"/>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to 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r>
      <w:tr>
        <w:trPr>
          <w:trHeight w:val="198"/>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7.34% to 40.16%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jc w:val="right"/>
              <w:ind w:right="1330"/>
              <w:spacing w:after="0" w:line="198" w:lineRule="exact"/>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of net</w:t>
            </w: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r>
      <w:tr>
        <w:trPr>
          <w:trHeight w:val="198"/>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to service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to $316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r>
      <w:tr>
        <w:trPr>
          <w:trHeight w:val="198"/>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to 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198"/>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7.01% to 69.34%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14.96%</w:t>
            </w:r>
          </w:p>
        </w:tc>
      </w:tr>
      <w:tr>
        <w:trPr>
          <w:trHeight w:val="648"/>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4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52" w:name="page53"/>
    <w:bookmarkEnd w:id="5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Asset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Fair</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Unobservable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Weighted</w:t>
            </w:r>
          </w:p>
        </w:tc>
      </w:tr>
      <w:tr>
        <w:trPr>
          <w:trHeight w:val="241"/>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Value</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Range</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458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Impaired loans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48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80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8,689</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Capitalization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rate</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48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Mortgage and Installment(1)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104.6%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Impaired loans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48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800" w:type="dxa"/>
            <w:vAlign w:val="bottom"/>
            <w:gridSpan w:val="2"/>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48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Mortgage and Installment(1)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2,467</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49.2%%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8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real estate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8"/>
        </w:trPr>
        <w:tc>
          <w:tcPr>
            <w:tcW w:w="48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Mortgage and Installment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September 30, 2020 and December 31, 2019 certain impaired collateral dependent installment loans totaling approximately $0.27 million and $0.14 million, respectively are secured by collateral other than real estate. For the majority of these loans, we apply internal discount rates to industry valuation guides.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0" w:type="dxa"/>
            <w:vAlign w:val="bottom"/>
          </w:tcPr>
          <w:p>
            <w:pPr>
              <w:spacing w:after="0"/>
              <w:rPr>
                <w:sz w:val="1"/>
                <w:szCs w:val="1"/>
                <w:color w:val="auto"/>
              </w:rPr>
            </w:pPr>
          </w:p>
        </w:tc>
      </w:tr>
      <w:tr>
        <w:trPr>
          <w:trHeight w:val="234"/>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2020</w:t>
            </w:r>
          </w:p>
        </w:tc>
        <w:tc>
          <w:tcPr>
            <w:tcW w:w="2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99,747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95,772</w:t>
            </w:r>
          </w:p>
        </w:tc>
        <w:tc>
          <w:tcPr>
            <w:tcW w:w="0" w:type="dxa"/>
            <w:vAlign w:val="bottom"/>
          </w:tcPr>
          <w:p>
            <w:pPr>
              <w:spacing w:after="0"/>
              <w:rPr>
                <w:sz w:val="1"/>
                <w:szCs w:val="1"/>
                <w:color w:val="auto"/>
              </w:rPr>
            </w:pPr>
          </w:p>
        </w:tc>
      </w:tr>
      <w:tr>
        <w:trPr>
          <w:trHeight w:val="234"/>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2019</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Values of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recorded book balances and fair values follow:</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Book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42,435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42,435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985,050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985,050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985,050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Reserve Bank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2,919,455</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2,915,489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2,815,742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19,202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3,105,019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3,105,019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3,105,019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492,726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495,694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495,694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39,261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53,295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53,295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518,400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518,400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 Bank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18,359</w:t>
            </w: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2,768,675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2,768,817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2,699,017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2,427,190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2,427,190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2,427,190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609,537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88,646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Deposits with no stated maturity include reciprocal deposits with a recorded book balance of $</w:t>
      </w:r>
      <w:r>
        <w:rPr>
          <w:rFonts w:ascii="Times New Roman" w:cs="Times New Roman" w:eastAsia="Times New Roman" w:hAnsi="Times New Roman"/>
          <w:sz w:val="18"/>
          <w:szCs w:val="18"/>
          <w:color w:val="000000"/>
        </w:rPr>
        <w:t>521.106</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$388.369 million at September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2020 and December 31, 2019, respectively. Deposits with a stated maturity include reciprocal deposits with a recorded book balance of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36.445 </w:t>
      </w:r>
      <w:r>
        <w:rPr>
          <w:rFonts w:ascii="Times New Roman" w:cs="Times New Roman" w:eastAsia="Times New Roman" w:hAnsi="Times New Roman"/>
          <w:sz w:val="18"/>
          <w:szCs w:val="18"/>
          <w:color w:val="231F20"/>
        </w:rPr>
        <w:t>million and $</w:t>
      </w:r>
      <w:r>
        <w:rPr>
          <w:rFonts w:ascii="Times New Roman" w:cs="Times New Roman" w:eastAsia="Times New Roman" w:hAnsi="Times New Roman"/>
          <w:sz w:val="18"/>
          <w:szCs w:val="18"/>
          <w:color w:val="000000"/>
        </w:rPr>
        <w:t>42.658</w:t>
      </w:r>
      <w:r>
        <w:rPr>
          <w:rFonts w:ascii="Times New Roman" w:cs="Times New Roman" w:eastAsia="Times New Roman" w:hAnsi="Times New Roman"/>
          <w:sz w:val="18"/>
          <w:szCs w:val="18"/>
          <w:color w:val="231F20"/>
        </w:rPr>
        <w:t xml:space="preserve"> million at September 30, 2020 and December 31, 2019, respectively.</w:t>
      </w:r>
    </w:p>
    <w:p>
      <w:pPr>
        <w:sectPr>
          <w:pgSz w:w="11900" w:h="16838" w:orient="portrait"/>
          <w:cols w:equalWidth="0" w:num="1">
            <w:col w:w="11240"/>
          </w:cols>
          <w:pgMar w:left="320" w:top="119"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89"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Since then, the Michigan Department of Health and Human Services (MDHHS) has issued orders similar to the Governor's executive orders under authority granted to the MDHHS by the Michigan Public Health Code – a different statute than the law on which the Governor based her executive orders. Under the MDHHS' orders, social distancing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region of the state in which they are located. It is currently expected that various forms of state and local government restrictions similar to those described above will continue through the fourth quarter and perhaps beyond. As a result of these events, Michigan has experienced a significant increase in unemployment.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activity and high levels of unemployment may cause increases in loan delinquencies, foreclosures and defaults;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allowance for loan losses may be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collateral values may occur;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disruptions, including outages at network providers, on-line banking vendors and other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 and payment fraud risk, as cybercriminals attempt to profit from the disruption, given increased online and remote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failures due to changes in our normal business practices necessitated by the pandemic and related governmental actions; and/or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or significant numbers of our employees being unable to work effectively, including because of illness or restrictions in connection with COVID-19.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may continue for a significant period of time.</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industries (such as hotels and restaurants) have been more adversely impacted by the COVID-19 pandemic and related periodic shut downs of our economy. We believe that the following industry concentrations within our commercial loan portfolio represent greater potential risk in the current economic environment. The balances below are as of September 30,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and industrial portfolio segment:</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 $99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service - $59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 $45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real estate portfolio segment: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 $94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 $53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Multifamily - $62 million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closely monitoring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Reimbursement Obligations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$0.05 million and $0.03 million for the three month periods ended September 30, 2020 and 2019 and an expense of $0.16 million and $0.18 million for the nine month periods ended September 30, 2020 and 2019, respectively. The reserve for loss reimbursements on sold mortgage loans totaled $0.98 million and $0.88 million at September 30, 2020 and December 31, 2019,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Class A shares for every 1 Class B share and the closing price of VISA Class A shares on October 28, 2020 of $180.87 per share, our 12,566 Class B shares would have a current “value” of approximately $3.7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6420" w:firstLine="8"/>
        <w:spacing w:after="0" w:line="532"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Accumulated Other Comprehensive Income (Loss) (“AOCIL”) </w:t>
      </w:r>
      <w:r>
        <w:rPr>
          <w:rFonts w:ascii="Times New Roman" w:cs="Times New Roman" w:eastAsia="Times New Roman" w:hAnsi="Times New Roman"/>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Tax Effects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(Losses) 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Available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Sale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Hedges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(3,373)</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9,622</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6,146</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6,735</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From</w:t>
            </w:r>
          </w:p>
        </w:tc>
        <w:tc>
          <w:tcPr>
            <w:tcW w:w="4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Affected Line Item in Condensed</w:t>
            </w:r>
          </w:p>
        </w:tc>
        <w:tc>
          <w:tcPr>
            <w:tcW w:w="0" w:type="dxa"/>
            <w:vAlign w:val="bottom"/>
          </w:tcPr>
          <w:p>
            <w:pPr>
              <w:spacing w:after="0"/>
              <w:rPr>
                <w:sz w:val="1"/>
                <w:szCs w:val="1"/>
                <w:color w:val="auto"/>
              </w:rPr>
            </w:pPr>
          </w:p>
        </w:tc>
      </w:tr>
      <w:tr>
        <w:trPr>
          <w:trHeight w:val="241"/>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AOCIL Component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AOCIL</w:t>
            </w:r>
          </w:p>
        </w:tc>
        <w:tc>
          <w:tcPr>
            <w:tcW w:w="49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0" w:type="dxa"/>
            <w:vAlign w:val="bottom"/>
          </w:tcPr>
          <w:p>
            <w:pPr>
              <w:spacing w:after="0"/>
              <w:rPr>
                <w:sz w:val="1"/>
                <w:szCs w:val="1"/>
                <w:color w:val="auto"/>
              </w:rPr>
            </w:pPr>
          </w:p>
        </w:tc>
      </w:tr>
      <w:tr>
        <w:trPr>
          <w:trHeight w:val="234"/>
        </w:trPr>
        <w:tc>
          <w:tcPr>
            <w:tcW w:w="49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9"/>
        </w:trPr>
        <w:tc>
          <w:tcPr>
            <w:tcW w:w="51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8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Total reclassifications before tax</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642"/>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top w:val="single" w:sz="8" w:color="auto"/>
            </w:tcBorders>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60" w:name="page61"/>
    <w:bookmarkEnd w:id="6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From</w:t>
            </w:r>
          </w:p>
        </w:tc>
        <w:tc>
          <w:tcPr>
            <w:tcW w:w="4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Affected Line Item in Condensed</w:t>
            </w:r>
          </w:p>
        </w:tc>
        <w:tc>
          <w:tcPr>
            <w:tcW w:w="0" w:type="dxa"/>
            <w:vAlign w:val="bottom"/>
          </w:tcPr>
          <w:p>
            <w:pPr>
              <w:spacing w:after="0"/>
              <w:rPr>
                <w:sz w:val="1"/>
                <w:szCs w:val="1"/>
                <w:color w:val="auto"/>
              </w:rPr>
            </w:pPr>
          </w:p>
        </w:tc>
      </w:tr>
      <w:tr>
        <w:trPr>
          <w:trHeight w:val="241"/>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AOCIL Component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AOCIL</w:t>
            </w:r>
          </w:p>
        </w:tc>
        <w:tc>
          <w:tcPr>
            <w:tcW w:w="49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0" w:type="dxa"/>
            <w:vAlign w:val="bottom"/>
          </w:tcPr>
          <w:p>
            <w:pPr>
              <w:spacing w:after="0"/>
              <w:rPr>
                <w:sz w:val="1"/>
                <w:szCs w:val="1"/>
                <w:color w:val="auto"/>
              </w:rPr>
            </w:pPr>
          </w:p>
        </w:tc>
      </w:tr>
      <w:tr>
        <w:trPr>
          <w:trHeight w:val="234"/>
        </w:trPr>
        <w:tc>
          <w:tcPr>
            <w:tcW w:w="49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641"/>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auto"/>
            </w:tcBorders>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61" w:name="page62"/>
    <w:bookmarkEnd w:id="6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87.9% and 84.7% of total revenues for the nine month periods ending September 30, 2020 and 2019,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2020 and December 31, 2019.</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Service charges on deposit accounts and other deposit related income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Interchange income:</w:t>
      </w:r>
      <w:r>
        <w:rPr>
          <w:rFonts w:ascii="Times New Roman" w:cs="Times New Roman" w:eastAsia="Times New Roman" w:hAnsi="Times New Roman"/>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and insurance commissions:</w:t>
      </w:r>
      <w:r>
        <w:rPr>
          <w:rFonts w:ascii="Times New Roman" w:cs="Times New Roman" w:eastAsia="Times New Roman" w:hAnsi="Times New Roman"/>
          <w:sz w:val="18"/>
          <w:szCs w:val="18"/>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Net (gains) losses on other real estate and repossessed assets:</w:t>
      </w:r>
      <w:r>
        <w:rPr>
          <w:rFonts w:ascii="Times New Roman" w:cs="Times New Roman" w:eastAsia="Times New Roman" w:hAnsi="Times New Roman"/>
          <w:sz w:val="18"/>
          <w:szCs w:val="18"/>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2020 and 2019 that were financed by 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September 30, 2020</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Service</w:t>
            </w:r>
          </w:p>
        </w:tc>
        <w:tc>
          <w:tcPr>
            <w:tcW w:w="20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63" w:name="page64"/>
    <w:bookmarkEnd w:id="63"/>
    <w:p>
      <w:pPr>
        <w:ind w:left="100"/>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September 30, 2019</w:t>
            </w:r>
          </w:p>
        </w:tc>
        <w:tc>
          <w:tcPr>
            <w:tcW w:w="180" w:type="dxa"/>
            <w:vAlign w:val="bottom"/>
          </w:tcPr>
          <w:p>
            <w:pPr>
              <w:spacing w:after="0"/>
              <w:rPr>
                <w:sz w:val="20"/>
                <w:szCs w:val="20"/>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4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Reconciliation to Condensed Consolidated Statement of Operations: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119" w:right="339" w:bottom="1440" w:gutter="0" w:footer="0" w:header="0"/>
        </w:sectPr>
      </w:pPr>
    </w:p>
    <w:bookmarkStart w:id="64" w:name="page65"/>
    <w:bookmarkEnd w:id="6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ending September 30, 2020</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65" w:name="page66"/>
    <w:bookmarkEnd w:id="6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ending September 30, 2019</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Leases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w:t>
      </w:r>
      <w:r>
        <w:rPr>
          <w:rFonts w:ascii="Times New Roman" w:cs="Times New Roman" w:eastAsia="Times New Roman" w:hAnsi="Times New Roman"/>
          <w:sz w:val="18"/>
          <w:szCs w:val="18"/>
          <w:color w:val="231F20"/>
        </w:rPr>
        <w:t>Consolidated Statements of Financial Condition</w:t>
      </w:r>
      <w:r>
        <w:rPr>
          <w:rFonts w:ascii="Times New Roman" w:cs="Times New Roman" w:eastAsia="Times New Roman" w:hAnsi="Times New Roman"/>
          <w:sz w:val="18"/>
          <w:szCs w:val="18"/>
          <w:color w:val="auto"/>
        </w:rPr>
        <w:t>.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September 30, 2020).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980" w:type="dxa"/>
            <w:vAlign w:val="bottom"/>
          </w:tcPr>
          <w:p>
            <w:pPr>
              <w:spacing w:after="0"/>
              <w:rPr>
                <w:sz w:val="24"/>
                <w:szCs w:val="24"/>
                <w:color w:val="auto"/>
              </w:rPr>
            </w:pPr>
          </w:p>
        </w:tc>
        <w:tc>
          <w:tcPr>
            <w:tcW w:w="21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314"/>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06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79"/>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w w:val="79"/>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18"/>
                <w:szCs w:val="18"/>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w:t>
            </w:r>
          </w:p>
        </w:tc>
      </w:tr>
      <w:tr>
        <w:trPr>
          <w:trHeight w:val="21"/>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8600" w:type="dxa"/>
            <w:vAlign w:val="bottom"/>
          </w:tcPr>
          <w:p>
            <w:pPr>
              <w:spacing w:after="0"/>
              <w:rPr>
                <w:sz w:val="24"/>
                <w:szCs w:val="24"/>
                <w:color w:val="auto"/>
              </w:rPr>
            </w:pPr>
          </w:p>
        </w:tc>
        <w:tc>
          <w:tcPr>
            <w:tcW w:w="138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color w:val="auto"/>
                <w:w w:val="99"/>
              </w:rPr>
              <w:t>September 30,</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78"/>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(2)</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our Condensed Consolidated Statements of Financial Condition.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analysis of our lease liabilities at September 30, 2020 based on required contractual payments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December 31, 2020</w:t>
            </w:r>
          </w:p>
        </w:tc>
        <w:tc>
          <w:tcPr>
            <w:tcW w:w="6160" w:type="dxa"/>
            <w:vAlign w:val="bottom"/>
            <w:gridSpan w:val="2"/>
            <w:shd w:val="clear" w:color="auto" w:fill="CCEEFF"/>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57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5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r>
      <w:tr>
        <w:trPr>
          <w:trHeight w:val="257"/>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38"/>
        </w:trPr>
        <w:tc>
          <w:tcPr>
            <w:tcW w:w="42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92"/>
        </w:trPr>
        <w:tc>
          <w:tcPr>
            <w:tcW w:w="4260" w:type="dxa"/>
            <w:vAlign w:val="bottom"/>
          </w:tcPr>
          <w:p>
            <w:pPr>
              <w:spacing w:after="0"/>
              <w:rPr>
                <w:sz w:val="24"/>
                <w:szCs w:val="24"/>
                <w:color w:val="auto"/>
              </w:rPr>
            </w:pPr>
          </w:p>
        </w:tc>
        <w:tc>
          <w:tcPr>
            <w:tcW w:w="57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260" w:type="dxa"/>
            <w:vAlign w:val="bottom"/>
            <w:tcBorders>
              <w:bottom w:val="single" w:sz="8" w:color="auto"/>
            </w:tcBorders>
          </w:tcPr>
          <w:p>
            <w:pPr>
              <w:spacing w:after="0"/>
              <w:rPr>
                <w:sz w:val="5"/>
                <w:szCs w:val="5"/>
                <w:color w:val="auto"/>
              </w:rPr>
            </w:pPr>
          </w:p>
        </w:tc>
        <w:tc>
          <w:tcPr>
            <w:tcW w:w="57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67" w:name="page68"/>
    <w:bookmarkEnd w:id="6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2"/>
          <w:szCs w:val="12"/>
          <w:b w:val="1"/>
          <w:bCs w:val="1"/>
          <w:color w:val="auto"/>
        </w:rPr>
        <w:t>PERATIONS</w:t>
      </w: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following section presents additional information to assess the financial condition and results of operations of Independent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Condensed Consolidated Financial Statements. We also encourage you to read our 2019 Annual Report on Form 10-K filed with the U.S. Securities and Exchange Commission ("SEC"). That report includes a list of risk factors that you should consider in connection with any decision to buy or sell our securities.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Overview</w:t>
      </w:r>
      <w:r>
        <w:rPr>
          <w:rFonts w:ascii="Times New Roman" w:cs="Times New Roman" w:eastAsia="Times New Roman" w:hAnsi="Times New Roman"/>
          <w:sz w:val="18"/>
          <w:szCs w:val="18"/>
          <w:color w:val="auto"/>
        </w:rPr>
        <w:t>. We provide banking services to customers located primarily in Michigan’s Lower Peninsula. We also have two loan production offices in Ohio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(Columbus and Fairlawn). As a result, our success depends to a great extent upon the economic conditions in Michigan’s Lower Peninsula.</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Recent Developments. </w:t>
      </w:r>
      <w:r>
        <w:rPr>
          <w:rFonts w:ascii="Times New Roman" w:cs="Times New Roman" w:eastAsia="Times New Roman" w:hAnsi="Times New Roman"/>
          <w:sz w:val="18"/>
          <w:szCs w:val="18"/>
          <w:color w:val="auto"/>
        </w:rPr>
        <w:t>On March 11, 2020, the World Health Organization declared COVID-19, the disease caused by the novel coronavirus, a pandemic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Since then, the Michigan Department of Health and Human Services (MDHHS) has issued orders similar to the Governor's executive orders under authority granted to the MDHHS by the Michigan Public Health Code – a different statute than the law on which the Governor based her executive orders. Under the MDHHS' orders, social distancing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region of the state in which they are located. It is currently expected that various forms of state and local government restrictions similar to those described above will continue through the fourth quarter and perhaps beyond. As a result of these events, Michigan has experienced a significant increase in unemployment.</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1" w:lineRule="exact"/>
        <w:rPr>
          <w:sz w:val="20"/>
          <w:szCs w:val="20"/>
          <w:color w:val="auto"/>
        </w:rPr>
      </w:pPr>
    </w:p>
    <w:p>
      <w:pPr>
        <w:jc w:val="center"/>
        <w:ind w:left="5540" w:right="1300" w:hanging="5168"/>
        <w:spacing w:after="0" w:line="480" w:lineRule="auto"/>
        <w:tabs>
          <w:tab w:leader="none" w:pos="8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activity and high levels of unemployment may cause increases in loan delinquencies, foreclosures and defaults;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hanging="488"/>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allowance for loan losses may be necessary;</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collateral values may occur;</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disruptions, including outages at network providers, on-line banking vendors and other suppliers;</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 and payment fraud risk, as cybercriminals attempt to profit from the disruption, given increased online and remote activity;</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failures due to changes in our normal business practices necessitated by the pandemic and related governmental actions; and/or</w:t>
      </w:r>
    </w:p>
    <w:p>
      <w:pPr>
        <w:spacing w:after="0" w:line="9"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or significant numbers of our employees being unable to work effectively, including because of illness or restrictions in connection with COVID-19.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may continue for a significant period of time. See note #13 to the Condensed Consolidated Financial Statements included within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spread of COVID-19 has caused us to modify many of our business practices. Currently, approximately 38% of our total employees work remotely.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expanded sick and vacation time for certain employees. We may take further actions as may be required or as we determine to be prudent.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certainty that such measures will be sufficient to mitigate the risks posed by COVID-19.</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the third quarter and first nine months of 2020 as compared to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PERATIONS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We recorded net income of $19.6 million and $12.4 million during the three months ended September 30, 2020 and 2019,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2020 third quarter results as compared to 2019 primarily reflects increases in net interest income and non-interest income that were partially offset by increases in the provision for loan losses, non-interest expense and income tax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income of $39.2 million and $32.6 million during the nine months ended September 30, 2020 and 2019, respectively. The increase in 2020 year-to-date results as compared to 2019 is primarily due to increases in net interest income and non-interest income that were partially offset by increases in the provision for loan losses, non-interest expense and income tax expense.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77"/>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8"/>
                <w:szCs w:val="18"/>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(annualized) to</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assets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12.84%</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totaled $32.0 million during the third quarter of 2020, an increase of $1.1 million, or 3.5% from the year-ago period. This increase primarily reflects a $602.4 million increase in average interest-earning assets that was partially offset by a 45 basis point decrease in our tax equivalent net interest income as a percent of average interest-earning assets (the “net interest margin”).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nine months of 2020, net interest income totaled $92.6 million, an increase of $0.7 million, or 0.8% from 2019. This increase primarily reflects a $423.6 million increase in average interest-earning assets that was partially offset by a 41 basis point decrease in our net interest margin.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economic impact of COVID-19, the Federal Reserve Bank has taken a variety of actions to stimulate the economy, including lowering short-term interest rates. These actions, along with lower long-term interest rates as well, have placed pressure on our net interest margin.</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significant increases in average interest-earning assets for the three- and nine-month periods ending September 30, 2020 versus the comparable year earlier periods is primarily due to the deployment of funds from a substantial increase in deposits.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and fees on loans include $1.3 million and $2.3 million for the third quarter and first nine months of 2020, of accretion of net loan fees on PPP loans. No such accretion is included in the comparable prior year periods. Interest and fees on loans also include $0.3 million and $0.9 million for the third quarter and first nine months of 2020, respectively, and include $0.4 million and $1.1 million for the third quarter and first nine months of 2019, respectively, of accretion of the discount recorded on loans acquired in the April 2018 acquisition of Traverse City State Bank (“TCSB”). In addition, the third quarter and first nine months of 2020 include $0.5 million of discount accretion on a purchased commercial loan that was paid off during the quarter.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interest income is also adversely impacted by our level of non-accrual loans. In the third quarter and first nine months of 2020, non-accrual loans averaged $10.4 million and $12.4 million, respectively. In the third quarter and first nine months of 2019, non-accrual loans averaged $6.9 million and $8.1 million, respectively. In addition, in the third quarter and first nine months of 2020, we had net recoveries of $0.44 million and $0.85 million, respectively, of unpaid interest on loans placed on or taken off non-accrual during each period or on loans previously charged-off compared to net recoveries of $0.23 million and $0.66 million, respectively, during the same periods in 2019.</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Interest</w:t>
            </w: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2,918,946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30,323</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2,779,132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34,151</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4.89%</w:t>
            </w:r>
          </w:p>
        </w:tc>
        <w:tc>
          <w:tcPr>
            <w:tcW w:w="0" w:type="dxa"/>
            <w:vAlign w:val="bottom"/>
          </w:tcPr>
          <w:p>
            <w:pPr>
              <w:spacing w:after="0"/>
              <w:rPr>
                <w:sz w:val="1"/>
                <w:szCs w:val="1"/>
                <w:color w:val="auto"/>
              </w:rPr>
            </w:pPr>
          </w:p>
        </w:tc>
      </w:tr>
      <w:tr>
        <w:trPr>
          <w:trHeight w:val="257"/>
        </w:trPr>
        <w:tc>
          <w:tcPr>
            <w:tcW w:w="3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Tax-exempt loans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3,450</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7"/>
        </w:trPr>
        <w:tc>
          <w:tcPr>
            <w:tcW w:w="3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Tax-exempt securities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51,181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Borders>
              <w:right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18,427</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3,887,455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3,285,081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37,911</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52,676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Assets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3,483,296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interest-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bearing checking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658,426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110,714</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2,532,481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67,820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4,102,318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3,483,296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32,224</w:t>
            </w: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30,972</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Borders>
              <w:right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Interest Income as a Percent of Average Interest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Earning Assets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3.76%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6"/>
        </w:trPr>
        <w:tc>
          <w:tcPr>
            <w:tcW w:w="386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0"/>
                <w:szCs w:val="20"/>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91,804</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2,695,435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100,513</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4.98%</w:t>
            </w:r>
          </w:p>
        </w:tc>
        <w:tc>
          <w:tcPr>
            <w:tcW w:w="0" w:type="dxa"/>
            <w:vAlign w:val="bottom"/>
          </w:tcPr>
          <w:p>
            <w:pPr>
              <w:spacing w:after="0"/>
              <w:rPr>
                <w:sz w:val="1"/>
                <w:szCs w:val="1"/>
                <w:color w:val="auto"/>
              </w:rPr>
            </w:pPr>
          </w:p>
        </w:tc>
      </w:tr>
      <w:tr>
        <w:trPr>
          <w:trHeight w:val="256"/>
        </w:trPr>
        <w:tc>
          <w:tcPr>
            <w:tcW w:w="3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Tax-exempt loans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9,356</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8,811</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6"/>
        </w:trPr>
        <w:tc>
          <w:tcPr>
            <w:tcW w:w="3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Tax-exempt securities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114,187</w:t>
            </w:r>
          </w:p>
        </w:tc>
        <w:tc>
          <w:tcPr>
            <w:tcW w:w="16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2,682</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52,265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18,404</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3,633,602</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104,969</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3,209,995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49,345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Assets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3,410,064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interest-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bearing checking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1,764,933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3,121</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1,421,114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7,787</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6,029</w:t>
            </w: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10,151</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2,598</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2,415,376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862,929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62,984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351,804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3,846,450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93,221</w:t>
            </w:r>
          </w:p>
        </w:tc>
        <w:tc>
          <w:tcPr>
            <w:tcW w:w="10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92,190</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Borders>
              <w:right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Interest Income as a Percent of Average Interest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Earning Assets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3.83%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jc w:val="right"/>
              <w:ind w:right="830"/>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Margin, Fully Taxable Equivalent ("FTE")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30,872</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92,619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91,871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Net interest margin (GAAP) </w:t>
            </w:r>
            <w:r>
              <w:rPr>
                <w:rFonts w:ascii="Times New Roman" w:cs="Times New Roman" w:eastAsia="Times New Roman" w:hAnsi="Times New Roman"/>
                <w:sz w:val="28"/>
                <w:szCs w:val="28"/>
                <w:color w:val="auto"/>
                <w:vertAlign w:val="superscript"/>
              </w:rPr>
              <w:t>(1)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0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Net interest margin (FTE) </w:t>
            </w:r>
            <w:r>
              <w:rPr>
                <w:rFonts w:ascii="Times New Roman" w:cs="Times New Roman" w:eastAsia="Times New Roman" w:hAnsi="Times New Roman"/>
                <w:sz w:val="28"/>
                <w:szCs w:val="28"/>
                <w:color w:val="auto"/>
                <w:vertAlign w:val="superscript"/>
              </w:rPr>
              <w:t>(1)</w:t>
            </w: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   Annualized.</w:t>
            </w:r>
          </w:p>
        </w:tc>
        <w:tc>
          <w:tcPr>
            <w:tcW w:w="8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loan losses. </w:t>
      </w:r>
      <w:r>
        <w:rPr>
          <w:rFonts w:ascii="Times New Roman" w:cs="Times New Roman" w:eastAsia="Times New Roman" w:hAnsi="Times New Roman"/>
          <w:sz w:val="18"/>
          <w:szCs w:val="18"/>
          <w:color w:val="auto"/>
        </w:rPr>
        <w:t>We have elected to delay the adoption of the Current Expected Credit Losses (“CECL”) accounting standard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4014 of the CARES Act and continue to utilize the existing incurred loss impairment methodology to calculate our allowance for loan losses (“AFLL”) and our provision for loan losses. See note #2 to the Condensed Consolidated Financial Statements included within this report for our discussion on CECL implementation.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provision for loan losses was an expense of $1.0 million and a credit of $0.3 million for the three months ended September 30, 2020 and 2019, respectively. During the nine-month periods ended September 30, 2020 and 2019, the provision was an expense of $12.9 million and $1.0 million, respectively. The provision reflects our assessment of the AFLL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In particular, the credit impact of the COVID-19 pandemic, and more specifically the periodic closing of various segments of the economy in order to contain it, may have a negative impact on our level of non-performing loans and assets in the future, but as of yet, the magnitude of that impact is undeterminable. As a result of this potential adverse impact, we have increased the subjective portion of our AFLL by $10.7 million (or 122.1%) during the first nine months of 2020. See “Portfolio Loans and asset quality” for a discussion of the various components of the AFLL and their impact on the provision for loan losses in 2020. See note #13 to the Condensed Consolidated Financial Statements included within this report for a discussion on industry concentrations.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$27.0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2020 compared to $12.3 million in the third quarter of 2019. For the first nine months of 2020, non-interest income totaled $58.4 million compared to $32.1 million for the first nine months of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income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8"/>
                <w:szCs w:val="18"/>
                <w:color w:val="auto"/>
              </w:rPr>
            </w:pPr>
          </w:p>
        </w:tc>
        <w:tc>
          <w:tcPr>
            <w:tcW w:w="21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32,139</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Interchange income increased on a comparative quarterly basis and on a year-to-date basis in 2020 as compared to 2019, due to an increase in transaction volume and an increase in our annual volume incentive under our debit brand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charges on deposit accounts decreased on both a comparative quarterly and year-to-date basis in 2020 as compared to 2019. These decreases were principally due to a decrease in non-sufficient funds occurrences (and related fees) caused in part by the COVID-19 pandemic and reduced checking account activity.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gains on mortgage loans increased substantially in 2020 from 2019 on both a quarterly and a year to date basis. Mortgage loan activity is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8"/>
                <w:szCs w:val="18"/>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originated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536,502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329,461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1,318,206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708,621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sold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417,092</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204,058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1,058,400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490,219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20,205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46,687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13,590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comparative increase in mortgage loans originated is due primarily to lower interest rates in 2020 that have spurred a significant increase in refinance volumes. Mortgage loans sold increased due to a higher mix of salable loans in our origination volumes and some portfolio mortgage loan sales that were completed during the first quarter of 2020. Net gains on mortgage loans also increased in 2020 as compared to 2019 due to fair value adjustments as discussed below.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4.34% and 2.56% in the third quarters of 2020 and 2019, respectively and 3.60% and 2.29% for the comparative 2020 and 2019 year-to-date periods, respectively. The increase in the Loan Sales Margin (excluding fair value adjustments) in 2020 was generally due to a substantial widening of primary-to-secondary market pricing spreads as market interest rates fell during this period and mortgage loan refinance volumes dramatically increased. Once mortgage loan refinance volumes abate, we would expect our Loan Sales Margin to decline to more normal levels. The changes in the fair value accounting adjustments are primarily due to changes in the amount of commitments to originate mortgage loans for sale.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recorded no net gains (losses) on securities in the comparative quarterly periods. We recorded a net gain of $0.3 million on securities for both the first nine months of 2020 and 2019. We recorded no net impairment losses in either 2020 or 2019 for other than temporary impairment of securities available for sale. See “Securities” below and note #3 to the Condensed Consolidated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servicing, net, generated a loss of $0.6 million and $1.6 million in the third quarters of 2020 and 2019, respectively. For the first nine months of 2020 and 2019, mortgage loan servicing, net, generated a loss of $9.0 million and $4.7 million,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Servicing Revenue</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8"/>
                <w:szCs w:val="18"/>
                <w:color w:val="auto"/>
              </w:rPr>
            </w:pPr>
          </w:p>
        </w:tc>
        <w:tc>
          <w:tcPr>
            <w:tcW w:w="21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servicing</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(2,163)</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0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8"/>
                <w:szCs w:val="18"/>
                <w:color w:val="auto"/>
              </w:rPr>
            </w:pPr>
          </w:p>
        </w:tc>
        <w:tc>
          <w:tcPr>
            <w:tcW w:w="21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16,906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2020 we were servicing approximately $2.87 billion in mortgage loans for others on which servicing rights have been capitalized. This servicing portfolio had a weighted average coupon rate of 3.90% and a weighted average service fee of approximately 25.7 basis points. Capitalized mortgage loan servicing rights at September 30, 2020 totaled $15.4 million, representing approximately 53.6 basis points on the related amount of mortgage loans serviced for others.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and insurance commissions represent revenues generated on the sale or management of investments and insurance for our customers. These revenues were relatively comparable on a quarterly basis, and increased on a year-to-date basis in 2020 as compared to 2019. The year-to-date comparative increase in 2020 was primarily due to slower sales in the first quarter of 2019.</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bank owned life insurance (“BOLI”) declined slightly on both a comparative quarterly and year-to-date basis in 2020 compared to 2019 reflecting a lower crediting rate on our cash surrender value. Our BOLI separate account is primarily invested in agency mortgage-backed securities. The crediting rate (on which the earnings are based) reflects the performance of the separate account. The total cash surrender value of our BOLI was $55.0 million and $55.7 million at September 30, 2020 and December 31, 2019,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non-interest income decreased significantly on both a comparative quarterly and year-to-date basis in 2020 as compared to 2019. Several categories of fees have been reduced in 2020 due to the impact of the COVID-19 pandemic on transaction volumes, including ATM fees. In addition, we have elected to suspend certain electronic banking fees because of the COVID-19 pandemic and the increased need for our customers to access these channels. Commercial loan swap fee income is also lower in 2020 as customers have not felt the need to execute such transactions given the low interest rate environment. Finally, the first quarter of 2019 included $0.4 million of recoveries on TCSB loans that had been charged-off prior to our acquisition of TCSB.</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increased by $5.8 million to $33.6 million and increased by $7.3 million to $89.7 million during the three- and nine-month periods ended September 30, 2020, respectively, compared to the same periods in 2019.</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8"/>
                <w:szCs w:val="18"/>
                <w:color w:val="auto"/>
              </w:rPr>
            </w:pPr>
          </w:p>
        </w:tc>
        <w:tc>
          <w:tcPr>
            <w:tcW w:w="21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3,214</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Interchange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Loan and collection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 closure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1,407</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employee benefits expenses, in total, increased $5.3 million on a quarterly comparative basis and increased $5.8 million for the first nine months of 2020 compared to the same periods in 2019.</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decreased by $0.03 million and $0.3 million in the third quarter and first nine months of 2020, respectively, compared to the same periods in 2019. These comparative decreases in 2020 were primarily due to an increased level of compensation that was deferred as direct loan origination costs (due to higher loan origination volumes) that was partially offset by salary increases that were predominantly effective on January 1, 2020.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compensation increased by $5.1 million and $6.5 million in the third quarter and first nine months of 2020, respectively, versus the same periods in 2019. The increases reflect the changes in the accrual for anticipated incentive compensation based on our estimated full-year performance as compared to goals as well as $0.4 million in bonuses paid during the second quarter of 2020 to front-line personnel due to their extraordinary efforts during the COVID-19 pandemic.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Payroll taxes and employee benefits increased by $0.2 million in the third quarter and decreased by $0.4 million in the first nine months of 2020, respectively, compared to the same periods in 2019. The quarterly comparative increase is due primarily to higher payroll taxes and our employer 401(k) match reflecting higher overall compensation levels in 2020. The year-to-date comparative decrease is due primarily to a decline in health care costs (due to decreased claims in 2020) as well as a $0.3 million prescription drug rebate received and recorded in the second quarter of 2020 that related to our 2019 plan year. The decrease in year to date health care claims is due in part to the COVID-19 pandemic that resulted in the closing of many medical and dental facilities except for emergency care during Michigan’s “stay home, stay safe” period.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Occupancy, net, furniture, fixtures and equipment, supplies and correspondent bank service fees expenses were all relatively unchanged on a comparative quarterly and year-to-date basis in 2020 as compared to 2019. We have been incurring some additional expenses in 2020 related to the COVID-19 pandemic for more frequent cleaning of our facilities, the installation of safety related fixtures (such as plexiglass shields) and certain supplies (hand sanitizer for example).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processing expense decreased by $0.1 million and $0.4 million in the third quarter and first nine months of 2020, respectively, compared to the same periods in 2019. These comparative decreases in 2020 are primarily due to a cost savings agreement related to core data processing services that was executed in the second quarter of 2020. This expense reduction was partially offset by new software product additions and increased mobile banking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Interchange expense primarily represents our third-party cost to process debit card transactions. The changes in this expense in 2020 on both a comparative quarterly and year-to-date basis as compared to 2019 are due principally to changes in transaction volume and transaction channel mix.</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Communications expense increased by $0.1 million and $0.2 million in the third quarter and first nine months of 2020, respectively, compared to the same periods in 2019, due primarily to mailing costs related to the issuance of new contactless debit cards.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and collection expense reflects costs related to new lending activity as well as the management and collection of non-performing loans and other problem credits. These costs increased in 2020 on both a comparative quarterly and year-to-date basis as compared to 2019 due primarily to higher loan origination activity.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expense decreased by approximately $0.05 million and $0.3 million in 2020 on both a comparative quarterly and year-to-date basis as compared to 2019. The year-to-date comparative decrease is due primarily to the receipt of a $0.2 million reimbursement from our debit card provider for certain eligible marketing costs that we incurred.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were essentially unchanged and increased by approximately $0.1 million in 2020 on a comparative quarterly and year-to-date basis, respectively, as compared to 2019. This year-to-date increase is due primarily to an increase in title search fees and bank examination fees (due to an increase in our asset size).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FDIC deposit insurance expense increased in 2020 on both a comparative quarterly and year-to-date basis as compared to 2019 due to a combination of an increase in our assessment rate and growth in our total assets. In addition, the quarterly and year-to-date 2019 periods included a $0.3 million small bank assessment credit that reduced this expense.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related expenses totaled $0.6 million and $1.0 million for the third quarter and first nine months of 2020, respectively. We are at the middle stages of a process to convert our core data processing system to a new system hosted by a different vendor. These 2020 expenses represent costs incurred for assistance from our existing vendor and fees from consultants who are assisting us in this conversion. Also see Part II, Item 1A. Risk Factors below for further information on this conversion.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amortization of intangible assets relates to the TCSB acquisition and prior branch acquisitions and the amortization of the deposit customer relationship value, including core deposit value, which was acquired in connection with those acquisitions. We had remaining unamortized intangible assets of $4.6 million and $5.3 million at September 30, 2020 and December 31, 2019, respectively. See note #7 to the Condensed Consolidated Financial Statements for a schedule of future amortization of intangible assets.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Branch closure costs totaled $0.4 million for the first nine months of 2020. We have closed eight Bank branches in 2020 (two on June 26, 2020 and six on July 31, 2020). These costs primarily represent write-downs of fixed assets (buildings, furniture and equipment) and lease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loss reimbursement on sold loans was an expense of $0.05 million and $0.16 million in the third quarter and first nine months of 2020, respectively, compared to an expense of $0.03 million and $0.18 million in the third quarter and first nine months of 2019, respectively. This provision represents our estimate of incurred losses related to mortgage loans that we have sold to investors (primarily Fannie Mae, Freddie Mac, Ginnie Mae and the Federal Home Loan Bank of Indianapolis). The small expense provisions in 2020 and 2019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$0.98 million and $0.88 million at September 30, 2020 and December 31, 2019, respectively. This reserve is included in accrued expenses and other liabilities in our Condensed Consolidated Statements of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non-interest expenses decreased by $0.4 million in the third quarter and $0.7 million for the first nine months of 2020, compared to the same periods in 2019. These decreases in 2020 are primarily due to a decline in travel and entertainment costs due to COVID-19 pandemic related travel restrictions as well as a reduction in deposit account and debit card related fraud costs.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We recorded an income tax expense of $4.8 million and $9.2 million in the third quarter and the first nine months of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This compares to an income tax expense of $3.1 million and $8.0 million in the third quarter and the first nine months of 2019, respectively.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2020 and 2019 and at December 31, 2019, that the realization of substantially all of our deferred tax assets continues to be more likely than not.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Our total assets increased by $604.3 million during the first nine months of 2020. Loans, excluding loans held for sale, (“Portfolio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$2.86 billion at September 30, 2020, compared to $2.73 billion at December 31, 2019. Growth in commercial loans of $185.1 million and installment loans of $20.2 million were partially offset by a decline in mortgage loans of $74.9 million. The decline in mortgage loans was due in part to a securitization and/or sale of $28.7 million of portfolio mortgage loans during the first quarter of 2020. (See "Portfolio Loans and asset quality.")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Deposits totaled $3.60 billion at September 30, 2020, an increase of $561.0 million from December 31, 2019. The increase in deposits is primarily due to growth in non-interest bearing deposits, savings and interest bearing checking deposits and reciprocal deposits that were partially offset by a decline in time and brokered time deposits.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commercial loans in the first nine months of 2020 is due primarily to loans extended under the Paycheck Protection Program (“PPP”) administered by the U.S. Small Business Administration (“SBA”).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unclear as to when these various government stimulus programs may end and when ended, what the impact will be on our levels of Portfolio Loans and deposits. However, our liquidity and funding contingency plans take into account the possibility of significant reductions in commercial loans and deposits during 2021.</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r>
      <w:tr>
        <w:trPr>
          <w:trHeight w:val="223"/>
        </w:trPr>
        <w:tc>
          <w:tcPr>
            <w:tcW w:w="5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968,038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985,050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513,668</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5,782</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518,400</w:t>
            </w:r>
          </w:p>
        </w:tc>
      </w:tr>
    </w:tbl>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available for sale increased $466.7 million during the first nine months of 2020. This significant increase reflects the deployment of funds from growth in our total deposits.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impairment losses related to other than temporary impairment on securities available for sale during the first nine months or third quarters of 2020 or 2019.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of securities were as follows (See “Non-interest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of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44,305</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gains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impairment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continue to sell some fixed rate jumbo and other portfolio mortgage loans in the future.</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PPP, is a short-term, forgivable loan program primarily intended to help businesses impacted by COVID-19 to continue paying their employees. Also see Part II, Item 1A. Risk Factors below regarding the PPP.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short summary of the Payment Protection Program (PPP) is as follows:</w:t>
      </w:r>
    </w:p>
    <w:p>
      <w:pPr>
        <w:spacing w:after="0" w:line="252" w:lineRule="exact"/>
        <w:rPr>
          <w:sz w:val="20"/>
          <w:szCs w:val="20"/>
          <w:color w:val="auto"/>
        </w:rPr>
      </w:pPr>
    </w:p>
    <w:p>
      <w:pPr>
        <w:jc w:val="both"/>
        <w:ind w:left="860" w:hanging="488"/>
        <w:spacing w:after="0" w:line="257"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two years (five years for loans originated after June 5, 2020) with payments automatically deferred to the date the SBA remits the borrower’s loan forgiveness amount to the lender (or, if the borrower does not apply for loan forgiveness, 10 months after the end of the borrower’s loan forgiveness covered period);</w:t>
      </w:r>
    </w:p>
    <w:p>
      <w:pPr>
        <w:spacing w:after="0" w:line="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interest rate;</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collateral or personal guarantees required;</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fees paid by the borrower, rather lenders are paid a fee through the SBA according to a set schedule based on loan size;</w:t>
      </w:r>
    </w:p>
    <w:p>
      <w:pPr>
        <w:spacing w:after="0" w:line="9" w:lineRule="exact"/>
        <w:rPr>
          <w:rFonts w:ascii="Times New Roman" w:cs="Times New Roman" w:eastAsia="Times New Roman" w:hAnsi="Times New Roman"/>
          <w:sz w:val="18"/>
          <w:szCs w:val="18"/>
          <w:color w:val="auto"/>
        </w:rPr>
      </w:pPr>
    </w:p>
    <w:p>
      <w:pPr>
        <w:ind w:left="860" w:hanging="488"/>
        <w:spacing w:after="0" w:line="250"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forgivable if at least 60% of the loan proceeds are used for payroll with the remainder being used for rent, mortgage interest and/or utilities; and</w:t>
      </w:r>
    </w:p>
    <w:p>
      <w:pPr>
        <w:ind w:left="860" w:hanging="488"/>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forgiveness application process for PPP loans of $50,000 or less.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participation in the PPP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Volume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8640" w:type="dxa"/>
            <w:vAlign w:val="bottom"/>
          </w:tcPr>
          <w:p>
            <w:pPr>
              <w:spacing w:after="0"/>
              <w:rPr>
                <w:sz w:val="24"/>
                <w:szCs w:val="24"/>
                <w:color w:val="auto"/>
              </w:rPr>
            </w:pP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As of September 30, 2020</w:t>
            </w:r>
          </w:p>
        </w:tc>
      </w:tr>
      <w:tr>
        <w:trPr>
          <w:trHeight w:val="223"/>
        </w:trPr>
        <w:tc>
          <w:tcPr>
            <w:tcW w:w="864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9"/>
                <w:szCs w:val="19"/>
                <w:color w:val="auto"/>
              </w:rPr>
            </w:pPr>
          </w:p>
        </w:tc>
      </w:tr>
      <w:tr>
        <w:trPr>
          <w:trHeight w:val="216"/>
        </w:trPr>
        <w:tc>
          <w:tcPr>
            <w:tcW w:w="8640" w:type="dxa"/>
            <w:vAlign w:val="bottom"/>
          </w:tcPr>
          <w:p>
            <w:pPr>
              <w:spacing w:after="0"/>
              <w:rPr>
                <w:sz w:val="18"/>
                <w:szCs w:val="18"/>
                <w:color w:val="auto"/>
              </w:rPr>
            </w:pPr>
          </w:p>
        </w:tc>
        <w:tc>
          <w:tcPr>
            <w:tcW w:w="26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(Dollars in thousands)</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261,182</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Loans $50,000 and under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25,106</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Forgiveness applications submitted to the SBA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37,223</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Fees accreted into interest income during the quarter</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fees remaining at quarter-end</w:t>
            </w: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6,494</w:t>
            </w: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Average loan yield for the quarter</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Conference of State Bank Supervisors, and the National Credit Union Administration that contained guidance regarding loan modifications made in response to the pandemic. In general, in order for a loan modification made in response to the pandemic to avoid being classified as a troubled debt restructuring ("TDR"):</w:t>
      </w:r>
    </w:p>
    <w:p>
      <w:pPr>
        <w:spacing w:after="0" w:line="210" w:lineRule="exact"/>
        <w:rPr>
          <w:sz w:val="20"/>
          <w:szCs w:val="20"/>
          <w:color w:val="auto"/>
        </w:rPr>
      </w:pPr>
    </w:p>
    <w:p>
      <w:pPr>
        <w:ind w:left="860" w:hanging="488"/>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modified loan must be current when the modification is made;</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must be short term in nature (up to six months); and</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may include payment deferrals, fee waivers, extensions of repayment terms or other delays in payment that are insignificant.</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Section 4013 of the CARES Act provides temporary relief from the accounting and reporting requirements for TDRs regarding certain loan modifications for our customers. Section 4013 specified that COVID-19 related modifications on loans that were current as of December 31, 2019 are not TDRs.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have not been a significant number of requests for additional modifications. See note #4 to the Condensed Consolidated Financial Statements included within this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accommodations as of September 30, 2020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and Retail Loan COVID-19 Accomodations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Covid-19 Accomodations</w:t>
            </w:r>
          </w:p>
        </w:tc>
        <w:tc>
          <w:tcPr>
            <w:tcW w:w="2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 of Total</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 Category</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Loans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Loans ($)</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25,105</w:t>
            </w:r>
          </w:p>
        </w:tc>
        <w:tc>
          <w:tcPr>
            <w:tcW w:w="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1,351,790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32,091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479,653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59,827</w:t>
            </w:r>
          </w:p>
        </w:tc>
        <w:tc>
          <w:tcPr>
            <w:tcW w:w="240" w:type="dxa"/>
            <w:vAlign w:val="bottom"/>
          </w:tcPr>
          <w:p>
            <w:pPr>
              <w:spacing w:after="0"/>
              <w:rPr>
                <w:sz w:val="19"/>
                <w:szCs w:val="19"/>
                <w:color w:val="auto"/>
              </w:rPr>
            </w:pPr>
          </w:p>
        </w:tc>
        <w:tc>
          <w:tcPr>
            <w:tcW w:w="20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serviced for others(1)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240" w:type="dxa"/>
            <w:vAlign w:val="bottom"/>
          </w:tcPr>
          <w:p>
            <w:pPr>
              <w:spacing w:after="0"/>
              <w:rPr>
                <w:sz w:val="18"/>
                <w:szCs w:val="18"/>
                <w:color w:val="auto"/>
              </w:rPr>
            </w:pPr>
          </w:p>
        </w:tc>
        <w:tc>
          <w:tcPr>
            <w:tcW w:w="20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We have delegated authority from all investors to grant these deferrals on their behalf.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Portfolio Loans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Real estate(1)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1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793,691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843,746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249,747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693,580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471,372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448,297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318,504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2,855,479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2,725,023</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both residential and non-residential commercial loans secured by real estate.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Includes loans secured by multi-family residential and non-farm, non-residential property.</w:t>
      </w:r>
    </w:p>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non-performing assets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Non-performing assets </w:t>
      </w:r>
      <w:r>
        <w:rPr>
          <w:rFonts w:ascii="Times New Roman" w:cs="Times New Roman" w:eastAsia="Times New Roman" w:hAnsi="Times New Roman"/>
          <w:sz w:val="29"/>
          <w:szCs w:val="29"/>
          <w:b w:val="1"/>
          <w:bCs w:val="1"/>
          <w:color w:val="auto"/>
          <w:vertAlign w:val="superscript"/>
        </w:rPr>
        <w:t>(1)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3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78"/>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10,178</w:t>
            </w: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shd w:val="clear" w:color="auto" w:fill="CCEEFF"/>
          </w:tcPr>
          <w:p>
            <w:pPr>
              <w:spacing w:after="0"/>
              <w:rPr>
                <w:sz w:val="18"/>
                <w:szCs w:val="18"/>
                <w:color w:val="auto"/>
              </w:rPr>
            </w:pPr>
          </w:p>
        </w:tc>
        <w:tc>
          <w:tcPr>
            <w:tcW w:w="8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340" w:type="dxa"/>
            <w:vAlign w:val="bottom"/>
            <w:shd w:val="clear" w:color="auto" w:fill="CCEEFF"/>
          </w:tcPr>
          <w:p>
            <w:pPr>
              <w:spacing w:after="0"/>
              <w:rPr>
                <w:sz w:val="18"/>
                <w:szCs w:val="18"/>
                <w:color w:val="auto"/>
              </w:rPr>
            </w:pPr>
          </w:p>
        </w:tc>
        <w:tc>
          <w:tcPr>
            <w:tcW w:w="8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2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as a percent of non-performing loans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274.32</w:t>
            </w:r>
          </w:p>
        </w:tc>
      </w:tr>
      <w:tr>
        <w:trPr>
          <w:trHeight w:val="45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83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Excludes loans classified as "trouble debt restructured" that are not past due.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830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40" w:type="dxa"/>
            <w:vAlign w:val="bottom"/>
            <w:tcBorders>
              <w:bottom w:val="single" w:sz="8" w:color="auto"/>
            </w:tcBorders>
          </w:tcPr>
          <w:p>
            <w:pPr>
              <w:spacing w:after="0"/>
              <w:rPr>
                <w:sz w:val="5"/>
                <w:szCs w:val="5"/>
                <w:color w:val="auto"/>
              </w:rPr>
            </w:pPr>
          </w:p>
        </w:tc>
        <w:tc>
          <w:tcPr>
            <w:tcW w:w="8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9"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troubled debt restructurings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Troubled debt restructurings ("TDR")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September 30, 2020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4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gridSpan w:val="2"/>
          </w:tcPr>
          <w:p>
            <w:pPr>
              <w:jc w:val="right"/>
              <w:ind w:right="1250"/>
              <w:spacing w:after="0" w:line="256" w:lineRule="exact"/>
              <w:rPr>
                <w:sz w:val="20"/>
                <w:szCs w:val="20"/>
                <w:color w:val="auto"/>
              </w:rPr>
            </w:pPr>
            <w:r>
              <w:rPr>
                <w:rFonts w:ascii="Times New Roman" w:cs="Times New Roman" w:eastAsia="Times New Roman" w:hAnsi="Times New Roman"/>
                <w:sz w:val="18"/>
                <w:szCs w:val="18"/>
                <w:color w:val="auto"/>
                <w:w w:val="99"/>
              </w:rPr>
              <w:t xml:space="preserve">Retail </w:t>
            </w:r>
            <w:r>
              <w:rPr>
                <w:rFonts w:ascii="Times New Roman" w:cs="Times New Roman" w:eastAsia="Times New Roman" w:hAnsi="Times New Roman"/>
                <w:sz w:val="29"/>
                <w:szCs w:val="29"/>
                <w:color w:val="auto"/>
                <w:w w:val="99"/>
                <w:vertAlign w:val="superscript"/>
              </w:rPr>
              <w:t>(1)</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7"/>
              </w:rPr>
              <w:t>thousands)</w:t>
            </w: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37,337</w:t>
            </w: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45,629</w:t>
            </w:r>
          </w:p>
        </w:tc>
      </w:tr>
      <w:tr>
        <w:trPr>
          <w:trHeight w:val="263"/>
        </w:trPr>
        <w:tc>
          <w:tcPr>
            <w:tcW w:w="49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Non-performing TDR's </w:t>
            </w:r>
            <w:r>
              <w:rPr>
                <w:rFonts w:ascii="Times New Roman" w:cs="Times New Roman" w:eastAsia="Times New Roman" w:hAnsi="Times New Roman"/>
                <w:sz w:val="29"/>
                <w:szCs w:val="29"/>
                <w:color w:val="auto"/>
                <w:vertAlign w:val="superscript"/>
              </w:rPr>
              <w:t>(2)</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1,850</w:t>
            </w: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3,053</w:t>
            </w:r>
          </w:p>
        </w:tc>
      </w:tr>
      <w:tr>
        <w:trPr>
          <w:trHeight w:val="25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1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4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2019</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4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gridSpan w:val="2"/>
          </w:tcPr>
          <w:p>
            <w:pPr>
              <w:jc w:val="right"/>
              <w:ind w:right="1250"/>
              <w:spacing w:after="0" w:line="256" w:lineRule="exact"/>
              <w:rPr>
                <w:sz w:val="20"/>
                <w:szCs w:val="20"/>
                <w:color w:val="auto"/>
              </w:rPr>
            </w:pPr>
            <w:r>
              <w:rPr>
                <w:rFonts w:ascii="Times New Roman" w:cs="Times New Roman" w:eastAsia="Times New Roman" w:hAnsi="Times New Roman"/>
                <w:sz w:val="18"/>
                <w:szCs w:val="18"/>
                <w:color w:val="auto"/>
                <w:w w:val="99"/>
              </w:rPr>
              <w:t xml:space="preserve">Retail </w:t>
            </w:r>
            <w:r>
              <w:rPr>
                <w:rFonts w:ascii="Times New Roman" w:cs="Times New Roman" w:eastAsia="Times New Roman" w:hAnsi="Times New Roman"/>
                <w:sz w:val="29"/>
                <w:szCs w:val="29"/>
                <w:color w:val="auto"/>
                <w:w w:val="99"/>
                <w:vertAlign w:val="superscript"/>
              </w:rPr>
              <w:t>(1)</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7"/>
              </w:rPr>
              <w:t>thousands)</w:t>
            </w: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39,601</w:t>
            </w: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47,575</w:t>
            </w:r>
          </w:p>
        </w:tc>
      </w:tr>
      <w:tr>
        <w:trPr>
          <w:trHeight w:val="263"/>
        </w:trPr>
        <w:tc>
          <w:tcPr>
            <w:tcW w:w="49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Non-performing TDR's </w:t>
            </w:r>
            <w:r>
              <w:rPr>
                <w:rFonts w:ascii="Times New Roman" w:cs="Times New Roman" w:eastAsia="Times New Roman" w:hAnsi="Times New Roman"/>
                <w:sz w:val="29"/>
                <w:szCs w:val="29"/>
                <w:color w:val="auto"/>
                <w:vertAlign w:val="superscript"/>
              </w:rPr>
              <w:t>(2)</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2,607</w:t>
            </w:r>
          </w:p>
        </w:tc>
        <w:tc>
          <w:tcPr>
            <w:tcW w:w="540" w:type="dxa"/>
            <w:vAlign w:val="bottom"/>
          </w:tcPr>
          <w:p>
            <w:pPr>
              <w:jc w:val="right"/>
              <w:ind w:right="78"/>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w:t>
            </w:r>
          </w:p>
        </w:tc>
      </w:tr>
      <w:tr>
        <w:trPr>
          <w:trHeight w:val="25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assets table above.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loans increased by $0.7 million since year-end 2019 due to an increase in non-performing commercial loans. Our collection and resolution efforts have generally resulted in a stable trend in non-performing loans. However, the credit impact of the COVID-19 pandemic, and more specifically the periodic, government-mandated closing of various segments of the economy in order to contain it, may have a negative impact on the level of non-performing loans and assets in the future, but as yet, the magnitude of that impact is undeterminable. As a result of this potential adverse impact, we have increased the subjective portion of our allowance for loan losses (“AFLL”) by $10.7 million (or 122.1%) during the first nine months of 2020. (See the further discussion of our AFLL below.)</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exclude performing loans that are classified as TDRs. Performing TDRs totaled $45.6 million, or 1.6% of total Portfolio Loans, and $47.6 million, or 1.7% of total Portfolio Loans, at September 30, 2020 and December 31, 2019, respectively. The decrease in the amount of performing TDRs in 2020 primarily reflects the pay down of retail performing TDRs.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real estate and repossessed assets totaled $1.5 million and $1.9 million at September 30, 2020 and December 31, 2019, respectively.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reflect activity in and the allocation of the AFLL.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right"/>
              <w:ind w:right="98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Unfunded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Unfunded</w:t>
            </w:r>
          </w:p>
        </w:tc>
        <w:tc>
          <w:tcPr>
            <w:tcW w:w="100" w:type="dxa"/>
            <w:vAlign w:val="bottom"/>
          </w:tcPr>
          <w:p>
            <w:pPr>
              <w:spacing w:after="0"/>
              <w:rPr>
                <w:sz w:val="17"/>
                <w:szCs w:val="17"/>
                <w:color w:val="auto"/>
              </w:rPr>
            </w:pPr>
          </w:p>
        </w:tc>
      </w:tr>
      <w:tr>
        <w:trPr>
          <w:trHeight w:val="241"/>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Loans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Commitments</w:t>
            </w:r>
          </w:p>
        </w:tc>
      </w:tr>
      <w:tr>
        <w:trPr>
          <w:trHeight w:val="216"/>
        </w:trPr>
        <w:tc>
          <w:tcPr>
            <w:tcW w:w="5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1,542</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 included in non-interest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56"/>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35,771</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charged (recovered) against the allowance to average Portfolio Loans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Loan Losses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allocations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adversely rated commercial loans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loss allocations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8,764</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8,727</w:t>
            </w:r>
          </w:p>
        </w:tc>
      </w:tr>
      <w:tr>
        <w:trPr>
          <w:trHeight w:val="256"/>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AFLL increased $9.6 million to $35.7 million at September 30, 2020 from $26.1 million at December 31, 2019 and was equal to 1.25% and 0.96% of total Portfolio Loans at September 30, 2020 and December 31, 2019,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Three of the four components of the AFLL outlined above decreased through the first nine months of 2020. The AFLL related to specific loans decreased $0.02 million during the first nine months of 2020. The AFLL related to other adversely rated commercial loans decreased $0.4 million during the first three quarters of 2020, primarily due to a decrease in the balance of such loans included in this component. The AFLL related to historical losses decreased $0.6 million through the first nine months of 2020, and the AFLL related to subjective factors increased $10.7 million through the first nine months of 2020. The significant increase in the AFLL related to subjective factors is due principally to the economic shock of COVID-19, various executive orders suspending or restricting businesses and operations that are not necessary to sustain or protect life, or involved in critical infrastructure, the significant increase in unemployment claims, especially in the State of Michigan, and elevated requests for payment relief from our borrowers.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Deposits and borrowings. </w:t>
      </w:r>
      <w:r>
        <w:rPr>
          <w:rFonts w:ascii="Times New Roman" w:cs="Times New Roman" w:eastAsia="Times New Roman" w:hAnsi="Times New Roman"/>
          <w:sz w:val="18"/>
          <w:szCs w:val="18"/>
          <w:color w:val="auto"/>
        </w:rPr>
        <w:t>Historically, the loyalty of our customer base has allowed us to price deposits competitively, contributing to a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Deposits totaled $3.60 billion and $3.04 billion at September 30, 2020 and December 31, 2019, respectively. The increase in deposits is primarily due to growth in non-interest bearing deposits, savings and interest bearing checking deposits and reciprocal deposits that were partially offset by a decline in time and brokered time deposits. Reciprocal deposits totaled $557.6 million and $431.0 million at September 30, 2020 and December 31, 2019, respectively. These deposits represent demand, money market and time deposits from our customers that have been placed through Promontory Interfinancial Network’s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Insured Cash Sweep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 and Certificate of Deposit Account Registry Service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These services allow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At September 30, 2020, we had approximately $741.2 million of uninsured deposits. A reduction in core deposits would likely increase our need to rely on wholesale funding sources.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borrowings, comprised primarily of advances from the FHLB and federal funds sold, totaled $30.0 million and $88.6 million at September 30, 2020 and December 31, 2019,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we utilize wholesale funding, including federal funds purchased, FHLB and FRB borrowings and Brokered CDs to augment our core deposits and fund a portion of our assets. At September 30, 2020, our use of such wholesale funding sources (including reciprocal deposits) amounted to approximately $740.4 million, or 20.4% of total funding (deposits and all borrowings, excluding subordinated debt and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employed derivative financial instruments to manage our exposure to changes in interest rates. During the first nine months of 2020 and 2019, we entered into $12.2 million and $17.6 million (aggregate notional amounts), respectively, of interest rate swaps with commercial loan customers, which were offset with interest rate swaps that the Bank entered into with a broker-dealer. We recorded $0.2 million and $0.7 million of fee income related to these transactions during the first nine months of 2020 and 2019, respectively. See note #6 to the Condensed Consolidated Financial Statements included within this report for more information on our derivative financial instruments.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2020, we had $414.2 million of time deposits that mature in the next 12 months. Historically, a majority of these maturing time deposits are renewed by our customers. Additionally, $3.11 billion of our deposits at September 30, 2020,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$48.3 million as of September 30, 2020 provides sufficient liquidity resources at the parent company to meet operating expenses, to make interest payments on the subordinated debt and the subordinated debentures, and, along with dividends from the Bank, to pay cash dividends on our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(qualifies as Tier 2 capital) and cumulative trust preferred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13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78,283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352,344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388,401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September 30, 2020 balance of $39.3 million is net of remaining unamortized deferred issuance costs of approximately $0.7 million that are being amortized through the maturity date into interest expense on other borrowings and subordinated debt and debentures in our Condensed Consolidated Statement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four special purpose entities with $39.5 million of outstanding cumulative trust preferred securities as of September 30, 2020.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2020 and December 31, 2019.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shareholders’ equity increased to $373.1 million at September 30, 2020, from $350.2 million at December 31, 2019, due primarily to our net income and an increase in accumulated other comprehensive income that was partially offset by share repurchases and cash dividend payments. Our tangible common equity (“TCE”) totaled $340.2 million and $316.5 million, respectively, at those same dates. Our ratio of TCE to tangible assets was 8.23% and 8.96% at September 30, 2020, and December 31, 2019, respectively. TCE and the ratio of TCE to tangible assets are non-GAAP measures. TCE represents total common equity less goodwill and other intangible assets.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our Board of Directors authorized a 2020 share repurchase plan. Under the terms of the 2020 share repurchase plan, we were authorized to buy back 1,120,000 shares, or approximately 5%, of our outstanding common stock. During the first three months of 2020, we repurchased 678,929 shares at a weighted average purchase price of $20.30 per share. Due primarily to the economic uncertainty brought on by the COVID-19 pandemic, we suspended share repurchase activity on March 16, 2020. However, primarily as a result of the Company’s strong financial performance and improved economic conditions, and dependent upon market and other factors, we may begin to purchase shares under the 2020 repurchase plan during the last two months of the year.</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pay a quarterly cash dividend on our common stock. These quarterly dividends totaled $0.60 per share and $0.54 per share in the first nine months of 2020 and 2019, respectively. We generally favor a dividend payout ratio between 30% and 50% of net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our Bank (and holding company) continued to meet the requirements to be considered “well-capitalized” under federal regulatory standards (also see note #10 to the Condensed Consolidated Financial Statements included within this report).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Equity(1)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Income(2)</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456,400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394,800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119,200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472,500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478,800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412,100</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left="500" w:hanging="492"/>
        <w:spacing w:after="0" w:line="257"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ind w:left="500" w:hanging="492"/>
        <w:spacing w:after="0" w:line="260"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update. </w:t>
      </w:r>
      <w:r>
        <w:rPr>
          <w:rFonts w:ascii="Times New Roman" w:cs="Times New Roman" w:eastAsia="Times New Roman" w:hAnsi="Times New Roman"/>
          <w:sz w:val="18"/>
          <w:szCs w:val="18"/>
          <w:color w:val="auto"/>
        </w:rPr>
        <w:t>See note #2 to the Condensed Consolidated Financial Statements included elsewhere in this report for details on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accounting pronouncements and their impact on our interim condensed consolidated financial statements.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valuation of financial instruments. </w:t>
      </w:r>
      <w:r>
        <w:rPr>
          <w:rFonts w:ascii="Times New Roman" w:cs="Times New Roman" w:eastAsia="Times New Roman" w:hAnsi="Times New Roman"/>
          <w:sz w:val="18"/>
          <w:szCs w:val="18"/>
          <w:color w:val="auto"/>
        </w:rPr>
        <w:t>Financial Accounting Standards Board (“FASB”) Accounting Standards Codification (“ASC”) topic 820 -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ITIGATION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2019.</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 ABOUT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applicable disclosures set forth in “Management’s Discussion and Analysis of Financial Condition and Results of Operations” in Item 2 under the caption “Asset/liability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56"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52"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2020, have concluded that, as of such date, our disclosure controls and procedures were effective.</w:t>
      </w:r>
    </w:p>
    <w:p>
      <w:pPr>
        <w:spacing w:after="0" w:line="20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252"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2020, there were no changes in our internal control over financial reporting that materially affected, or are reasonably likely to materially affect, our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risk factors disclosed in the Company’s Annual Report on Form 10-K for the year ended December 31, 2019, the following risk factors apply to the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Since then, the Michigan Department of Health and Human Services (MDHHS) has issued orders similar to the Governor's executive orders under authority granted to the MDHHS by the Michigan Public Health Code – a different statute than the law on which the Governor based her executive orders. Under the MDHHS' orders, social distancing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region of the state in which they are located. It is currently expected that various forms of state and local government restrictions similar to those described above will continue through the fourth quarter and perhaps beyond. As a result of these events, Michigan has experienced a significant increase in unemployment.</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03" w:lineRule="exact"/>
        <w:rPr>
          <w:sz w:val="20"/>
          <w:szCs w:val="20"/>
          <w:color w:val="auto"/>
        </w:rPr>
      </w:pPr>
    </w:p>
    <w:p>
      <w:pPr>
        <w:ind w:left="860" w:hanging="488"/>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activity and high levels of unemployment may cause increases in loan delinquencies, foreclosures and defaults;</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allowance for loan losses may be necessary;</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collateral values may occur;</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disruptions, including outages at network providers, on-line banking vendors and other suppliers;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hanging="488"/>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 and payment fraud risk, as cybercriminals attempt to profit from the disruption, given increased online and remote activity;</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failures due to changes in our normal business practices necessitated by the pandemic and related governmental actions; and/or</w:t>
      </w:r>
    </w:p>
    <w:p>
      <w:pPr>
        <w:spacing w:after="0" w:line="9"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or significant numbers of our employees being unable to work effectively, including because of illness or restrictions in connection with COVID-19.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may continue for a significant period of time.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spread of COVID-19 has caused us to modify many of our business practices. Currently, approximately 38%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27, 2020, President Trump signed the Coronavirus Aid, Relief, and Economic Security Act (“CARES Act”),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The Bank is participating as a lender in the PPP. 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 Since then, the SBA and U.S. Department of Treasury have provided additional guidance and clarity on the PPP through the issuance of over 20 interim final rules implementing the PPP. On or about April 16, 2020, the SBA notified lenders that the $349 billion earmarked for the PPP was exhausted. The PPP was then expanded by the Paycheck Protection Program and Health Care Enhancement Act in late April 2020, adding an additional $310 billion in funding while the Paycheck Protection Program Flexibility Act made certain changes to the PPP by allowing for more time to spend the funds and making it easier to get a loan fully forgiven. The PPP closed on August 8, 2020. Most recently, the SBA released a simpler loan forgiveness application for PPP loans of $50,000 or less that streamlines the PPP forgiveness process for such loans. As of September 30, 2020, we had 2,117 PPP loans outstanding with a total balance of $261.1 million. We have submitted 197 forgiveness applications for loans totaling $37.2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additional risks in the near term related to our plan to complete a core data processing systems conversion.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 the process of converting our core data processing system to a new system hosted by a different vendor. A systems conversion of this nature is extremely complicated, time-consuming, and resource intensive. The process will be even more challenging in light of the COVID-19 pandemic, including the challenges presented as a result of a portion of our workforce working remotely. The timing and success of this systems conversion is also heavily dependent on the reliability of the vendors for both our existing and new systems. If either or both of these vendors experience workforce shortages due to the pandemic or otherwise, it could impact our ability to complete the systems conversion on the timeline and budget currently expected. Difficulties in completing the conversion could also negatively impact our operations and financial performance. We expect to complete this conversion in the second quarter of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2020, the Company issued 555 shares of common stock to non-employee directors on a current basis and 5,274 shares of common stock to the trust for distribution to directors on a deferred basis. These shares were issued on July 1, 2020 representing aggregate fees of $0.08 million. The shares on a current basis were issued at a price of $14.85 per share and the shares on a deferred basis were issued at a price of $13.37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repurchases of common stock for the three-months ended September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 Part of 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Shares Authorized</w:t>
            </w: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Average Price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Publicly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4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Shares Purchased (1)</w:t>
            </w:r>
          </w:p>
        </w:tc>
        <w:tc>
          <w:tcPr>
            <w:tcW w:w="12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Paid Per Share</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Announced Plan</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2020</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441,071</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August 2020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441,071</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441,071</w:t>
            </w:r>
          </w:p>
        </w:tc>
      </w:tr>
      <w:tr>
        <w:trPr>
          <w:trHeight w:val="27"/>
        </w:trPr>
        <w:tc>
          <w:tcPr>
            <w:tcW w:w="5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tcPr>
          <w:p>
            <w:pPr>
              <w:spacing w:after="0"/>
              <w:rPr>
                <w:sz w:val="18"/>
                <w:szCs w:val="18"/>
                <w:color w:val="auto"/>
              </w:rPr>
            </w:pPr>
          </w:p>
        </w:tc>
        <w:tc>
          <w:tcPr>
            <w:tcW w:w="5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441,071</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shares withheld from the shares that would otherwise have been issued to an officer in order to satisfy tax withholding obligations resulting from the vesting of restricted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60" w:hanging="488"/>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252" w:lineRule="exact"/>
        <w:rPr>
          <w:sz w:val="20"/>
          <w:szCs w:val="20"/>
          <w:color w:val="auto"/>
        </w:rPr>
      </w:pPr>
    </w:p>
    <w:p>
      <w:pPr>
        <w:ind w:left="800"/>
        <w:spacing w:after="0"/>
        <w:tabs>
          <w:tab w:leader="none" w:pos="1320" w:val="left"/>
        </w:tabs>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color w:val="0000EE"/>
        </w:rPr>
        <w:tab/>
        <w:t>Certificate of the Chief Executive Officer of Independent Bank Corporation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ind w:left="800"/>
        <w:spacing w:after="0"/>
        <w:tabs>
          <w:tab w:leader="none" w:pos="1320" w:val="left"/>
        </w:tabs>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color w:val="0000EE"/>
        </w:rPr>
        <w:tab/>
        <w:t>Certificate of the Chief Financial Officer of Independent Bank Corporation pursuant to Section 302 of the Sarbanes-Oxley Act of 2002</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spacing w:after="0"/>
        <w:tabs>
          <w:tab w:leader="none" w:pos="1320" w:val="left"/>
        </w:tabs>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color w:val="0000EE"/>
        </w:rPr>
        <w:tab/>
        <w:t>Certificate of the Chief Executive Officer of Independent Bank Corporation pursuant to Section 906 of the Sarbanes-Oxley Act of 2002</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ind w:left="800"/>
        <w:spacing w:after="0"/>
        <w:tabs>
          <w:tab w:leader="none" w:pos="1320" w:val="left"/>
        </w:tabs>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color w:val="0000EE"/>
        </w:rPr>
        <w:tab/>
        <w:t>Certificate of the Chief Financial Officer of Independent Bank Corporation pursuant to Section 906 of the Sarbanes-Oxley Act of 2002</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spacing w:after="0" w:line="250"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2500" w:val="left"/>
          <w:tab w:leader="none" w:pos="56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7551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Gavin A. Mohr, Principal Financial Officer</w:t>
      </w:r>
    </w:p>
    <w:p>
      <w:pPr>
        <w:spacing w:after="0" w:line="225" w:lineRule="exact"/>
        <w:rPr>
          <w:sz w:val="20"/>
          <w:szCs w:val="20"/>
          <w:color w:val="auto"/>
        </w:rPr>
      </w:pPr>
    </w:p>
    <w:p>
      <w:pPr>
        <w:spacing w:after="0"/>
        <w:tabs>
          <w:tab w:leader="none" w:pos="2500" w:val="left"/>
          <w:tab w:leader="none" w:pos="5640" w:val="left"/>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7551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James J. Twarozynski, 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William B. Kessel, certify that:</w:t>
      </w:r>
    </w:p>
    <w:p>
      <w:pPr>
        <w:spacing w:after="0" w:line="24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11315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Gavin A. Mohr, certify that:</w:t>
      </w:r>
    </w:p>
    <w:p>
      <w:pPr>
        <w:spacing w:after="0" w:line="24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9861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6155" cy="1714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Gavin A. Mohr</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EXECUTIVE OFFICER OF</w:t>
      </w:r>
    </w:p>
    <w:p>
      <w:pPr>
        <w:jc w:val="center"/>
        <w:spacing w:after="0"/>
        <w:rPr>
          <w:sz w:val="20"/>
          <w:szCs w:val="20"/>
          <w:color w:val="auto"/>
        </w:rPr>
      </w:pPr>
      <w:r>
        <w:rPr>
          <w:rFonts w:ascii="Times New Roman" w:cs="Times New Roman" w:eastAsia="Times New Roman" w:hAnsi="Times New Roman"/>
          <w:sz w:val="22"/>
          <w:szCs w:val="22"/>
          <w:color w:val="auto"/>
        </w:rPr>
        <w:t>INDEPENDENT BANK CORPORATION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185" w:lineRule="exact"/>
        <w:rPr>
          <w:sz w:val="20"/>
          <w:szCs w:val="20"/>
          <w:color w:val="auto"/>
        </w:rPr>
      </w:pPr>
    </w:p>
    <w:p>
      <w:pPr>
        <w:ind w:right="20" w:firstLine="980"/>
        <w:spacing w:after="0" w:line="282" w:lineRule="auto"/>
        <w:tabs>
          <w:tab w:leader="none" w:pos="181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for the quarterly period ended September 30, 2020,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21"/>
          <w:szCs w:val="21"/>
          <w:color w:val="auto"/>
        </w:rPr>
      </w:pPr>
    </w:p>
    <w:p>
      <w:pPr>
        <w:ind w:right="220" w:firstLine="980"/>
        <w:spacing w:after="0" w:line="244" w:lineRule="auto"/>
        <w:tabs>
          <w:tab w:leader="none" w:pos="18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this quarterly report on Form 10-Q for the quarterly period ended September 30, 2020, fairly presents, in all material respects, the financial condition and results of operations of Independent Bank Corporation.</w:t>
      </w:r>
    </w:p>
    <w:p>
      <w:pPr>
        <w:spacing w:after="0" w:line="21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11315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FINANCIAL OFFICER OF</w:t>
      </w:r>
    </w:p>
    <w:p>
      <w:pPr>
        <w:jc w:val="center"/>
        <w:spacing w:after="0"/>
        <w:rPr>
          <w:sz w:val="20"/>
          <w:szCs w:val="20"/>
          <w:color w:val="auto"/>
        </w:rPr>
      </w:pPr>
      <w:r>
        <w:rPr>
          <w:rFonts w:ascii="Times New Roman" w:cs="Times New Roman" w:eastAsia="Times New Roman" w:hAnsi="Times New Roman"/>
          <w:sz w:val="22"/>
          <w:szCs w:val="22"/>
          <w:color w:val="auto"/>
        </w:rPr>
        <w:t>INDEPENDENT BANK CORPORATION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 Gavin A. Mohr, Chief Financial Officer of Independent Bank Corporation, certify, to the best of my knowledge and belief, pursuant to Section 906 of the Sarbanes-Oxley Act of 2002 (18 U.S.C. 1350) that:</w:t>
      </w:r>
    </w:p>
    <w:p>
      <w:pPr>
        <w:spacing w:after="0" w:line="185" w:lineRule="exact"/>
        <w:rPr>
          <w:sz w:val="20"/>
          <w:szCs w:val="20"/>
          <w:color w:val="auto"/>
        </w:rPr>
      </w:pPr>
    </w:p>
    <w:p>
      <w:pPr>
        <w:ind w:firstLine="656"/>
        <w:spacing w:after="0" w:line="258" w:lineRule="auto"/>
        <w:tabs>
          <w:tab w:leader="none" w:pos="161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report on Form 10-Q for the quarterly period ended September 30, 2020, which this statement accompanies, fully complies with requirements of Section 13(a) or 15(d) of the Securities Exchange Act of 1934 and;</w:t>
      </w:r>
    </w:p>
    <w:p>
      <w:pPr>
        <w:spacing w:after="0" w:line="185" w:lineRule="exact"/>
        <w:rPr>
          <w:rFonts w:ascii="Times New Roman" w:cs="Times New Roman" w:eastAsia="Times New Roman" w:hAnsi="Times New Roman"/>
          <w:sz w:val="22"/>
          <w:szCs w:val="22"/>
          <w:color w:val="auto"/>
        </w:rPr>
      </w:pPr>
    </w:p>
    <w:p>
      <w:pPr>
        <w:ind w:firstLine="656"/>
        <w:spacing w:after="0" w:line="282" w:lineRule="auto"/>
        <w:tabs>
          <w:tab w:leader="none" w:pos="15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this quarterly report on Form 10-Q for the quarterly period ended September 30, 2020, fairly presents, in all material respects, the financial condition and results of operations of Independent Bank Corporation.</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9861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6155" cy="1714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Gavin A. Mohr</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9"/>
    </w:lvl>
  </w:abstractNum>
  <w:abstractNum w:abstractNumId="11">
    <w:nsid w:val="71F32454"/>
    <w:multiLevelType w:val="hybridMultilevel"/>
    <w:lvl w:ilvl="0">
      <w:lvlJc w:val="left"/>
      <w:lvlText w:val="%1."/>
      <w:numFmt w:val="decimal"/>
      <w:start w:val="10"/>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2"/>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4"/>
    </w:lvl>
  </w:abstractNum>
  <w:abstractNum w:abstractNumId="24">
    <w:nsid w:val="614FD4A1"/>
    <w:multiLevelType w:val="hybridMultilevel"/>
    <w:lvl w:ilvl="0">
      <w:lvlJc w:val="left"/>
      <w:lvlText w:val="%1."/>
      <w:numFmt w:val="decimal"/>
      <w:start w:val="15"/>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2020-11-05T11:28:06Z</dcterms:created>
  <dcterms:modified xsi:type="dcterms:W3CDTF">2020-11-05T11:28:06Z</dcterms:modified>
</cp:coreProperties>
</file>