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140970</wp:posOffset>
            </wp:positionH>
            <wp:positionV relativeFrom="page">
              <wp:posOffset>140970</wp:posOffset>
            </wp:positionV>
            <wp:extent cx="7279640" cy="146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9640" cy="146685"/>
                    </a:xfrm>
                    <a:prstGeom prst="rect">
                      <a:avLst/>
                    </a:prstGeom>
                    <a:noFill/>
                  </pic:spPr>
                </pic:pic>
              </a:graphicData>
            </a:graphic>
          </wp:anchor>
        </w:drawing>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WASHINGTON, D.C. 20549</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31"/>
          <w:szCs w:val="31"/>
          <w:color w:val="auto"/>
        </w:rPr>
        <w:t>FORM 10-Q</w:t>
      </w:r>
    </w:p>
    <w:p>
      <w:pPr>
        <w:spacing w:after="0" w:line="235" w:lineRule="exact"/>
        <w:rPr>
          <w:sz w:val="24"/>
          <w:szCs w:val="24"/>
          <w:color w:val="auto"/>
        </w:rPr>
      </w:pPr>
    </w:p>
    <w:p>
      <w:pPr>
        <w:ind w:right="180"/>
        <w:spacing w:after="0" w:line="274" w:lineRule="auto"/>
        <w:rPr>
          <w:sz w:val="20"/>
          <w:szCs w:val="20"/>
          <w:color w:val="auto"/>
        </w:rPr>
      </w:pPr>
      <w:r>
        <w:rPr>
          <w:rFonts w:ascii="Arial" w:cs="Arial" w:eastAsia="Arial" w:hAnsi="Arial"/>
          <w:sz w:val="17"/>
          <w:szCs w:val="17"/>
          <w:color w:val="auto"/>
        </w:rPr>
        <w:t xml:space="preserve">QUARTERLY REPORT PURSUANT TO SECTION 13 OR 15(d) OF THE SECURITIES EXCHANGE ACT OF 1934 FOR THE QUARTERLY PERIOD ENDED </w:t>
      </w:r>
      <w:r>
        <w:rPr>
          <w:rFonts w:ascii="Arial" w:cs="Arial" w:eastAsia="Arial" w:hAnsi="Arial"/>
          <w:sz w:val="17"/>
          <w:szCs w:val="17"/>
          <w:u w:val="single" w:color="auto"/>
          <w:color w:val="auto"/>
        </w:rPr>
        <w:t>June 30, 2016</w:t>
      </w:r>
    </w:p>
    <w:p>
      <w:pPr>
        <w:spacing w:after="0" w:line="190" w:lineRule="exact"/>
        <w:rPr>
          <w:sz w:val="24"/>
          <w:szCs w:val="24"/>
          <w:color w:val="auto"/>
        </w:rPr>
      </w:pPr>
    </w:p>
    <w:p>
      <w:pPr>
        <w:spacing w:after="0"/>
        <w:rPr>
          <w:sz w:val="20"/>
          <w:szCs w:val="20"/>
          <w:color w:val="auto"/>
        </w:rPr>
      </w:pPr>
      <w:r>
        <w:rPr>
          <w:rFonts w:ascii="Arial" w:cs="Arial" w:eastAsia="Arial" w:hAnsi="Arial"/>
          <w:sz w:val="17"/>
          <w:szCs w:val="17"/>
          <w:color w:val="auto"/>
        </w:rPr>
        <w:t>Commission file number  0-7818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1073150</wp:posOffset>
            </wp:positionH>
            <wp:positionV relativeFrom="paragraph">
              <wp:posOffset>-10160</wp:posOffset>
            </wp:positionV>
            <wp:extent cx="386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41"/>
          <w:szCs w:val="41"/>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725424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(Exact name of registrant as specified in its charter)</w:t>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7000" w:type="dxa"/>
            <w:vAlign w:val="bottom"/>
            <w:gridSpan w:val="3"/>
          </w:tcPr>
          <w:p>
            <w:pPr>
              <w:jc w:val="center"/>
              <w:ind w:right="1400"/>
              <w:spacing w:after="0"/>
              <w:rPr>
                <w:sz w:val="20"/>
                <w:szCs w:val="20"/>
                <w:color w:val="auto"/>
              </w:rPr>
            </w:pPr>
            <w:r>
              <w:rPr>
                <w:rFonts w:ascii="Arial" w:cs="Arial" w:eastAsia="Arial" w:hAnsi="Arial"/>
                <w:sz w:val="17"/>
                <w:szCs w:val="17"/>
                <w:color w:val="auto"/>
                <w:w w:val="94"/>
              </w:rPr>
              <w:t>Michigan</w:t>
            </w:r>
          </w:p>
        </w:tc>
        <w:tc>
          <w:tcPr>
            <w:tcW w:w="4420" w:type="dxa"/>
            <w:vAlign w:val="bottom"/>
          </w:tcPr>
          <w:p>
            <w:pPr>
              <w:jc w:val="right"/>
              <w:ind w:right="2295"/>
              <w:spacing w:after="0"/>
              <w:rPr>
                <w:sz w:val="20"/>
                <w:szCs w:val="20"/>
                <w:color w:val="auto"/>
              </w:rPr>
            </w:pPr>
            <w:r>
              <w:rPr>
                <w:rFonts w:ascii="Arial" w:cs="Arial" w:eastAsia="Arial" w:hAnsi="Arial"/>
                <w:sz w:val="17"/>
                <w:szCs w:val="17"/>
                <w:color w:val="auto"/>
              </w:rPr>
              <w:t>38-2032782</w:t>
            </w:r>
          </w:p>
        </w:tc>
      </w:tr>
      <w:tr>
        <w:trPr>
          <w:trHeight w:val="215"/>
        </w:trPr>
        <w:tc>
          <w:tcPr>
            <w:tcW w:w="56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3"/>
              </w:rPr>
              <w:t>(State or jurisdiction of Incorporation or Organization)</w:t>
            </w:r>
          </w:p>
        </w:tc>
        <w:tc>
          <w:tcPr>
            <w:tcW w:w="2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420" w:type="dxa"/>
            <w:vAlign w:val="bottom"/>
            <w:tcBorders>
              <w:top w:val="single" w:sz="8" w:color="auto"/>
            </w:tcBorders>
          </w:tcPr>
          <w:p>
            <w:pPr>
              <w:jc w:val="center"/>
              <w:ind w:right="1075"/>
              <w:spacing w:after="0"/>
              <w:rPr>
                <w:sz w:val="20"/>
                <w:szCs w:val="20"/>
                <w:color w:val="auto"/>
              </w:rPr>
            </w:pPr>
            <w:r>
              <w:rPr>
                <w:rFonts w:ascii="Arial" w:cs="Arial" w:eastAsia="Arial" w:hAnsi="Arial"/>
                <w:sz w:val="17"/>
                <w:szCs w:val="17"/>
                <w:color w:val="auto"/>
                <w:w w:val="93"/>
              </w:rPr>
              <w:t>(I.R.S. Employer Identification Number)</w:t>
            </w:r>
          </w:p>
        </w:tc>
      </w:tr>
      <w:tr>
        <w:trPr>
          <w:trHeight w:val="421"/>
        </w:trPr>
        <w:tc>
          <w:tcPr>
            <w:tcW w:w="7000" w:type="dxa"/>
            <w:vAlign w:val="bottom"/>
            <w:gridSpan w:val="3"/>
          </w:tcPr>
          <w:p>
            <w:pPr>
              <w:ind w:left="3960"/>
              <w:spacing w:after="0"/>
              <w:rPr>
                <w:sz w:val="20"/>
                <w:szCs w:val="20"/>
                <w:color w:val="auto"/>
              </w:rPr>
            </w:pPr>
            <w:r>
              <w:rPr>
                <w:rFonts w:ascii="Arial" w:cs="Arial" w:eastAsia="Arial" w:hAnsi="Arial"/>
                <w:sz w:val="17"/>
                <w:szCs w:val="17"/>
                <w:color w:val="auto"/>
                <w:w w:val="91"/>
              </w:rPr>
              <w:t>4200 East Beltline, Grand Rapids, Michigan</w:t>
            </w:r>
          </w:p>
        </w:tc>
        <w:tc>
          <w:tcPr>
            <w:tcW w:w="4420" w:type="dxa"/>
            <w:vAlign w:val="bottom"/>
          </w:tcPr>
          <w:p>
            <w:pPr>
              <w:jc w:val="right"/>
              <w:ind w:right="3855"/>
              <w:spacing w:after="0"/>
              <w:rPr>
                <w:sz w:val="20"/>
                <w:szCs w:val="20"/>
                <w:color w:val="auto"/>
              </w:rPr>
            </w:pPr>
            <w:r>
              <w:rPr>
                <w:rFonts w:ascii="Arial" w:cs="Arial" w:eastAsia="Arial" w:hAnsi="Arial"/>
                <w:sz w:val="17"/>
                <w:szCs w:val="17"/>
                <w:color w:val="auto"/>
                <w:w w:val="97"/>
              </w:rPr>
              <w:t>49525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725424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color w:val="auto"/>
        </w:rPr>
        <w:t>(Address of principal executive offices)</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7"/>
          <w:szCs w:val="17"/>
          <w:u w:val="single" w:color="auto"/>
          <w:color w:val="auto"/>
        </w:rPr>
        <w:t>(616) 527-5820</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address and fiscal year, if changed since last report.</w:t>
      </w:r>
    </w:p>
    <w:p>
      <w:pPr>
        <w:spacing w:after="0" w:line="238" w:lineRule="exact"/>
        <w:rPr>
          <w:sz w:val="24"/>
          <w:szCs w:val="24"/>
          <w:color w:val="auto"/>
        </w:rPr>
      </w:pPr>
    </w:p>
    <w:p>
      <w:pPr>
        <w:ind w:right="40" w:firstLine="306"/>
        <w:spacing w:after="0" w:line="215" w:lineRule="exact"/>
        <w:rPr>
          <w:sz w:val="20"/>
          <w:szCs w:val="20"/>
          <w:color w:val="auto"/>
        </w:rPr>
      </w:pPr>
      <w:r>
        <w:rPr>
          <w:rFonts w:ascii="Arial" w:cs="Arial" w:eastAsia="Arial" w:hAnsi="Arial"/>
          <w:sz w:val="17"/>
          <w:szCs w:val="17"/>
          <w:color w:val="auto"/>
        </w:rPr>
        <w:t xml:space="preserve">Indicate by check mark whether the registrant (1) has filed all documents and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2" w:lineRule="exact"/>
        <w:rPr>
          <w:sz w:val="24"/>
          <w:szCs w:val="24"/>
          <w:color w:val="auto"/>
        </w:rPr>
      </w:pPr>
    </w:p>
    <w:p>
      <w:pPr>
        <w:ind w:right="180"/>
        <w:spacing w:after="0" w:line="254"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ectPr>
          <w:pgSz w:w="11900" w:h="16838" w:orient="portrait"/>
          <w:cols w:equalWidth="0" w:num="1">
            <w:col w:w="11420"/>
          </w:cols>
          <w:pgMar w:left="240" w:top="519" w:right="239" w:bottom="1440" w:gutter="0" w:footer="0" w:header="0"/>
        </w:sectPr>
      </w:pPr>
    </w:p>
    <w:p>
      <w:pPr>
        <w:spacing w:after="0" w:line="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YES</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00" w:lineRule="exact"/>
        <w:rPr>
          <w:sz w:val="24"/>
          <w:szCs w:val="24"/>
          <w:color w:val="auto"/>
        </w:rPr>
      </w:pPr>
    </w:p>
    <w:p>
      <w:pPr>
        <w:sectPr>
          <w:pgSz w:w="11900" w:h="16838" w:orient="portrait"/>
          <w:cols w:equalWidth="0" w:num="2">
            <w:col w:w="480" w:space="500"/>
            <w:col w:w="10440"/>
          </w:cols>
          <w:pgMar w:left="240" w:top="519" w:right="239" w:bottom="1440" w:gutter="0" w:footer="0" w:header="0"/>
          <w:type w:val="continuous"/>
        </w:sectPr>
      </w:pPr>
    </w:p>
    <w:p>
      <w:pPr>
        <w:spacing w:after="0" w:line="7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non-accelerated filer or smaller reporting company.</w:t>
      </w:r>
    </w:p>
    <w:p>
      <w:pPr>
        <w:spacing w:after="0" w:line="31" w:lineRule="exact"/>
        <w:rPr>
          <w:sz w:val="24"/>
          <w:szCs w:val="24"/>
          <w:color w:val="auto"/>
        </w:rPr>
      </w:pPr>
    </w:p>
    <w:p>
      <w:pPr>
        <w:spacing w:after="0" w:line="196" w:lineRule="exact"/>
        <w:tabs>
          <w:tab w:leader="none" w:pos="2840" w:val="left"/>
          <w:tab w:leader="none" w:pos="5700" w:val="left"/>
          <w:tab w:leader="none" w:pos="8680" w:val="left"/>
        </w:tabs>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ectPr>
          <w:pgSz w:w="11900" w:h="16838" w:orient="portrait"/>
          <w:cols w:equalWidth="0" w:num="1">
            <w:col w:w="11420"/>
          </w:cols>
          <w:pgMar w:left="240" w:top="519" w:right="239" w:bottom="1440" w:gutter="0" w:footer="0" w:header="0"/>
          <w:type w:val="continuous"/>
        </w:sectPr>
      </w:pPr>
    </w:p>
    <w:p>
      <w:pPr>
        <w:spacing w:after="0" w:line="226"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20" w:lineRule="exact"/>
        <w:rPr>
          <w:sz w:val="24"/>
          <w:szCs w:val="24"/>
          <w:color w:val="auto"/>
        </w:rPr>
      </w:pPr>
    </w:p>
    <w:p>
      <w:pPr>
        <w:spacing w:after="0" w:line="196" w:lineRule="exact"/>
        <w:tabs>
          <w:tab w:leader="none" w:pos="80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52" w:lineRule="exact"/>
        <w:rPr>
          <w:sz w:val="24"/>
          <w:szCs w:val="24"/>
          <w:color w:val="auto"/>
        </w:rPr>
      </w:pPr>
    </w:p>
    <w:p>
      <w:pPr>
        <w:ind w:left="300"/>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238" w:lineRule="exact"/>
        <w:rPr>
          <w:sz w:val="24"/>
          <w:szCs w:val="24"/>
          <w:color w:val="auto"/>
        </w:rPr>
      </w:pPr>
    </w:p>
    <w:tbl>
      <w:tblPr>
        <w:tblLayout w:type="fixed"/>
        <w:tblInd w:w="10" w:type="dxa"/>
        <w:tblCellMar>
          <w:top w:w="0" w:type="dxa"/>
          <w:left w:w="0" w:type="dxa"/>
          <w:bottom w:w="0" w:type="dxa"/>
          <w:right w:w="0" w:type="dxa"/>
        </w:tblCellMar>
      </w:tblPr>
      <w:tr>
        <w:trPr>
          <w:trHeight w:val="222"/>
        </w:trPr>
        <w:tc>
          <w:tcPr>
            <w:tcW w:w="584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Common stock, no par value</w:t>
            </w:r>
          </w:p>
        </w:tc>
        <w:tc>
          <w:tcPr>
            <w:tcW w:w="5600" w:type="dxa"/>
            <w:vAlign w:val="bottom"/>
          </w:tcPr>
          <w:p>
            <w:pPr>
              <w:jc w:val="right"/>
              <w:ind w:right="2335"/>
              <w:spacing w:after="0"/>
              <w:rPr>
                <w:sz w:val="20"/>
                <w:szCs w:val="20"/>
                <w:color w:val="auto"/>
              </w:rPr>
            </w:pPr>
            <w:r>
              <w:rPr>
                <w:rFonts w:ascii="Arial" w:cs="Arial" w:eastAsia="Arial" w:hAnsi="Arial"/>
                <w:sz w:val="17"/>
                <w:szCs w:val="17"/>
                <w:color w:val="auto"/>
              </w:rPr>
              <w:t>21,223,212</w:t>
            </w:r>
          </w:p>
        </w:tc>
      </w:tr>
      <w:tr>
        <w:trPr>
          <w:trHeight w:val="215"/>
        </w:trPr>
        <w:tc>
          <w:tcPr>
            <w:tcW w:w="56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4"/>
              </w:rPr>
              <w:t>Class</w:t>
            </w:r>
          </w:p>
        </w:tc>
        <w:tc>
          <w:tcPr>
            <w:tcW w:w="240" w:type="dxa"/>
            <w:vAlign w:val="bottom"/>
          </w:tcPr>
          <w:p>
            <w:pPr>
              <w:spacing w:after="0"/>
              <w:rPr>
                <w:sz w:val="18"/>
                <w:szCs w:val="18"/>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Outstanding at August 3, 2016</w:t>
            </w:r>
          </w:p>
        </w:tc>
      </w:tr>
      <w:tr>
        <w:trPr>
          <w:trHeight w:val="320"/>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191"/>
        </w:trPr>
        <w:tc>
          <w:tcPr>
            <w:tcW w:w="5600" w:type="dxa"/>
            <w:vAlign w:val="bottom"/>
            <w:tcBorders>
              <w:left w:val="single" w:sz="8" w:color="9A9A9A"/>
            </w:tcBorders>
          </w:tcPr>
          <w:p>
            <w:pPr>
              <w:spacing w:after="0"/>
              <w:rPr>
                <w:sz w:val="16"/>
                <w:szCs w:val="16"/>
                <w:color w:val="auto"/>
              </w:rPr>
            </w:pPr>
          </w:p>
        </w:tc>
        <w:tc>
          <w:tcPr>
            <w:tcW w:w="240" w:type="dxa"/>
            <w:vAlign w:val="bottom"/>
          </w:tcPr>
          <w:p>
            <w:pPr>
              <w:spacing w:after="0"/>
              <w:rPr>
                <w:sz w:val="16"/>
                <w:szCs w:val="16"/>
                <w:color w:val="auto"/>
              </w:rPr>
            </w:pPr>
          </w:p>
        </w:tc>
        <w:tc>
          <w:tcPr>
            <w:tcW w:w="5600" w:type="dxa"/>
            <w:vAlign w:val="bottom"/>
            <w:tcBorders>
              <w:right w:val="single" w:sz="8" w:color="EEEEEE"/>
            </w:tcBorders>
          </w:tcPr>
          <w:p>
            <w:pPr>
              <w:spacing w:after="0"/>
              <w:rPr>
                <w:sz w:val="16"/>
                <w:szCs w:val="16"/>
                <w:color w:val="auto"/>
              </w:rPr>
            </w:pPr>
          </w:p>
        </w:tc>
      </w:tr>
      <w:tr>
        <w:trPr>
          <w:trHeight w:val="171"/>
        </w:trPr>
        <w:tc>
          <w:tcPr>
            <w:tcW w:w="5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0" w:type="dxa"/>
            <w:vAlign w:val="bottom"/>
            <w:tcBorders>
              <w:bottom w:val="single" w:sz="8" w:color="auto"/>
            </w:tcBorders>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-254635</wp:posOffset>
            </wp:positionV>
            <wp:extent cx="7279640"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9640" cy="336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-165735</wp:posOffset>
            </wp:positionV>
            <wp:extent cx="7279640" cy="57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9640" cy="57785"/>
                    </a:xfrm>
                    <a:prstGeom prst="rect">
                      <a:avLst/>
                    </a:prstGeom>
                    <a:noFill/>
                  </pic:spPr>
                </pic:pic>
              </a:graphicData>
            </a:graphic>
          </wp:anchor>
        </w:drawing>
      </w:r>
    </w:p>
    <w:p>
      <w:pPr>
        <w:sectPr>
          <w:pgSz w:w="11900" w:h="16838" w:orient="portrait"/>
          <w:cols w:equalWidth="0" w:num="1">
            <w:col w:w="11420"/>
          </w:cols>
          <w:pgMar w:left="240" w:top="51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60" w:type="dxa"/>
            <w:vAlign w:val="bottom"/>
            <w:gridSpan w:val="12"/>
          </w:tcPr>
          <w:p>
            <w:pPr>
              <w:jc w:val="center"/>
              <w:ind w:right="1580"/>
              <w:spacing w:after="0"/>
              <w:rPr>
                <w:sz w:val="20"/>
                <w:szCs w:val="20"/>
                <w:color w:val="auto"/>
              </w:rPr>
            </w:pPr>
            <w:r>
              <w:rPr>
                <w:rFonts w:ascii="Arial" w:cs="Arial" w:eastAsia="Arial" w:hAnsi="Arial"/>
                <w:sz w:val="17"/>
                <w:szCs w:val="17"/>
                <w:color w:val="auto"/>
                <w:w w:val="96"/>
              </w:rPr>
              <w:t>INDEPENDENT BANK CORPORATION AND SUBSIDIARIES</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99"/>
              </w:rPr>
              <w:t>INDEX</w:t>
            </w:r>
          </w:p>
        </w:tc>
        <w:tc>
          <w:tcPr>
            <w:tcW w:w="420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140" w:type="dxa"/>
            <w:vAlign w:val="bottom"/>
            <w:gridSpan w:val="2"/>
            <w:vMerge w:val="restart"/>
          </w:tcPr>
          <w:p>
            <w:pPr>
              <w:spacing w:after="0"/>
              <w:rPr>
                <w:sz w:val="20"/>
                <w:szCs w:val="20"/>
                <w:color w:val="auto"/>
              </w:rPr>
            </w:pPr>
            <w:r>
              <w:rPr>
                <w:rFonts w:ascii="Arial" w:cs="Arial" w:eastAsia="Arial" w:hAnsi="Arial"/>
                <w:sz w:val="17"/>
                <w:szCs w:val="17"/>
                <w:color w:val="auto"/>
              </w:rPr>
              <w:t>PART I -</w:t>
            </w:r>
          </w:p>
        </w:tc>
        <w:tc>
          <w:tcPr>
            <w:tcW w:w="1500" w:type="dxa"/>
            <w:vAlign w:val="bottom"/>
            <w:gridSpan w:val="4"/>
            <w:vMerge w:val="restart"/>
          </w:tcPr>
          <w:p>
            <w:pPr>
              <w:spacing w:after="0"/>
              <w:rPr>
                <w:sz w:val="20"/>
                <w:szCs w:val="20"/>
                <w:color w:val="auto"/>
              </w:rPr>
            </w:pPr>
            <w:r>
              <w:rPr>
                <w:rFonts w:ascii="Arial" w:cs="Arial" w:eastAsia="Arial" w:hAnsi="Arial"/>
                <w:sz w:val="17"/>
                <w:szCs w:val="17"/>
                <w:color w:val="auto"/>
                <w:w w:val="93"/>
              </w:rPr>
              <w:t>Financial Information</w:t>
            </w:r>
          </w:p>
        </w:tc>
        <w:tc>
          <w:tcPr>
            <w:tcW w:w="7540" w:type="dxa"/>
            <w:vAlign w:val="bottom"/>
            <w:gridSpan w:val="13"/>
            <w:vMerge w:val="restart"/>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Number(s)</w:t>
            </w:r>
          </w:p>
        </w:tc>
        <w:tc>
          <w:tcPr>
            <w:tcW w:w="0" w:type="dxa"/>
            <w:vAlign w:val="bottom"/>
          </w:tcPr>
          <w:p>
            <w:pPr>
              <w:spacing w:after="0"/>
              <w:rPr>
                <w:sz w:val="1"/>
                <w:szCs w:val="1"/>
                <w:color w:val="auto"/>
              </w:rPr>
            </w:pPr>
          </w:p>
        </w:tc>
      </w:tr>
      <w:tr>
        <w:trPr>
          <w:trHeight w:val="189"/>
        </w:trPr>
        <w:tc>
          <w:tcPr>
            <w:tcW w:w="1140" w:type="dxa"/>
            <w:vAlign w:val="bottom"/>
            <w:gridSpan w:val="2"/>
            <w:vMerge w:val="continue"/>
          </w:tcPr>
          <w:p>
            <w:pPr>
              <w:spacing w:after="0"/>
              <w:rPr>
                <w:sz w:val="15"/>
                <w:szCs w:val="15"/>
                <w:color w:val="auto"/>
              </w:rPr>
            </w:pPr>
          </w:p>
        </w:tc>
        <w:tc>
          <w:tcPr>
            <w:tcW w:w="1500" w:type="dxa"/>
            <w:vAlign w:val="bottom"/>
            <w:tcBorders>
              <w:bottom w:val="single" w:sz="8" w:color="auto"/>
            </w:tcBorders>
            <w:gridSpan w:val="4"/>
            <w:vMerge w:val="continue"/>
          </w:tcPr>
          <w:p>
            <w:pPr>
              <w:spacing w:after="0"/>
              <w:rPr>
                <w:sz w:val="15"/>
                <w:szCs w:val="15"/>
                <w:color w:val="auto"/>
              </w:rPr>
            </w:pPr>
          </w:p>
        </w:tc>
        <w:tc>
          <w:tcPr>
            <w:tcW w:w="7540" w:type="dxa"/>
            <w:vAlign w:val="bottom"/>
            <w:gridSpan w:val="13"/>
            <w:vMerge w:val="continue"/>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12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Item 1.</w:t>
            </w:r>
          </w:p>
        </w:tc>
        <w:tc>
          <w:tcPr>
            <w:tcW w:w="9040" w:type="dxa"/>
            <w:vAlign w:val="bottom"/>
            <w:gridSpan w:val="17"/>
            <w:shd w:val="clear" w:color="auto" w:fill="CCEEFF"/>
          </w:tcPr>
          <w:p>
            <w:pPr>
              <w:spacing w:after="0" w:line="184" w:lineRule="exact"/>
              <w:rPr>
                <w:rFonts w:ascii="Arial" w:cs="Arial" w:eastAsia="Arial" w:hAnsi="Arial"/>
                <w:sz w:val="17"/>
                <w:szCs w:val="17"/>
                <w:color w:val="0000EE"/>
              </w:rPr>
            </w:pPr>
            <w:hyperlink w:anchor="page4">
              <w:r>
                <w:rPr>
                  <w:rFonts w:ascii="Arial" w:cs="Arial" w:eastAsia="Arial" w:hAnsi="Arial"/>
                  <w:sz w:val="17"/>
                  <w:szCs w:val="17"/>
                  <w:color w:val="0000EE"/>
                </w:rPr>
                <w:t>Condensed Consolidated Statements of Financial Condition June 30, 2016 and December 31, 2015</w:t>
              </w:r>
            </w:hyperlink>
          </w:p>
        </w:tc>
        <w:tc>
          <w:tcPr>
            <w:tcW w:w="124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4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126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40" w:type="dxa"/>
            <w:vAlign w:val="bottom"/>
            <w:gridSpan w:val="17"/>
          </w:tcPr>
          <w:p>
            <w:pPr>
              <w:spacing w:after="0" w:line="166" w:lineRule="exact"/>
              <w:rPr>
                <w:rFonts w:ascii="Arial" w:cs="Arial" w:eastAsia="Arial" w:hAnsi="Arial"/>
                <w:sz w:val="17"/>
                <w:szCs w:val="17"/>
                <w:color w:val="0000EE"/>
              </w:rPr>
            </w:pPr>
            <w:hyperlink w:anchor="page5">
              <w:r>
                <w:rPr>
                  <w:rFonts w:ascii="Arial" w:cs="Arial" w:eastAsia="Arial" w:hAnsi="Arial"/>
                  <w:sz w:val="17"/>
                  <w:szCs w:val="17"/>
                  <w:color w:val="0000EE"/>
                </w:rPr>
                <w:t>Condensed Consolidated Statements of Operations Three- and Six-month periods ended June 30, 2016 and 2015</w:t>
              </w:r>
            </w:hyperlink>
          </w:p>
        </w:tc>
        <w:tc>
          <w:tcPr>
            <w:tcW w:w="1240" w:type="dxa"/>
            <w:vAlign w:val="bottom"/>
            <w:gridSpan w:val="2"/>
          </w:tcPr>
          <w:p>
            <w:pPr>
              <w:jc w:val="right"/>
              <w:spacing w:after="0" w:line="166"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040" w:type="dxa"/>
            <w:vAlign w:val="bottom"/>
            <w:gridSpan w:val="17"/>
            <w:shd w:val="clear" w:color="auto" w:fill="CCEEFF"/>
          </w:tcPr>
          <w:p>
            <w:pPr>
              <w:spacing w:after="0" w:line="184" w:lineRule="exact"/>
              <w:rPr>
                <w:rFonts w:ascii="Arial" w:cs="Arial" w:eastAsia="Arial" w:hAnsi="Arial"/>
                <w:sz w:val="17"/>
                <w:szCs w:val="17"/>
                <w:color w:val="0000EE"/>
                <w:w w:val="94"/>
              </w:rPr>
            </w:pPr>
            <w:hyperlink w:anchor="page6">
              <w:r>
                <w:rPr>
                  <w:rFonts w:ascii="Arial" w:cs="Arial" w:eastAsia="Arial" w:hAnsi="Arial"/>
                  <w:sz w:val="17"/>
                  <w:szCs w:val="17"/>
                  <w:color w:val="0000EE"/>
                  <w:w w:val="94"/>
                </w:rPr>
                <w:t>Condensed Consolidated Statements of Comprehensive Income Three- and Six-month periods ended June 30, 2016 and 2015</w:t>
              </w:r>
            </w:hyperlink>
          </w:p>
        </w:tc>
        <w:tc>
          <w:tcPr>
            <w:tcW w:w="124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6920" w:type="dxa"/>
            <w:vAlign w:val="bottom"/>
            <w:tcBorders>
              <w:top w:val="single" w:sz="8" w:color="0000EE"/>
              <w:bottom w:val="single" w:sz="8" w:color="0000EE"/>
            </w:tcBorders>
            <w:gridSpan w:val="13"/>
          </w:tcPr>
          <w:p>
            <w:pPr>
              <w:spacing w:after="0" w:line="166" w:lineRule="exact"/>
              <w:rPr>
                <w:rFonts w:ascii="Arial" w:cs="Arial" w:eastAsia="Arial" w:hAnsi="Arial"/>
                <w:sz w:val="17"/>
                <w:szCs w:val="17"/>
                <w:color w:val="0000EE"/>
                <w:w w:val="88"/>
              </w:rPr>
            </w:pPr>
            <w:hyperlink w:anchor="page7">
              <w:r>
                <w:rPr>
                  <w:rFonts w:ascii="Arial" w:cs="Arial" w:eastAsia="Arial" w:hAnsi="Arial"/>
                  <w:sz w:val="17"/>
                  <w:szCs w:val="17"/>
                  <w:color w:val="0000EE"/>
                  <w:w w:val="88"/>
                </w:rPr>
                <w:t>Condensed Consolidated Statements of Cash Flows Six-month periods ended June 30, 2016 and 2015</w:t>
              </w:r>
            </w:hyperlink>
          </w:p>
        </w:tc>
        <w:tc>
          <w:tcPr>
            <w:tcW w:w="1600" w:type="dxa"/>
            <w:vAlign w:val="bottom"/>
            <w:tcBorders>
              <w:top w:val="single" w:sz="8" w:color="0000EE"/>
            </w:tcBorders>
            <w:gridSpan w:val="3"/>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gridSpan w:val="2"/>
          </w:tcPr>
          <w:p>
            <w:pPr>
              <w:jc w:val="right"/>
              <w:spacing w:after="0" w:line="166"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040" w:type="dxa"/>
            <w:vAlign w:val="bottom"/>
            <w:gridSpan w:val="17"/>
            <w:shd w:val="clear" w:color="auto" w:fill="CCEEFF"/>
          </w:tcPr>
          <w:p>
            <w:pPr>
              <w:spacing w:after="0" w:line="184" w:lineRule="exact"/>
              <w:rPr>
                <w:rFonts w:ascii="Arial" w:cs="Arial" w:eastAsia="Arial" w:hAnsi="Arial"/>
                <w:sz w:val="17"/>
                <w:szCs w:val="17"/>
                <w:color w:val="0000EE"/>
              </w:rPr>
            </w:pPr>
            <w:hyperlink w:anchor="page8">
              <w:r>
                <w:rPr>
                  <w:rFonts w:ascii="Arial" w:cs="Arial" w:eastAsia="Arial" w:hAnsi="Arial"/>
                  <w:sz w:val="17"/>
                  <w:szCs w:val="17"/>
                  <w:color w:val="0000EE"/>
                </w:rPr>
                <w:t>Condensed Consolidated Statements of Shareholders’ Equity Six-month periods ended June 30, 2016 and 2015</w:t>
              </w:r>
            </w:hyperlink>
          </w:p>
        </w:tc>
        <w:tc>
          <w:tcPr>
            <w:tcW w:w="124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4320" w:type="dxa"/>
            <w:vAlign w:val="bottom"/>
            <w:tcBorders>
              <w:top w:val="single" w:sz="8" w:color="0000EE"/>
              <w:bottom w:val="single" w:sz="8" w:color="0000EE"/>
            </w:tcBorders>
            <w:gridSpan w:val="9"/>
          </w:tcPr>
          <w:p>
            <w:pPr>
              <w:spacing w:after="0" w:line="166" w:lineRule="exact"/>
              <w:rPr>
                <w:rFonts w:ascii="Arial" w:cs="Arial" w:eastAsia="Arial" w:hAnsi="Arial"/>
                <w:sz w:val="17"/>
                <w:szCs w:val="17"/>
                <w:color w:val="0000EE"/>
                <w:w w:val="89"/>
              </w:rPr>
            </w:pPr>
            <w:hyperlink w:anchor="page9">
              <w:r>
                <w:rPr>
                  <w:rFonts w:ascii="Arial" w:cs="Arial" w:eastAsia="Arial" w:hAnsi="Arial"/>
                  <w:sz w:val="17"/>
                  <w:szCs w:val="17"/>
                  <w:color w:val="0000EE"/>
                  <w:w w:val="89"/>
                </w:rPr>
                <w:t>Notes to Interim Condensed Consolidated Financial Statements</w:t>
              </w:r>
            </w:hyperlink>
          </w:p>
        </w:tc>
        <w:tc>
          <w:tcPr>
            <w:tcW w:w="3240" w:type="dxa"/>
            <w:vAlign w:val="bottom"/>
            <w:tcBorders>
              <w:top w:val="single" w:sz="8" w:color="0000EE"/>
            </w:tcBorders>
            <w:gridSpan w:val="5"/>
          </w:tcPr>
          <w:p>
            <w:pPr>
              <w:spacing w:after="0"/>
              <w:rPr>
                <w:sz w:val="14"/>
                <w:szCs w:val="14"/>
                <w:color w:val="auto"/>
              </w:rPr>
            </w:pPr>
          </w:p>
        </w:tc>
        <w:tc>
          <w:tcPr>
            <w:tcW w:w="1480" w:type="dxa"/>
            <w:vAlign w:val="bottom"/>
            <w:tcBorders>
              <w:top w:val="single" w:sz="8" w:color="CCEEFF"/>
            </w:tcBorders>
            <w:gridSpan w:val="3"/>
          </w:tcPr>
          <w:p>
            <w:pPr>
              <w:spacing w:after="0"/>
              <w:rPr>
                <w:sz w:val="14"/>
                <w:szCs w:val="14"/>
                <w:color w:val="auto"/>
              </w:rPr>
            </w:pPr>
          </w:p>
        </w:tc>
        <w:tc>
          <w:tcPr>
            <w:tcW w:w="1240" w:type="dxa"/>
            <w:vAlign w:val="bottom"/>
            <w:tcBorders>
              <w:top w:val="single" w:sz="8" w:color="CCEEFF"/>
            </w:tcBorders>
            <w:gridSpan w:val="2"/>
          </w:tcPr>
          <w:p>
            <w:pPr>
              <w:jc w:val="right"/>
              <w:spacing w:after="0" w:line="166" w:lineRule="exact"/>
              <w:rPr>
                <w:sz w:val="20"/>
                <w:szCs w:val="20"/>
                <w:color w:val="auto"/>
              </w:rPr>
            </w:pPr>
            <w:r>
              <w:rPr>
                <w:rFonts w:ascii="Arial" w:cs="Arial" w:eastAsia="Arial" w:hAnsi="Arial"/>
                <w:sz w:val="17"/>
                <w:szCs w:val="17"/>
                <w:color w:val="auto"/>
              </w:rPr>
              <w:t>8-59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Borders>
              <w:bottom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Item 2.</w:t>
            </w:r>
          </w:p>
        </w:tc>
        <w:tc>
          <w:tcPr>
            <w:tcW w:w="6100" w:type="dxa"/>
            <w:vAlign w:val="bottom"/>
            <w:tcBorders>
              <w:bottom w:val="single" w:sz="8" w:color="0000EE"/>
            </w:tcBorders>
            <w:gridSpan w:val="11"/>
            <w:shd w:val="clear" w:color="auto" w:fill="CCEEFF"/>
          </w:tcPr>
          <w:p>
            <w:pPr>
              <w:spacing w:after="0" w:line="184" w:lineRule="exact"/>
              <w:rPr>
                <w:rFonts w:ascii="Arial" w:cs="Arial" w:eastAsia="Arial" w:hAnsi="Arial"/>
                <w:sz w:val="17"/>
                <w:szCs w:val="17"/>
                <w:color w:val="0000EE"/>
                <w:w w:val="90"/>
              </w:rPr>
            </w:pPr>
            <w:hyperlink w:anchor="page61">
              <w:r>
                <w:rPr>
                  <w:rFonts w:ascii="Arial" w:cs="Arial" w:eastAsia="Arial" w:hAnsi="Arial"/>
                  <w:sz w:val="17"/>
                  <w:szCs w:val="17"/>
                  <w:color w:val="0000EE"/>
                  <w:w w:val="90"/>
                </w:rPr>
                <w:t>Management’s Discussion and Analysis of Financial Condition and Results of Operations</w:t>
              </w:r>
            </w:hyperlink>
          </w:p>
        </w:tc>
        <w:tc>
          <w:tcPr>
            <w:tcW w:w="2940" w:type="dxa"/>
            <w:vAlign w:val="bottom"/>
            <w:tcBorders>
              <w:bottom w:val="single" w:sz="8" w:color="CCEEFF"/>
            </w:tcBorders>
            <w:gridSpan w:val="6"/>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60-86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20" w:type="dxa"/>
            <w:vAlign w:val="bottom"/>
          </w:tcPr>
          <w:p>
            <w:pPr>
              <w:spacing w:after="0" w:line="166" w:lineRule="exact"/>
              <w:rPr>
                <w:sz w:val="20"/>
                <w:szCs w:val="20"/>
                <w:color w:val="auto"/>
              </w:rPr>
            </w:pPr>
            <w:r>
              <w:rPr>
                <w:rFonts w:ascii="Arial" w:cs="Arial" w:eastAsia="Arial" w:hAnsi="Arial"/>
                <w:sz w:val="17"/>
                <w:szCs w:val="17"/>
                <w:color w:val="auto"/>
              </w:rPr>
              <w:t>Item 3.</w:t>
            </w:r>
          </w:p>
        </w:tc>
        <w:tc>
          <w:tcPr>
            <w:tcW w:w="4080" w:type="dxa"/>
            <w:vAlign w:val="bottom"/>
            <w:tcBorders>
              <w:bottom w:val="single" w:sz="8" w:color="0000EE"/>
            </w:tcBorders>
            <w:gridSpan w:val="6"/>
          </w:tcPr>
          <w:p>
            <w:pPr>
              <w:spacing w:after="0" w:line="166" w:lineRule="exact"/>
              <w:rPr>
                <w:rFonts w:ascii="Arial" w:cs="Arial" w:eastAsia="Arial" w:hAnsi="Arial"/>
                <w:sz w:val="17"/>
                <w:szCs w:val="17"/>
                <w:color w:val="0000EE"/>
                <w:w w:val="91"/>
              </w:rPr>
            </w:pPr>
            <w:hyperlink w:anchor="page88">
              <w:r>
                <w:rPr>
                  <w:rFonts w:ascii="Arial" w:cs="Arial" w:eastAsia="Arial" w:hAnsi="Arial"/>
                  <w:sz w:val="17"/>
                  <w:szCs w:val="17"/>
                  <w:color w:val="0000EE"/>
                  <w:w w:val="91"/>
                </w:rPr>
                <w:t>Quantitative and Qualitative Disclosures about Market Risk</w:t>
              </w:r>
            </w:hyperlink>
          </w:p>
        </w:tc>
        <w:tc>
          <w:tcPr>
            <w:tcW w:w="4960" w:type="dxa"/>
            <w:vAlign w:val="bottom"/>
            <w:gridSpan w:val="11"/>
          </w:tcPr>
          <w:p>
            <w:pPr>
              <w:spacing w:after="0"/>
              <w:rPr>
                <w:sz w:val="14"/>
                <w:szCs w:val="14"/>
                <w:color w:val="auto"/>
              </w:rPr>
            </w:pPr>
          </w:p>
        </w:tc>
        <w:tc>
          <w:tcPr>
            <w:tcW w:w="1240" w:type="dxa"/>
            <w:vAlign w:val="bottom"/>
            <w:gridSpan w:val="2"/>
          </w:tcPr>
          <w:p>
            <w:pPr>
              <w:jc w:val="right"/>
              <w:spacing w:after="0" w:line="166" w:lineRule="exact"/>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Item 4.</w:t>
            </w:r>
          </w:p>
        </w:tc>
        <w:tc>
          <w:tcPr>
            <w:tcW w:w="9040" w:type="dxa"/>
            <w:vAlign w:val="bottom"/>
            <w:gridSpan w:val="17"/>
            <w:shd w:val="clear" w:color="auto" w:fill="CCEEFF"/>
          </w:tcPr>
          <w:p>
            <w:pPr>
              <w:spacing w:after="0" w:line="184" w:lineRule="exact"/>
              <w:rPr>
                <w:rFonts w:ascii="Arial" w:cs="Arial" w:eastAsia="Arial" w:hAnsi="Arial"/>
                <w:sz w:val="17"/>
                <w:szCs w:val="17"/>
                <w:color w:val="0000EE"/>
              </w:rPr>
            </w:pPr>
            <w:hyperlink w:anchor="page88">
              <w:r>
                <w:rPr>
                  <w:rFonts w:ascii="Arial" w:cs="Arial" w:eastAsia="Arial" w:hAnsi="Arial"/>
                  <w:sz w:val="17"/>
                  <w:szCs w:val="17"/>
                  <w:color w:val="0000EE"/>
                </w:rPr>
                <w:t>Controls and Procedures</w:t>
              </w:r>
            </w:hyperlink>
          </w:p>
        </w:tc>
        <w:tc>
          <w:tcPr>
            <w:tcW w:w="124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66" w:lineRule="exact"/>
              <w:rPr>
                <w:sz w:val="20"/>
                <w:szCs w:val="20"/>
                <w:color w:val="auto"/>
              </w:rPr>
            </w:pPr>
            <w:r>
              <w:rPr>
                <w:rFonts w:ascii="Arial" w:cs="Arial" w:eastAsia="Arial" w:hAnsi="Arial"/>
                <w:sz w:val="17"/>
                <w:szCs w:val="17"/>
                <w:color w:val="auto"/>
              </w:rPr>
              <w:t>PART II -</w:t>
            </w:r>
          </w:p>
        </w:tc>
        <w:tc>
          <w:tcPr>
            <w:tcW w:w="9040" w:type="dxa"/>
            <w:vAlign w:val="bottom"/>
            <w:gridSpan w:val="17"/>
            <w:shd w:val="clear" w:color="auto" w:fill="CCEEFF"/>
          </w:tcPr>
          <w:p>
            <w:pPr>
              <w:spacing w:after="0" w:line="166" w:lineRule="exact"/>
              <w:rPr>
                <w:sz w:val="20"/>
                <w:szCs w:val="20"/>
                <w:color w:val="auto"/>
              </w:rPr>
            </w:pPr>
            <w:r>
              <w:rPr>
                <w:rFonts w:ascii="Arial" w:cs="Arial" w:eastAsia="Arial" w:hAnsi="Arial"/>
                <w:sz w:val="17"/>
                <w:szCs w:val="17"/>
                <w:color w:val="auto"/>
              </w:rPr>
              <w:t>Other Information</w:t>
            </w: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20" w:type="dxa"/>
            <w:vAlign w:val="bottom"/>
            <w:tcBorders>
              <w:top w:val="single" w:sz="8" w:color="CCEEFF"/>
            </w:tcBorders>
          </w:tcPr>
          <w:p>
            <w:pPr>
              <w:spacing w:after="0" w:line="166" w:lineRule="exact"/>
              <w:rPr>
                <w:sz w:val="20"/>
                <w:szCs w:val="20"/>
                <w:color w:val="auto"/>
              </w:rPr>
            </w:pPr>
            <w:r>
              <w:rPr>
                <w:rFonts w:ascii="Arial" w:cs="Arial" w:eastAsia="Arial" w:hAnsi="Arial"/>
                <w:sz w:val="17"/>
                <w:szCs w:val="17"/>
                <w:color w:val="auto"/>
              </w:rPr>
              <w:t>Item 1A</w:t>
            </w:r>
          </w:p>
        </w:tc>
        <w:tc>
          <w:tcPr>
            <w:tcW w:w="1240" w:type="dxa"/>
            <w:vAlign w:val="bottom"/>
            <w:tcBorders>
              <w:top w:val="single" w:sz="8" w:color="auto"/>
            </w:tcBorders>
            <w:gridSpan w:val="3"/>
          </w:tcPr>
          <w:p>
            <w:pPr>
              <w:spacing w:after="0" w:line="166" w:lineRule="exact"/>
              <w:rPr>
                <w:rFonts w:ascii="Arial" w:cs="Arial" w:eastAsia="Arial" w:hAnsi="Arial"/>
                <w:sz w:val="17"/>
                <w:szCs w:val="17"/>
                <w:color w:val="0000EE"/>
              </w:rPr>
            </w:pPr>
            <w:hyperlink w:anchor="page89">
              <w:r>
                <w:rPr>
                  <w:rFonts w:ascii="Arial" w:cs="Arial" w:eastAsia="Arial" w:hAnsi="Arial"/>
                  <w:sz w:val="17"/>
                  <w:szCs w:val="17"/>
                  <w:color w:val="0000EE"/>
                </w:rPr>
                <w:t>Risk Factors</w:t>
              </w:r>
            </w:hyperlink>
          </w:p>
        </w:tc>
        <w:tc>
          <w:tcPr>
            <w:tcW w:w="7800" w:type="dxa"/>
            <w:vAlign w:val="bottom"/>
            <w:tcBorders>
              <w:top w:val="single" w:sz="8" w:color="CCEEFF"/>
            </w:tcBorders>
            <w:gridSpan w:val="14"/>
          </w:tcPr>
          <w:p>
            <w:pPr>
              <w:spacing w:after="0"/>
              <w:rPr>
                <w:sz w:val="14"/>
                <w:szCs w:val="14"/>
                <w:color w:val="auto"/>
              </w:rPr>
            </w:pPr>
          </w:p>
        </w:tc>
        <w:tc>
          <w:tcPr>
            <w:tcW w:w="1240" w:type="dxa"/>
            <w:vAlign w:val="bottom"/>
            <w:tcBorders>
              <w:top w:val="single" w:sz="8" w:color="CCEEFF"/>
            </w:tcBorders>
            <w:gridSpan w:val="2"/>
          </w:tcPr>
          <w:p>
            <w:pPr>
              <w:jc w:val="right"/>
              <w:spacing w:after="0" w:line="166" w:lineRule="exact"/>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Item 2.</w:t>
            </w:r>
          </w:p>
        </w:tc>
        <w:tc>
          <w:tcPr>
            <w:tcW w:w="9040" w:type="dxa"/>
            <w:vAlign w:val="bottom"/>
            <w:gridSpan w:val="17"/>
            <w:shd w:val="clear" w:color="auto" w:fill="CCEEFF"/>
          </w:tcPr>
          <w:p>
            <w:pPr>
              <w:spacing w:after="0" w:line="184" w:lineRule="exact"/>
              <w:rPr>
                <w:rFonts w:ascii="Arial" w:cs="Arial" w:eastAsia="Arial" w:hAnsi="Arial"/>
                <w:sz w:val="17"/>
                <w:szCs w:val="17"/>
                <w:color w:val="0000EE"/>
              </w:rPr>
            </w:pPr>
            <w:hyperlink w:anchor="page89">
              <w:r>
                <w:rPr>
                  <w:rFonts w:ascii="Arial" w:cs="Arial" w:eastAsia="Arial" w:hAnsi="Arial"/>
                  <w:sz w:val="17"/>
                  <w:szCs w:val="17"/>
                  <w:color w:val="0000EE"/>
                </w:rPr>
                <w:t>Unregistered Sales of Equity Securities and Use of Proceeds</w:t>
              </w:r>
            </w:hyperlink>
          </w:p>
        </w:tc>
        <w:tc>
          <w:tcPr>
            <w:tcW w:w="124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20" w:type="dxa"/>
            <w:vAlign w:val="bottom"/>
            <w:tcBorders>
              <w:top w:val="single" w:sz="8" w:color="CCEEFF"/>
            </w:tcBorders>
          </w:tcPr>
          <w:p>
            <w:pPr>
              <w:spacing w:after="0" w:line="166" w:lineRule="exact"/>
              <w:rPr>
                <w:sz w:val="20"/>
                <w:szCs w:val="20"/>
                <w:color w:val="auto"/>
              </w:rPr>
            </w:pPr>
            <w:r>
              <w:rPr>
                <w:rFonts w:ascii="Arial" w:cs="Arial" w:eastAsia="Arial" w:hAnsi="Arial"/>
                <w:sz w:val="17"/>
                <w:szCs w:val="17"/>
                <w:color w:val="auto"/>
              </w:rPr>
              <w:t>Item 6.</w:t>
            </w:r>
          </w:p>
        </w:tc>
        <w:tc>
          <w:tcPr>
            <w:tcW w:w="580" w:type="dxa"/>
            <w:vAlign w:val="bottom"/>
            <w:tcBorders>
              <w:top w:val="single" w:sz="8" w:color="0000EE"/>
              <w:bottom w:val="single" w:sz="8" w:color="0000EE"/>
            </w:tcBorders>
          </w:tcPr>
          <w:p>
            <w:pPr>
              <w:spacing w:after="0" w:line="166" w:lineRule="exact"/>
              <w:rPr>
                <w:rFonts w:ascii="Arial" w:cs="Arial" w:eastAsia="Arial" w:hAnsi="Arial"/>
                <w:sz w:val="17"/>
                <w:szCs w:val="17"/>
                <w:color w:val="0000EE"/>
                <w:w w:val="94"/>
              </w:rPr>
            </w:pPr>
            <w:hyperlink w:anchor="page90">
              <w:r>
                <w:rPr>
                  <w:rFonts w:ascii="Arial" w:cs="Arial" w:eastAsia="Arial" w:hAnsi="Arial"/>
                  <w:sz w:val="17"/>
                  <w:szCs w:val="17"/>
                  <w:color w:val="0000EE"/>
                  <w:w w:val="94"/>
                </w:rPr>
                <w:t>Exhibits</w:t>
              </w:r>
            </w:hyperlink>
          </w:p>
        </w:tc>
        <w:tc>
          <w:tcPr>
            <w:tcW w:w="3520" w:type="dxa"/>
            <w:vAlign w:val="bottom"/>
            <w:tcBorders>
              <w:top w:val="single" w:sz="8" w:color="0000EE"/>
            </w:tcBorders>
            <w:gridSpan w:val="6"/>
          </w:tcPr>
          <w:p>
            <w:pPr>
              <w:spacing w:after="0"/>
              <w:rPr>
                <w:sz w:val="14"/>
                <w:szCs w:val="14"/>
                <w:color w:val="auto"/>
              </w:rPr>
            </w:pPr>
          </w:p>
        </w:tc>
        <w:tc>
          <w:tcPr>
            <w:tcW w:w="4940" w:type="dxa"/>
            <w:vAlign w:val="bottom"/>
            <w:tcBorders>
              <w:top w:val="single" w:sz="8" w:color="CCEEFF"/>
            </w:tcBorders>
            <w:gridSpan w:val="10"/>
          </w:tcPr>
          <w:p>
            <w:pPr>
              <w:spacing w:after="0"/>
              <w:rPr>
                <w:sz w:val="14"/>
                <w:szCs w:val="14"/>
                <w:color w:val="auto"/>
              </w:rPr>
            </w:pPr>
          </w:p>
        </w:tc>
        <w:tc>
          <w:tcPr>
            <w:tcW w:w="1240" w:type="dxa"/>
            <w:vAlign w:val="bottom"/>
            <w:tcBorders>
              <w:top w:val="single" w:sz="8" w:color="CCEEFF"/>
            </w:tcBorders>
            <w:gridSpan w:val="2"/>
          </w:tcPr>
          <w:p>
            <w:pPr>
              <w:jc w:val="right"/>
              <w:spacing w:after="0" w:line="166" w:lineRule="exact"/>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542"/>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40" w:type="dxa"/>
            <w:vAlign w:val="bottom"/>
            <w:gridSpan w:val="10"/>
          </w:tcPr>
          <w:p>
            <w:pPr>
              <w:jc w:val="center"/>
              <w:ind w:left="4216"/>
              <w:spacing w:after="0"/>
              <w:rPr>
                <w:sz w:val="20"/>
                <w:szCs w:val="20"/>
                <w:color w:val="auto"/>
              </w:rPr>
            </w:pPr>
            <w:r>
              <w:rPr>
                <w:rFonts w:ascii="Arial" w:cs="Arial" w:eastAsia="Arial" w:hAnsi="Arial"/>
                <w:sz w:val="14"/>
                <w:szCs w:val="14"/>
                <w:color w:val="auto"/>
                <w:w w:val="76"/>
              </w:rPr>
              <w:t>1</w:t>
            </w: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FORWARD-LOOKING STATEMENTS</w:t>
      </w:r>
    </w:p>
    <w:p>
      <w:pPr>
        <w:spacing w:after="0" w:line="24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211" w:lineRule="exact"/>
        <w:rPr>
          <w:sz w:val="20"/>
          <w:szCs w:val="20"/>
          <w:color w:val="auto"/>
        </w:rPr>
      </w:pPr>
    </w:p>
    <w:p>
      <w:pPr>
        <w:ind w:left="760" w:hanging="300"/>
        <w:spacing w:after="0"/>
        <w:tabs>
          <w:tab w:leader="none" w:pos="760" w:val="left"/>
        </w:tabs>
        <w:numPr>
          <w:ilvl w:val="1"/>
          <w:numId w:val="1"/>
        </w:numPr>
        <w:rPr>
          <w:rFonts w:ascii="Arial" w:cs="Arial" w:eastAsia="Arial" w:hAnsi="Arial"/>
          <w:sz w:val="17"/>
          <w:szCs w:val="17"/>
          <w:color w:val="auto"/>
        </w:rPr>
      </w:pPr>
      <w:r>
        <w:rPr>
          <w:rFonts w:ascii="Arial" w:cs="Arial" w:eastAsia="Arial" w:hAnsi="Arial"/>
          <w:sz w:val="17"/>
          <w:szCs w:val="17"/>
          <w:color w:val="auto"/>
        </w:rPr>
        <w:t>economic, market, operational, liquidity, credit, and interest rate risks associated with our business;</w:t>
      </w:r>
    </w:p>
    <w:p>
      <w:pPr>
        <w:spacing w:after="0" w:line="19" w:lineRule="exact"/>
        <w:rPr>
          <w:rFonts w:ascii="Arial" w:cs="Arial" w:eastAsia="Arial" w:hAnsi="Arial"/>
          <w:sz w:val="17"/>
          <w:szCs w:val="17"/>
          <w:color w:val="auto"/>
        </w:rPr>
      </w:pPr>
    </w:p>
    <w:p>
      <w:pPr>
        <w:ind w:left="760" w:right="40" w:hanging="300"/>
        <w:spacing w:after="0" w:line="250" w:lineRule="auto"/>
        <w:tabs>
          <w:tab w:leader="none" w:pos="760" w:val="left"/>
        </w:tabs>
        <w:numPr>
          <w:ilvl w:val="1"/>
          <w:numId w:val="1"/>
        </w:numPr>
        <w:rPr>
          <w:rFonts w:ascii="Arial" w:cs="Arial" w:eastAsia="Arial" w:hAnsi="Arial"/>
          <w:sz w:val="17"/>
          <w:szCs w:val="17"/>
          <w:color w:val="auto"/>
        </w:rPr>
      </w:pPr>
      <w:r>
        <w:rPr>
          <w:rFonts w:ascii="Arial" w:cs="Arial" w:eastAsia="Arial" w:hAnsi="Arial"/>
          <w:sz w:val="17"/>
          <w:szCs w:val="17"/>
          <w:color w:val="auto"/>
        </w:rPr>
        <w:t>economic conditions generally and in the financial services industry, particularly economic conditions within Michigan and the regional and local real estate markets in which our bank operates;</w:t>
      </w:r>
    </w:p>
    <w:p>
      <w:pPr>
        <w:ind w:left="760" w:hanging="300"/>
        <w:spacing w:after="0"/>
        <w:tabs>
          <w:tab w:leader="none" w:pos="760" w:val="left"/>
        </w:tabs>
        <w:numPr>
          <w:ilvl w:val="1"/>
          <w:numId w:val="1"/>
        </w:numPr>
        <w:rPr>
          <w:rFonts w:ascii="Arial" w:cs="Arial" w:eastAsia="Arial" w:hAnsi="Arial"/>
          <w:sz w:val="17"/>
          <w:szCs w:val="17"/>
          <w:color w:val="auto"/>
        </w:rPr>
      </w:pPr>
      <w:r>
        <w:rPr>
          <w:rFonts w:ascii="Arial" w:cs="Arial" w:eastAsia="Arial" w:hAnsi="Arial"/>
          <w:sz w:val="17"/>
          <w:szCs w:val="17"/>
          <w:color w:val="auto"/>
        </w:rPr>
        <w:t>the failure of assumptions underlying the establishment of, and provisions made to, our allowance for loan losses;</w:t>
      </w:r>
    </w:p>
    <w:p>
      <w:pPr>
        <w:spacing w:after="0" w:line="8" w:lineRule="exact"/>
        <w:rPr>
          <w:rFonts w:ascii="Arial" w:cs="Arial" w:eastAsia="Arial" w:hAnsi="Arial"/>
          <w:sz w:val="17"/>
          <w:szCs w:val="17"/>
          <w:color w:val="auto"/>
        </w:rPr>
      </w:pPr>
    </w:p>
    <w:p>
      <w:pPr>
        <w:jc w:val="both"/>
        <w:ind w:left="760" w:hanging="300"/>
        <w:spacing w:after="0" w:line="265" w:lineRule="auto"/>
        <w:tabs>
          <w:tab w:leader="none" w:pos="760" w:val="left"/>
        </w:tabs>
        <w:numPr>
          <w:ilvl w:val="1"/>
          <w:numId w:val="1"/>
        </w:numPr>
        <w:rPr>
          <w:rFonts w:ascii="Arial" w:cs="Arial" w:eastAsia="Arial" w:hAnsi="Arial"/>
          <w:sz w:val="16"/>
          <w:szCs w:val="16"/>
          <w:color w:val="auto"/>
        </w:rPr>
      </w:pPr>
      <w:r>
        <w:rPr>
          <w:rFonts w:ascii="Arial" w:cs="Arial" w:eastAsia="Arial" w:hAnsi="Arial"/>
          <w:sz w:val="16"/>
          <w:szCs w:val="16"/>
          <w:color w:val="auto"/>
        </w:rPr>
        <w:t>the failure of assumptions underlying our estimate of probable incurred losses from vehicle service contract payment plan counterparty contingencies, including our assumptions regarding future cancellations of vehicle service contracts, the value to us of collateral that may be available to recover funds due from our counterparties, and our ability to enforce the contractual obligations of our counterparties to pay amounts owing to us;</w:t>
      </w:r>
    </w:p>
    <w:p>
      <w:pPr>
        <w:spacing w:after="0" w:line="1" w:lineRule="exact"/>
        <w:rPr>
          <w:rFonts w:ascii="Arial" w:cs="Arial" w:eastAsia="Arial" w:hAnsi="Arial"/>
          <w:sz w:val="16"/>
          <w:szCs w:val="16"/>
          <w:color w:val="auto"/>
        </w:rPr>
      </w:pPr>
    </w:p>
    <w:p>
      <w:pPr>
        <w:ind w:left="760" w:hanging="312"/>
        <w:spacing w:after="0"/>
        <w:tabs>
          <w:tab w:leader="none" w:pos="76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increased competition in the financial services industry, either nationally or regionally;</w:t>
      </w:r>
    </w:p>
    <w:p>
      <w:pPr>
        <w:spacing w:after="0" w:line="8" w:lineRule="exact"/>
        <w:rPr>
          <w:rFonts w:ascii="Arial" w:cs="Arial" w:eastAsia="Arial" w:hAnsi="Arial"/>
          <w:sz w:val="17"/>
          <w:szCs w:val="17"/>
          <w:color w:val="auto"/>
        </w:rPr>
      </w:pPr>
    </w:p>
    <w:p>
      <w:pPr>
        <w:ind w:left="760" w:hanging="312"/>
        <w:spacing w:after="0"/>
        <w:tabs>
          <w:tab w:leader="none" w:pos="76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achieve loan and deposit growth;</w:t>
      </w:r>
    </w:p>
    <w:p>
      <w:pPr>
        <w:spacing w:after="0" w:line="8" w:lineRule="exact"/>
        <w:rPr>
          <w:rFonts w:ascii="Arial" w:cs="Arial" w:eastAsia="Arial" w:hAnsi="Arial"/>
          <w:sz w:val="17"/>
          <w:szCs w:val="17"/>
          <w:color w:val="auto"/>
        </w:rPr>
      </w:pPr>
    </w:p>
    <w:p>
      <w:pPr>
        <w:ind w:left="760" w:hanging="312"/>
        <w:spacing w:after="0"/>
        <w:tabs>
          <w:tab w:leader="none" w:pos="760" w:val="left"/>
        </w:tabs>
        <w:numPr>
          <w:ilvl w:val="0"/>
          <w:numId w:val="1"/>
        </w:numPr>
        <w:rPr>
          <w:rFonts w:ascii="Arial" w:cs="Arial" w:eastAsia="Arial" w:hAnsi="Arial"/>
          <w:sz w:val="17"/>
          <w:szCs w:val="17"/>
          <w:color w:val="auto"/>
        </w:rPr>
      </w:pPr>
      <w:r>
        <w:rPr>
          <w:rFonts w:ascii="Arial" w:cs="Arial" w:eastAsia="Arial" w:hAnsi="Arial"/>
          <w:sz w:val="17"/>
          <w:szCs w:val="17"/>
          <w:color w:val="auto"/>
        </w:rPr>
        <w:t>volatility and direction of market interest rates;</w:t>
      </w:r>
    </w:p>
    <w:p>
      <w:pPr>
        <w:spacing w:after="0" w:line="8" w:lineRule="exact"/>
        <w:rPr>
          <w:rFonts w:ascii="Arial" w:cs="Arial" w:eastAsia="Arial" w:hAnsi="Arial"/>
          <w:sz w:val="17"/>
          <w:szCs w:val="17"/>
          <w:color w:val="auto"/>
        </w:rPr>
      </w:pPr>
    </w:p>
    <w:p>
      <w:pPr>
        <w:ind w:left="760" w:hanging="300"/>
        <w:spacing w:after="0"/>
        <w:tabs>
          <w:tab w:leader="none" w:pos="760" w:val="left"/>
        </w:tabs>
        <w:numPr>
          <w:ilvl w:val="1"/>
          <w:numId w:val="1"/>
        </w:numPr>
        <w:rPr>
          <w:rFonts w:ascii="Arial" w:cs="Arial" w:eastAsia="Arial" w:hAnsi="Arial"/>
          <w:sz w:val="17"/>
          <w:szCs w:val="17"/>
          <w:color w:val="auto"/>
        </w:rPr>
      </w:pPr>
      <w:r>
        <w:rPr>
          <w:rFonts w:ascii="Arial" w:cs="Arial" w:eastAsia="Arial" w:hAnsi="Arial"/>
          <w:sz w:val="17"/>
          <w:szCs w:val="17"/>
          <w:color w:val="auto"/>
        </w:rPr>
        <w:t>the continued services of our management team; and</w:t>
      </w:r>
    </w:p>
    <w:p>
      <w:pPr>
        <w:spacing w:after="0" w:line="8" w:lineRule="exact"/>
        <w:rPr>
          <w:rFonts w:ascii="Arial" w:cs="Arial" w:eastAsia="Arial" w:hAnsi="Arial"/>
          <w:sz w:val="17"/>
          <w:szCs w:val="17"/>
          <w:color w:val="auto"/>
        </w:rPr>
      </w:pPr>
    </w:p>
    <w:p>
      <w:pPr>
        <w:ind w:left="760" w:hanging="300"/>
        <w:spacing w:after="0"/>
        <w:tabs>
          <w:tab w:leader="none" w:pos="760" w:val="left"/>
        </w:tabs>
        <w:numPr>
          <w:ilvl w:val="1"/>
          <w:numId w:val="1"/>
        </w:numPr>
        <w:rPr>
          <w:rFonts w:ascii="Arial" w:cs="Arial" w:eastAsia="Arial" w:hAnsi="Arial"/>
          <w:sz w:val="17"/>
          <w:szCs w:val="17"/>
          <w:color w:val="auto"/>
        </w:rPr>
      </w:pPr>
      <w:r>
        <w:rPr>
          <w:rFonts w:ascii="Arial" w:cs="Arial" w:eastAsia="Arial" w:hAnsi="Arial"/>
          <w:sz w:val="17"/>
          <w:szCs w:val="17"/>
          <w:color w:val="auto"/>
        </w:rPr>
        <w:t>implementation of new legislation, which may have significant effects on us and the financial services industry.</w:t>
      </w:r>
    </w:p>
    <w:p>
      <w:pPr>
        <w:spacing w:after="0" w:line="22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2015, as updated by any new or modified risk factors disclosed in Part II – Item 1A of any subsequently filed Quarterly Report on Form 10-Q, include all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38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4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980" w:type="dxa"/>
            <w:vAlign w:val="bottom"/>
            <w:gridSpan w:val="3"/>
            <w:vMerge w:val="restart"/>
          </w:tcPr>
          <w:p>
            <w:pPr>
              <w:jc w:val="right"/>
              <w:ind w:right="240"/>
              <w:spacing w:after="0"/>
              <w:rPr>
                <w:sz w:val="20"/>
                <w:szCs w:val="20"/>
                <w:color w:val="auto"/>
              </w:rPr>
            </w:pPr>
            <w:r>
              <w:rPr>
                <w:rFonts w:ascii="Arial" w:cs="Arial" w:eastAsia="Arial" w:hAnsi="Arial"/>
                <w:sz w:val="17"/>
                <w:szCs w:val="17"/>
                <w:color w:val="auto"/>
              </w:rPr>
              <w:t>INDEPENDENT BANK CORPORATION AND SUBSIDIARIES</w:t>
            </w: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3820" w:type="dxa"/>
            <w:vAlign w:val="bottom"/>
            <w:gridSpan w:val="3"/>
            <w:vMerge w:val="restart"/>
          </w:tcPr>
          <w:p>
            <w:pPr>
              <w:spacing w:after="0"/>
              <w:rPr>
                <w:sz w:val="20"/>
                <w:szCs w:val="20"/>
                <w:color w:val="auto"/>
              </w:rPr>
            </w:pPr>
            <w:r>
              <w:rPr>
                <w:rFonts w:ascii="Arial" w:cs="Arial" w:eastAsia="Arial" w:hAnsi="Arial"/>
                <w:sz w:val="17"/>
                <w:szCs w:val="17"/>
                <w:color w:val="auto"/>
              </w:rPr>
              <w:t>Part I - Item 1.</w:t>
            </w:r>
          </w:p>
        </w:tc>
        <w:tc>
          <w:tcPr>
            <w:tcW w:w="498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82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4540" w:type="dxa"/>
            <w:vAlign w:val="bottom"/>
            <w:gridSpan w:val="2"/>
            <w:vMerge w:val="restart"/>
          </w:tcPr>
          <w:p>
            <w:pPr>
              <w:jc w:val="right"/>
              <w:ind w:right="480"/>
              <w:spacing w:after="0" w:line="178" w:lineRule="exact"/>
              <w:rPr>
                <w:sz w:val="20"/>
                <w:szCs w:val="20"/>
                <w:color w:val="auto"/>
              </w:rPr>
            </w:pPr>
            <w:r>
              <w:rPr>
                <w:rFonts w:ascii="Arial" w:cs="Arial" w:eastAsia="Arial" w:hAnsi="Arial"/>
                <w:sz w:val="17"/>
                <w:szCs w:val="17"/>
                <w:color w:val="auto"/>
                <w:w w:val="89"/>
              </w:rPr>
              <w:t>Condensed Consolidated Statements of Financial Condition</w:t>
            </w: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5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6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7"/>
                <w:szCs w:val="17"/>
                <w:color w:val="auto"/>
                <w:w w:val="98"/>
              </w:rPr>
              <w:t>June 30,</w:t>
            </w:r>
          </w:p>
        </w:tc>
        <w:tc>
          <w:tcPr>
            <w:tcW w:w="1240" w:type="dxa"/>
            <w:vAlign w:val="bottom"/>
            <w:gridSpan w:val="3"/>
          </w:tcPr>
          <w:p>
            <w:pPr>
              <w:jc w:val="right"/>
              <w:ind w:right="200"/>
              <w:spacing w:after="0"/>
              <w:rPr>
                <w:sz w:val="20"/>
                <w:szCs w:val="20"/>
                <w:color w:val="auto"/>
              </w:rPr>
            </w:pPr>
            <w:r>
              <w:rPr>
                <w:rFonts w:ascii="Arial" w:cs="Arial" w:eastAsia="Arial" w:hAnsi="Arial"/>
                <w:sz w:val="17"/>
                <w:szCs w:val="17"/>
                <w:color w:val="auto"/>
                <w:w w:val="95"/>
              </w:rPr>
              <w:t>December 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2016</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535"/>
              <w:spacing w:after="0"/>
              <w:rPr>
                <w:sz w:val="20"/>
                <w:szCs w:val="20"/>
                <w:color w:val="auto"/>
              </w:rPr>
            </w:pPr>
            <w:r>
              <w:rPr>
                <w:rFonts w:ascii="Arial" w:cs="Arial" w:eastAsia="Arial" w:hAnsi="Arial"/>
                <w:sz w:val="17"/>
                <w:szCs w:val="17"/>
                <w:color w:val="auto"/>
                <w:w w:val="90"/>
              </w:rPr>
              <w:t>(unaudited)</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4"/>
          </w:tcPr>
          <w:p>
            <w:pPr>
              <w:jc w:val="center"/>
              <w:ind w:right="115"/>
              <w:spacing w:after="0" w:line="191" w:lineRule="exact"/>
              <w:rPr>
                <w:sz w:val="20"/>
                <w:szCs w:val="20"/>
                <w:color w:val="auto"/>
              </w:rPr>
            </w:pPr>
            <w:r>
              <w:rPr>
                <w:rFonts w:ascii="Arial" w:cs="Arial" w:eastAsia="Arial" w:hAnsi="Arial"/>
                <w:sz w:val="17"/>
                <w:szCs w:val="17"/>
                <w:color w:val="auto"/>
                <w:w w:val="87"/>
              </w:rPr>
              <w:t>(In thousands, except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20" w:type="dxa"/>
            <w:vAlign w:val="bottom"/>
            <w:gridSpan w:val="3"/>
            <w:vMerge w:val="restart"/>
          </w:tcPr>
          <w:p>
            <w:pPr>
              <w:spacing w:after="0"/>
              <w:rPr>
                <w:sz w:val="20"/>
                <w:szCs w:val="20"/>
                <w:color w:val="auto"/>
              </w:rPr>
            </w:pPr>
            <w:r>
              <w:rPr>
                <w:rFonts w:ascii="Arial" w:cs="Arial" w:eastAsia="Arial" w:hAnsi="Arial"/>
                <w:sz w:val="17"/>
                <w:szCs w:val="17"/>
                <w:color w:val="auto"/>
              </w:rPr>
              <w:t>Assets</w:t>
            </w:r>
          </w:p>
        </w:tc>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jc w:val="center"/>
              <w:ind w:left="515"/>
              <w:spacing w:after="0"/>
              <w:rPr>
                <w:sz w:val="20"/>
                <w:szCs w:val="20"/>
                <w:color w:val="auto"/>
              </w:rPr>
            </w:pPr>
            <w:r>
              <w:rPr>
                <w:rFonts w:ascii="Arial" w:cs="Arial" w:eastAsia="Arial" w:hAnsi="Arial"/>
                <w:sz w:val="17"/>
                <w:szCs w:val="17"/>
                <w:color w:val="auto"/>
                <w:w w:val="90"/>
              </w:rPr>
              <w:t>amounts)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820" w:type="dxa"/>
            <w:vAlign w:val="bottom"/>
            <w:gridSpan w:val="3"/>
            <w:vMerge w:val="continue"/>
          </w:tcPr>
          <w:p>
            <w:pPr>
              <w:spacing w:after="0"/>
              <w:rPr>
                <w:sz w:val="17"/>
                <w:szCs w:val="17"/>
                <w:color w:val="auto"/>
              </w:rPr>
            </w:pPr>
          </w:p>
        </w:tc>
        <w:tc>
          <w:tcPr>
            <w:tcW w:w="4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and due from banks</w:t>
            </w:r>
          </w:p>
        </w:tc>
        <w:tc>
          <w:tcPr>
            <w:tcW w:w="4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34,542</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54,260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7"/>
                <w:szCs w:val="17"/>
                <w:color w:val="auto"/>
              </w:rPr>
              <w:t>Interest bearing deposits</w:t>
            </w:r>
          </w:p>
        </w:tc>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26,488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31,523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Cash and Cash Equivalents</w:t>
            </w: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61,030</w:t>
            </w:r>
          </w:p>
        </w:tc>
        <w:tc>
          <w:tcPr>
            <w:tcW w:w="24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85,783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gridSpan w:val="2"/>
          </w:tcPr>
          <w:p>
            <w:pPr>
              <w:spacing w:after="0"/>
              <w:rPr>
                <w:sz w:val="20"/>
                <w:szCs w:val="20"/>
                <w:color w:val="auto"/>
              </w:rPr>
            </w:pPr>
            <w:r>
              <w:rPr>
                <w:rFonts w:ascii="Arial" w:cs="Arial" w:eastAsia="Arial" w:hAnsi="Arial"/>
                <w:sz w:val="17"/>
                <w:szCs w:val="17"/>
                <w:color w:val="auto"/>
              </w:rPr>
              <w:t>Interest bearing deposits - time</w:t>
            </w:r>
          </w:p>
        </w:tc>
        <w:tc>
          <w:tcPr>
            <w:tcW w:w="4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8,560</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11,866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Trading securities</w:t>
            </w:r>
          </w:p>
        </w:tc>
        <w:tc>
          <w:tcPr>
            <w:tcW w:w="4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gridSpan w:val="2"/>
          </w:tcPr>
          <w:p>
            <w:pPr>
              <w:spacing w:after="0"/>
              <w:rPr>
                <w:sz w:val="20"/>
                <w:szCs w:val="20"/>
                <w:color w:val="auto"/>
              </w:rPr>
            </w:pPr>
            <w:r>
              <w:rPr>
                <w:rFonts w:ascii="Arial" w:cs="Arial" w:eastAsia="Arial" w:hAnsi="Arial"/>
                <w:sz w:val="17"/>
                <w:szCs w:val="17"/>
                <w:color w:val="auto"/>
              </w:rPr>
              <w:t>Securities available for sale</w:t>
            </w:r>
          </w:p>
        </w:tc>
        <w:tc>
          <w:tcPr>
            <w:tcW w:w="4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599,755</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585,484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7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Federal Home Loan Bank and Federal Reserve Bank stock, at cost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15,229</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15,471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gridSpan w:val="2"/>
          </w:tcPr>
          <w:p>
            <w:pPr>
              <w:spacing w:after="0"/>
              <w:rPr>
                <w:sz w:val="20"/>
                <w:szCs w:val="20"/>
                <w:color w:val="auto"/>
              </w:rPr>
            </w:pPr>
            <w:r>
              <w:rPr>
                <w:rFonts w:ascii="Arial" w:cs="Arial" w:eastAsia="Arial" w:hAnsi="Arial"/>
                <w:sz w:val="17"/>
                <w:szCs w:val="17"/>
                <w:color w:val="auto"/>
              </w:rPr>
              <w:t>Loans held for sale, carried at fair value</w:t>
            </w:r>
          </w:p>
        </w:tc>
        <w:tc>
          <w:tcPr>
            <w:tcW w:w="4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31,713</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27,866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Loans</w:t>
            </w:r>
          </w:p>
        </w:tc>
        <w:tc>
          <w:tcPr>
            <w:tcW w:w="4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gridSpan w:val="2"/>
          </w:tcPr>
          <w:p>
            <w:pPr>
              <w:ind w:left="140"/>
              <w:spacing w:after="0"/>
              <w:rPr>
                <w:sz w:val="20"/>
                <w:szCs w:val="20"/>
                <w:color w:val="auto"/>
              </w:rPr>
            </w:pPr>
            <w:r>
              <w:rPr>
                <w:rFonts w:ascii="Arial" w:cs="Arial" w:eastAsia="Arial" w:hAnsi="Arial"/>
                <w:sz w:val="17"/>
                <w:szCs w:val="17"/>
                <w:color w:val="auto"/>
              </w:rPr>
              <w:t>Commercial</w:t>
            </w:r>
          </w:p>
        </w:tc>
        <w:tc>
          <w:tcPr>
            <w:tcW w:w="4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792,000</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748,398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Mortgage</w:t>
            </w:r>
          </w:p>
        </w:tc>
        <w:tc>
          <w:tcPr>
            <w:tcW w:w="4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506,021</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500,454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gridSpan w:val="2"/>
          </w:tcPr>
          <w:p>
            <w:pPr>
              <w:ind w:left="140"/>
              <w:spacing w:after="0"/>
              <w:rPr>
                <w:sz w:val="20"/>
                <w:szCs w:val="20"/>
                <w:color w:val="auto"/>
              </w:rPr>
            </w:pPr>
            <w:r>
              <w:rPr>
                <w:rFonts w:ascii="Arial" w:cs="Arial" w:eastAsia="Arial" w:hAnsi="Arial"/>
                <w:sz w:val="17"/>
                <w:szCs w:val="17"/>
                <w:color w:val="auto"/>
              </w:rPr>
              <w:t>Installment</w:t>
            </w:r>
          </w:p>
        </w:tc>
        <w:tc>
          <w:tcPr>
            <w:tcW w:w="4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252,712</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231,599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Payment plan receivables</w:t>
            </w:r>
          </w:p>
        </w:tc>
        <w:tc>
          <w:tcPr>
            <w:tcW w:w="4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31,389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34,599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5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45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7"/>
                <w:szCs w:val="17"/>
                <w:color w:val="auto"/>
              </w:rPr>
              <w:t>Total Loans</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1,582,122</w:t>
            </w:r>
          </w:p>
        </w:tc>
        <w:tc>
          <w:tcPr>
            <w:tcW w:w="2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1,515,050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Allowance for loan losses</w:t>
            </w:r>
          </w:p>
        </w:tc>
        <w:tc>
          <w:tcPr>
            <w:tcW w:w="4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(22,712)</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(22,570)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5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45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7"/>
                <w:szCs w:val="17"/>
                <w:color w:val="auto"/>
              </w:rPr>
              <w:t>Net Loans</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1,559,410</w:t>
            </w:r>
          </w:p>
        </w:tc>
        <w:tc>
          <w:tcPr>
            <w:tcW w:w="2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1,492,480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real estate and repossessed assets</w:t>
            </w:r>
          </w:p>
        </w:tc>
        <w:tc>
          <w:tcPr>
            <w:tcW w:w="4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5,572</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gridSpan w:val="2"/>
          </w:tcPr>
          <w:p>
            <w:pPr>
              <w:spacing w:after="0"/>
              <w:rPr>
                <w:sz w:val="20"/>
                <w:szCs w:val="20"/>
                <w:color w:val="auto"/>
              </w:rPr>
            </w:pPr>
            <w:r>
              <w:rPr>
                <w:rFonts w:ascii="Arial" w:cs="Arial" w:eastAsia="Arial" w:hAnsi="Arial"/>
                <w:sz w:val="17"/>
                <w:szCs w:val="17"/>
                <w:color w:val="auto"/>
              </w:rPr>
              <w:t>Property and equipment, net</w:t>
            </w:r>
          </w:p>
        </w:tc>
        <w:tc>
          <w:tcPr>
            <w:tcW w:w="4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41,044</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43,103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Bank-owned life insurance</w:t>
            </w:r>
          </w:p>
        </w:tc>
        <w:tc>
          <w:tcPr>
            <w:tcW w:w="4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54,990</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54,402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gridSpan w:val="2"/>
          </w:tcPr>
          <w:p>
            <w:pPr>
              <w:spacing w:after="0"/>
              <w:rPr>
                <w:sz w:val="20"/>
                <w:szCs w:val="20"/>
                <w:color w:val="auto"/>
              </w:rPr>
            </w:pPr>
            <w:r>
              <w:rPr>
                <w:rFonts w:ascii="Arial" w:cs="Arial" w:eastAsia="Arial" w:hAnsi="Arial"/>
                <w:sz w:val="17"/>
                <w:szCs w:val="17"/>
                <w:color w:val="auto"/>
              </w:rPr>
              <w:t>Deferred tax assets, net</w:t>
            </w:r>
          </w:p>
        </w:tc>
        <w:tc>
          <w:tcPr>
            <w:tcW w:w="4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35,257</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39,635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Capitalized mortgage loan servicing rights</w:t>
            </w:r>
          </w:p>
        </w:tc>
        <w:tc>
          <w:tcPr>
            <w:tcW w:w="4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10,331</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12,436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gridSpan w:val="2"/>
          </w:tcPr>
          <w:p>
            <w:pPr>
              <w:spacing w:after="0"/>
              <w:rPr>
                <w:sz w:val="20"/>
                <w:szCs w:val="20"/>
                <w:color w:val="auto"/>
              </w:rPr>
            </w:pPr>
            <w:r>
              <w:rPr>
                <w:rFonts w:ascii="Arial" w:cs="Arial" w:eastAsia="Arial" w:hAnsi="Arial"/>
                <w:sz w:val="17"/>
                <w:szCs w:val="17"/>
                <w:color w:val="auto"/>
                <w:w w:val="93"/>
              </w:rPr>
              <w:t>Vehicle service contract counterparty receivables, net</w:t>
            </w:r>
          </w:p>
        </w:tc>
        <w:tc>
          <w:tcPr>
            <w:tcW w:w="4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3,036</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7,229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intangibles</w:t>
            </w:r>
          </w:p>
        </w:tc>
        <w:tc>
          <w:tcPr>
            <w:tcW w:w="4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2,106</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7"/>
                <w:szCs w:val="17"/>
                <w:color w:val="auto"/>
              </w:rPr>
              <w:t>Accrued income and other assets</w:t>
            </w:r>
          </w:p>
        </w:tc>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24,451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23,733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Total Assets</w:t>
            </w: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2,452,696</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2,409,066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Liabilities and Shareholders’ Equity</w:t>
            </w:r>
          </w:p>
        </w:tc>
        <w:tc>
          <w:tcPr>
            <w:tcW w:w="4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gridSpan w:val="2"/>
          </w:tcPr>
          <w:p>
            <w:pPr>
              <w:spacing w:after="0"/>
              <w:rPr>
                <w:sz w:val="20"/>
                <w:szCs w:val="20"/>
                <w:color w:val="auto"/>
              </w:rPr>
            </w:pPr>
            <w:r>
              <w:rPr>
                <w:rFonts w:ascii="Arial" w:cs="Arial" w:eastAsia="Arial" w:hAnsi="Arial"/>
                <w:sz w:val="17"/>
                <w:szCs w:val="17"/>
                <w:color w:val="auto"/>
              </w:rPr>
              <w:t>Deposits</w:t>
            </w:r>
          </w:p>
        </w:tc>
        <w:tc>
          <w:tcPr>
            <w:tcW w:w="4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Non-interest bearing</w:t>
            </w:r>
          </w:p>
        </w:tc>
        <w:tc>
          <w:tcPr>
            <w:tcW w:w="4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678,489</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659,793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gridSpan w:val="2"/>
          </w:tcPr>
          <w:p>
            <w:pPr>
              <w:ind w:left="140"/>
              <w:spacing w:after="0"/>
              <w:rPr>
                <w:sz w:val="20"/>
                <w:szCs w:val="20"/>
                <w:color w:val="auto"/>
              </w:rPr>
            </w:pPr>
            <w:r>
              <w:rPr>
                <w:rFonts w:ascii="Arial" w:cs="Arial" w:eastAsia="Arial" w:hAnsi="Arial"/>
                <w:sz w:val="17"/>
                <w:szCs w:val="17"/>
                <w:color w:val="auto"/>
              </w:rPr>
              <w:t>Savings and interest-bearing checking</w:t>
            </w:r>
          </w:p>
        </w:tc>
        <w:tc>
          <w:tcPr>
            <w:tcW w:w="4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997,102</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988,174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Reciprocal</w:t>
            </w:r>
          </w:p>
        </w:tc>
        <w:tc>
          <w:tcPr>
            <w:tcW w:w="4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49,355</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50,207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gridSpan w:val="2"/>
          </w:tcPr>
          <w:p>
            <w:pPr>
              <w:ind w:left="140"/>
              <w:spacing w:after="0"/>
              <w:rPr>
                <w:sz w:val="20"/>
                <w:szCs w:val="20"/>
                <w:color w:val="auto"/>
              </w:rPr>
            </w:pPr>
            <w:r>
              <w:rPr>
                <w:rFonts w:ascii="Arial" w:cs="Arial" w:eastAsia="Arial" w:hAnsi="Arial"/>
                <w:sz w:val="17"/>
                <w:szCs w:val="17"/>
                <w:color w:val="auto"/>
              </w:rPr>
              <w:t>Time</w:t>
            </w:r>
          </w:p>
        </w:tc>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403,346</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387,789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Total Deposits</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2,128,292</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2,085,963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gridSpan w:val="2"/>
          </w:tcPr>
          <w:p>
            <w:pPr>
              <w:spacing w:after="0"/>
              <w:rPr>
                <w:sz w:val="20"/>
                <w:szCs w:val="20"/>
                <w:color w:val="auto"/>
              </w:rPr>
            </w:pPr>
            <w:r>
              <w:rPr>
                <w:rFonts w:ascii="Arial" w:cs="Arial" w:eastAsia="Arial" w:hAnsi="Arial"/>
                <w:sz w:val="17"/>
                <w:szCs w:val="17"/>
                <w:color w:val="auto"/>
              </w:rPr>
              <w:t>Other borrowings</w:t>
            </w:r>
          </w:p>
        </w:tc>
        <w:tc>
          <w:tcPr>
            <w:tcW w:w="4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11,797</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11,954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Subordinated debentures</w:t>
            </w:r>
          </w:p>
        </w:tc>
        <w:tc>
          <w:tcPr>
            <w:tcW w:w="4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35,569</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35,569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gridSpan w:val="2"/>
          </w:tcPr>
          <w:p>
            <w:pPr>
              <w:spacing w:after="0"/>
              <w:rPr>
                <w:sz w:val="20"/>
                <w:szCs w:val="20"/>
                <w:color w:val="auto"/>
              </w:rPr>
            </w:pPr>
            <w:r>
              <w:rPr>
                <w:rFonts w:ascii="Arial" w:cs="Arial" w:eastAsia="Arial" w:hAnsi="Arial"/>
                <w:sz w:val="17"/>
                <w:szCs w:val="17"/>
                <w:color w:val="auto"/>
              </w:rPr>
              <w:t>Vehicle service contract counterparty payables</w:t>
            </w:r>
          </w:p>
        </w:tc>
        <w:tc>
          <w:tcPr>
            <w:tcW w:w="4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1,066</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797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Accrued expenses and other liabilities</w:t>
            </w:r>
          </w:p>
        </w:tc>
        <w:tc>
          <w:tcPr>
            <w:tcW w:w="4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29,049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23,691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5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7"/>
                <w:szCs w:val="17"/>
                <w:color w:val="auto"/>
              </w:rPr>
              <w:t>Total Liabilities</w:t>
            </w: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2,205,773</w:t>
            </w: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2,157,974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800" w:type="dxa"/>
            <w:vAlign w:val="bottom"/>
            <w:gridSpan w:val="2"/>
          </w:tcPr>
          <w:p>
            <w:pPr>
              <w:spacing w:after="0"/>
              <w:rPr>
                <w:sz w:val="20"/>
                <w:szCs w:val="20"/>
                <w:color w:val="auto"/>
              </w:rPr>
            </w:pPr>
            <w:r>
              <w:rPr>
                <w:rFonts w:ascii="Arial" w:cs="Arial" w:eastAsia="Arial" w:hAnsi="Arial"/>
                <w:sz w:val="17"/>
                <w:szCs w:val="17"/>
                <w:color w:val="auto"/>
              </w:rPr>
              <w:t>Shareholders’ Equity</w:t>
            </w:r>
          </w:p>
        </w:tc>
        <w:tc>
          <w:tcPr>
            <w:tcW w:w="4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78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Preferred stock, no par value, 200,000 shares authorized; none issued or outstanding</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780" w:type="dxa"/>
            <w:vAlign w:val="bottom"/>
            <w:gridSpan w:val="5"/>
          </w:tcPr>
          <w:p>
            <w:pPr>
              <w:ind w:left="140"/>
              <w:spacing w:after="0" w:line="191" w:lineRule="exact"/>
              <w:rPr>
                <w:sz w:val="20"/>
                <w:szCs w:val="20"/>
                <w:color w:val="auto"/>
              </w:rPr>
            </w:pPr>
            <w:r>
              <w:rPr>
                <w:rFonts w:ascii="Arial" w:cs="Arial" w:eastAsia="Arial" w:hAnsi="Arial"/>
                <w:sz w:val="17"/>
                <w:szCs w:val="17"/>
                <w:color w:val="auto"/>
                <w:w w:val="93"/>
              </w:rPr>
              <w:t>Common stock, no par value, 500,000,000 shares authorized; issued and outstanding: 21,315,881 shares at June 30, 2016</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ind w:left="260"/>
              <w:spacing w:after="0"/>
              <w:rPr>
                <w:sz w:val="20"/>
                <w:szCs w:val="20"/>
                <w:color w:val="auto"/>
              </w:rPr>
            </w:pPr>
            <w:r>
              <w:rPr>
                <w:rFonts w:ascii="Arial" w:cs="Arial" w:eastAsia="Arial" w:hAnsi="Arial"/>
                <w:sz w:val="17"/>
                <w:szCs w:val="17"/>
                <w:color w:val="auto"/>
              </w:rPr>
              <w:t>and 22,251,373 shares at December 31, 2015</w:t>
            </w:r>
          </w:p>
        </w:tc>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324,268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339,462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Accumulated deficit</w:t>
            </w:r>
          </w:p>
        </w:tc>
        <w:tc>
          <w:tcPr>
            <w:tcW w:w="4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(74,062)</w:t>
            </w: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(82,334)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gridSpan w:val="2"/>
          </w:tcPr>
          <w:p>
            <w:pPr>
              <w:ind w:left="140"/>
              <w:spacing w:after="0"/>
              <w:rPr>
                <w:sz w:val="20"/>
                <w:szCs w:val="20"/>
                <w:color w:val="auto"/>
              </w:rPr>
            </w:pPr>
            <w:r>
              <w:rPr>
                <w:rFonts w:ascii="Arial" w:cs="Arial" w:eastAsia="Arial" w:hAnsi="Arial"/>
                <w:sz w:val="17"/>
                <w:szCs w:val="17"/>
                <w:color w:val="auto"/>
              </w:rPr>
              <w:t>Accumulated other comprehensive loss</w:t>
            </w:r>
          </w:p>
        </w:tc>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(3,283)</w:t>
            </w: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(6,036)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35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4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Total Shareholders’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246,923</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251,092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40" w:type="dxa"/>
            <w:vAlign w:val="bottom"/>
            <w:gridSpan w:val="2"/>
          </w:tcPr>
          <w:p>
            <w:pPr>
              <w:jc w:val="right"/>
              <w:ind w:right="120"/>
              <w:spacing w:after="0"/>
              <w:rPr>
                <w:sz w:val="20"/>
                <w:szCs w:val="20"/>
                <w:color w:val="auto"/>
              </w:rPr>
            </w:pPr>
            <w:r>
              <w:rPr>
                <w:rFonts w:ascii="Arial" w:cs="Arial" w:eastAsia="Arial" w:hAnsi="Arial"/>
                <w:sz w:val="17"/>
                <w:szCs w:val="17"/>
                <w:color w:val="auto"/>
              </w:rPr>
              <w:t>Total Liabilities and Shareholders’ Equity</w:t>
            </w: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2,452,696</w:t>
            </w:r>
          </w:p>
        </w:tc>
        <w:tc>
          <w:tcPr>
            <w:tcW w:w="240" w:type="dxa"/>
            <w:vAlign w:val="bottom"/>
          </w:tcPr>
          <w:p>
            <w:pPr>
              <w:spacing w:after="0"/>
              <w:rPr>
                <w:sz w:val="17"/>
                <w:szCs w:val="17"/>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2,409,066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See notes to interim condensed consolidated financial statements (unaudited)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INDEPENDENT BANK CORPORATION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Condensed Consolidated Statements of Operations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7"/>
                <w:szCs w:val="17"/>
                <w:color w:val="auto"/>
                <w:w w:val="87"/>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7"/>
                <w:szCs w:val="17"/>
                <w:color w:val="auto"/>
                <w:w w:val="89"/>
              </w:rPr>
              <w:t>Six months ended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3"/>
          </w:tcPr>
          <w:p>
            <w:pPr>
              <w:jc w:val="center"/>
              <w:ind w:left="475"/>
              <w:spacing w:after="0"/>
              <w:rPr>
                <w:sz w:val="20"/>
                <w:szCs w:val="20"/>
                <w:color w:val="auto"/>
              </w:rPr>
            </w:pPr>
            <w:r>
              <w:rPr>
                <w:rFonts w:ascii="Arial" w:cs="Arial" w:eastAsia="Arial" w:hAnsi="Arial"/>
                <w:sz w:val="17"/>
                <w:szCs w:val="17"/>
                <w:color w:val="auto"/>
                <w:w w:val="85"/>
              </w:rPr>
              <w:t>June 30,</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3"/>
          </w:tcPr>
          <w:p>
            <w:pPr>
              <w:jc w:val="center"/>
              <w:ind w:left="475"/>
              <w:spacing w:after="0"/>
              <w:rPr>
                <w:sz w:val="20"/>
                <w:szCs w:val="20"/>
                <w:color w:val="auto"/>
              </w:rPr>
            </w:pPr>
            <w:r>
              <w:rPr>
                <w:rFonts w:ascii="Arial" w:cs="Arial" w:eastAsia="Arial" w:hAnsi="Arial"/>
                <w:sz w:val="17"/>
                <w:szCs w:val="17"/>
                <w:color w:val="auto"/>
                <w:w w:val="88"/>
              </w:rPr>
              <w:t>June 30,</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2016</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2016</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7"/>
                <w:szCs w:val="17"/>
                <w:color w:val="auto"/>
                <w:w w:val="90"/>
              </w:rPr>
              <w:t>(unaudited)</w:t>
            </w: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475"/>
              <w:spacing w:after="0"/>
              <w:rPr>
                <w:sz w:val="20"/>
                <w:szCs w:val="20"/>
                <w:color w:val="auto"/>
              </w:rPr>
            </w:pPr>
            <w:r>
              <w:rPr>
                <w:rFonts w:ascii="Arial" w:cs="Arial" w:eastAsia="Arial" w:hAnsi="Arial"/>
                <w:sz w:val="17"/>
                <w:szCs w:val="17"/>
                <w:color w:val="auto"/>
                <w:w w:val="90"/>
              </w:rPr>
              <w:t>(unaudited)</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60" w:type="dxa"/>
            <w:vAlign w:val="bottom"/>
            <w:gridSpan w:val="2"/>
            <w:vMerge w:val="restart"/>
          </w:tcPr>
          <w:p>
            <w:pPr>
              <w:spacing w:after="0"/>
              <w:rPr>
                <w:sz w:val="20"/>
                <w:szCs w:val="20"/>
                <w:color w:val="auto"/>
              </w:rPr>
            </w:pPr>
            <w:r>
              <w:rPr>
                <w:rFonts w:ascii="Arial" w:cs="Arial" w:eastAsia="Arial" w:hAnsi="Arial"/>
                <w:sz w:val="17"/>
                <w:szCs w:val="17"/>
                <w:color w:val="auto"/>
              </w:rPr>
              <w:t>Interest Income</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920" w:type="dxa"/>
            <w:vAlign w:val="bottom"/>
            <w:gridSpan w:val="8"/>
          </w:tcPr>
          <w:p>
            <w:pPr>
              <w:jc w:val="right"/>
              <w:ind w:right="120"/>
              <w:spacing w:after="0"/>
              <w:rPr>
                <w:sz w:val="20"/>
                <w:szCs w:val="20"/>
                <w:color w:val="auto"/>
              </w:rPr>
            </w:pPr>
            <w:r>
              <w:rPr>
                <w:rFonts w:ascii="Arial" w:cs="Arial" w:eastAsia="Arial" w:hAnsi="Arial"/>
                <w:sz w:val="17"/>
                <w:szCs w:val="17"/>
                <w:color w:val="auto"/>
                <w:w w:val="88"/>
              </w:rPr>
              <w:t>(In thousands, except per share amounts)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and fees on loans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18,208</w:t>
            </w:r>
          </w:p>
        </w:tc>
        <w:tc>
          <w:tcPr>
            <w:tcW w:w="500" w:type="dxa"/>
            <w:vAlign w:val="bottom"/>
            <w:gridSpan w:val="2"/>
            <w:shd w:val="clear" w:color="auto" w:fill="CCEEFF"/>
          </w:tcPr>
          <w:p>
            <w:pPr>
              <w:jc w:val="right"/>
              <w:ind w:right="186"/>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17,751</w:t>
            </w:r>
          </w:p>
        </w:tc>
        <w:tc>
          <w:tcPr>
            <w:tcW w:w="340" w:type="dxa"/>
            <w:vAlign w:val="bottom"/>
            <w:gridSpan w:val="2"/>
            <w:shd w:val="clear" w:color="auto" w:fill="CCEEFF"/>
          </w:tcPr>
          <w:p>
            <w:pPr>
              <w:jc w:val="right"/>
              <w:ind w:right="86"/>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36,764</w:t>
            </w: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34,990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Interest on securities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Taxable</w:t>
            </w: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2,480</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4,724</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Tax-exempt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282</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530</w:t>
            </w: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439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investments</w:t>
            </w: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297</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603</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627</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Pr>
          <w:p>
            <w:pPr>
              <w:jc w:val="right"/>
              <w:ind w:right="35"/>
              <w:spacing w:after="0"/>
              <w:rPr>
                <w:sz w:val="20"/>
                <w:szCs w:val="20"/>
                <w:color w:val="auto"/>
              </w:rPr>
            </w:pPr>
            <w:r>
              <w:rPr>
                <w:rFonts w:ascii="Arial" w:cs="Arial" w:eastAsia="Arial" w:hAnsi="Arial"/>
                <w:sz w:val="17"/>
                <w:szCs w:val="17"/>
                <w:color w:val="auto"/>
              </w:rPr>
              <w:t>Total Interest Income</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21,267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20,131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42,621</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39,683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Deposits</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1,152</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967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2,266</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borrowings</w:t>
            </w: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485</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962</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917</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Pr>
          <w:p>
            <w:pPr>
              <w:jc w:val="right"/>
              <w:ind w:right="35"/>
              <w:spacing w:after="0"/>
              <w:rPr>
                <w:sz w:val="20"/>
                <w:szCs w:val="20"/>
                <w:color w:val="auto"/>
              </w:rPr>
            </w:pPr>
            <w:r>
              <w:rPr>
                <w:rFonts w:ascii="Arial" w:cs="Arial" w:eastAsia="Arial" w:hAnsi="Arial"/>
                <w:sz w:val="17"/>
                <w:szCs w:val="17"/>
                <w:color w:val="auto"/>
              </w:rPr>
              <w:t>Total Interest Expense</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1,637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1,430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3,228</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2,891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Net Interest Income</w:t>
            </w: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19,630</w:t>
            </w:r>
          </w:p>
        </w:tc>
        <w:tc>
          <w:tcPr>
            <w:tcW w:w="1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18,701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39,393</w:t>
            </w:r>
          </w:p>
        </w:tc>
        <w:tc>
          <w:tcPr>
            <w:tcW w:w="24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Provision for loan losses</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(734)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(134)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(1,264)</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(793)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Net Interest Income After Provision for Loan Losses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20,364</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18,835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40,657</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37,585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Non-Interest Income</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Service charges on deposit accounts</w:t>
            </w: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3,038</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5,883</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Interchange income</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1,976</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2,240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3,854</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4,382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gains (losses) on assets</w:t>
            </w: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Mortgage loans</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2,529</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1,784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4,171</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3,923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Securities</w:t>
            </w: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347</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Mortgage loan servicing, net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(334)</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1,452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(1,312)</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Title insurance fees</w:t>
            </w: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541</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1,933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2,090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3,905</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Total Non-Interest Income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9,580</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10,987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17,389</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19,949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Non-Interest Expense</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Compensation and employee benefits</w:t>
            </w: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12,000</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11,791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23,881</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23,576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Occupancy, net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1,856</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2,040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4,063</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4,459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Data processing</w:t>
            </w: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1,936</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2,027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4,037</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Furniture, fixtures and equipment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965</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965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1,949</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Communications</w:t>
            </w: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722</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1,610</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Loan and collection</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571</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967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1,396</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Advertising</w:t>
            </w: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478</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955</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Legal and professional</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345</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453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758</w:t>
            </w: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833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FDIC deposit insurance</w:t>
            </w: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331</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665</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Interchange expense</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267</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289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533</w:t>
            </w: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580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Credit card and bank service fees</w:t>
            </w: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385</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Vehicle service contract counterparty contingencies</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Provision for loss reimbursement on sold loans</w:t>
            </w: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Costs (recoveries) related to unfunded lending commitments</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(80)</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(67)</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gains on other real estate and repossessed assets</w:t>
            </w: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(165)</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1,466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1,411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2,926</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Total Non-Interest Expense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20,895</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21,579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42,940</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43,730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jc w:val="right"/>
              <w:ind w:right="35"/>
              <w:spacing w:after="0"/>
              <w:rPr>
                <w:sz w:val="20"/>
                <w:szCs w:val="20"/>
                <w:color w:val="auto"/>
              </w:rPr>
            </w:pPr>
            <w:r>
              <w:rPr>
                <w:rFonts w:ascii="Arial" w:cs="Arial" w:eastAsia="Arial" w:hAnsi="Arial"/>
                <w:sz w:val="17"/>
                <w:szCs w:val="17"/>
                <w:color w:val="auto"/>
              </w:rPr>
              <w:t>Income Before Income Tax</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9,049</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8,243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15,106</w:t>
            </w: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13,804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2,611</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4,568</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jc w:val="right"/>
              <w:ind w:right="35"/>
              <w:spacing w:after="0"/>
              <w:rPr>
                <w:sz w:val="20"/>
                <w:szCs w:val="20"/>
                <w:color w:val="auto"/>
              </w:rPr>
            </w:pPr>
            <w:r>
              <w:rPr>
                <w:rFonts w:ascii="Arial" w:cs="Arial" w:eastAsia="Arial" w:hAnsi="Arial"/>
                <w:sz w:val="17"/>
                <w:szCs w:val="17"/>
                <w:color w:val="auto"/>
              </w:rPr>
              <w:t>Net Income</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6,438</w:t>
            </w:r>
          </w:p>
        </w:tc>
        <w:tc>
          <w:tcPr>
            <w:tcW w:w="500" w:type="dxa"/>
            <w:vAlign w:val="bottom"/>
            <w:gridSpan w:val="2"/>
          </w:tcPr>
          <w:p>
            <w:pPr>
              <w:jc w:val="right"/>
              <w:ind w:right="186"/>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5,619</w:t>
            </w:r>
          </w:p>
        </w:tc>
        <w:tc>
          <w:tcPr>
            <w:tcW w:w="340" w:type="dxa"/>
            <w:vAlign w:val="bottom"/>
            <w:gridSpan w:val="2"/>
          </w:tcPr>
          <w:p>
            <w:pPr>
              <w:jc w:val="right"/>
              <w:ind w:right="86"/>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10,538</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9,400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Net Income Per Common Share</w:t>
            </w:r>
          </w:p>
        </w:tc>
        <w:tc>
          <w:tcPr>
            <w:tcW w:w="240" w:type="dxa"/>
            <w:vAlign w:val="bottom"/>
            <w:shd w:val="clear" w:color="auto" w:fill="CCEEFF"/>
          </w:tcPr>
          <w:p>
            <w:pPr>
              <w:spacing w:after="0"/>
              <w:rPr>
                <w:sz w:val="16"/>
                <w:szCs w:val="16"/>
                <w:color w:val="auto"/>
              </w:rPr>
            </w:pPr>
          </w:p>
        </w:tc>
        <w:tc>
          <w:tcPr>
            <w:tcW w:w="9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Basic</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0.30</w:t>
            </w:r>
          </w:p>
        </w:tc>
        <w:tc>
          <w:tcPr>
            <w:tcW w:w="500" w:type="dxa"/>
            <w:vAlign w:val="bottom"/>
            <w:gridSpan w:val="2"/>
          </w:tcPr>
          <w:p>
            <w:pPr>
              <w:jc w:val="right"/>
              <w:ind w:right="186"/>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0.25</w:t>
            </w:r>
          </w:p>
        </w:tc>
        <w:tc>
          <w:tcPr>
            <w:tcW w:w="340" w:type="dxa"/>
            <w:vAlign w:val="bottom"/>
            <w:gridSpan w:val="2"/>
          </w:tcPr>
          <w:p>
            <w:pPr>
              <w:jc w:val="right"/>
              <w:ind w:right="86"/>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0.49</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6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0.30</w:t>
            </w:r>
          </w:p>
        </w:tc>
        <w:tc>
          <w:tcPr>
            <w:tcW w:w="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0.24</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0.48</w:t>
            </w: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Dividends Per Common Share</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Declared</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500" w:type="dxa"/>
            <w:vAlign w:val="bottom"/>
            <w:gridSpan w:val="2"/>
            <w:shd w:val="clear" w:color="auto" w:fill="CCEEFF"/>
          </w:tcPr>
          <w:p>
            <w:pPr>
              <w:jc w:val="right"/>
              <w:ind w:right="186"/>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0.06</w:t>
            </w:r>
          </w:p>
        </w:tc>
        <w:tc>
          <w:tcPr>
            <w:tcW w:w="340" w:type="dxa"/>
            <w:vAlign w:val="bottom"/>
            <w:gridSpan w:val="2"/>
            <w:shd w:val="clear" w:color="auto" w:fill="CCEEFF"/>
          </w:tcPr>
          <w:p>
            <w:pPr>
              <w:jc w:val="right"/>
              <w:ind w:right="86"/>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0.16</w:t>
            </w: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Paid</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0.08</w:t>
            </w:r>
          </w:p>
        </w:tc>
        <w:tc>
          <w:tcPr>
            <w:tcW w:w="500" w:type="dxa"/>
            <w:vAlign w:val="bottom"/>
            <w:gridSpan w:val="2"/>
          </w:tcPr>
          <w:p>
            <w:pPr>
              <w:jc w:val="right"/>
              <w:ind w:right="186"/>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0.06</w:t>
            </w:r>
          </w:p>
        </w:tc>
        <w:tc>
          <w:tcPr>
            <w:tcW w:w="340" w:type="dxa"/>
            <w:vAlign w:val="bottom"/>
            <w:gridSpan w:val="2"/>
          </w:tcPr>
          <w:p>
            <w:pPr>
              <w:jc w:val="right"/>
              <w:ind w:right="86"/>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0.16</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See notes to interim condensed consolidated financial statements (unaudited)</w:t>
      </w:r>
    </w:p>
    <w:p>
      <w:pPr>
        <w:sectPr>
          <w:pgSz w:w="11900" w:h="16838" w:orient="portrait"/>
          <w:cols w:equalWidth="0" w:num="1">
            <w:col w:w="11420"/>
          </w:cols>
          <w:pgMar w:left="240" w:top="122" w:right="2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59690</wp:posOffset>
            </wp:positionV>
            <wp:extent cx="725424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INDEPENDENT BANK CORPORATION AND SUBSIDIARIES</w:t>
      </w:r>
    </w:p>
    <w:p>
      <w:pPr>
        <w:spacing w:after="0" w:line="20" w:lineRule="exact"/>
        <w:rPr>
          <w:sz w:val="20"/>
          <w:szCs w:val="20"/>
          <w:color w:val="auto"/>
        </w:rPr>
      </w:pPr>
    </w:p>
    <w:p>
      <w:pPr>
        <w:jc w:val="center"/>
        <w:ind w:right="100"/>
        <w:spacing w:after="0"/>
        <w:rPr>
          <w:sz w:val="20"/>
          <w:szCs w:val="20"/>
          <w:color w:val="auto"/>
        </w:rPr>
      </w:pPr>
      <w:r>
        <w:rPr>
          <w:rFonts w:ascii="Arial" w:cs="Arial" w:eastAsia="Arial" w:hAnsi="Arial"/>
          <w:sz w:val="17"/>
          <w:szCs w:val="17"/>
          <w:u w:val="single" w:color="auto"/>
          <w:color w:val="auto"/>
        </w:rPr>
        <w:t>Condensed Consolidated Statements of Comprehensive Income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540" w:type="dxa"/>
            <w:vAlign w:val="bottom"/>
            <w:gridSpan w:val="6"/>
          </w:tcPr>
          <w:p>
            <w:pPr>
              <w:jc w:val="center"/>
              <w:ind w:right="120"/>
              <w:spacing w:after="0"/>
              <w:rPr>
                <w:sz w:val="20"/>
                <w:szCs w:val="20"/>
                <w:color w:val="auto"/>
              </w:rPr>
            </w:pPr>
            <w:r>
              <w:rPr>
                <w:rFonts w:ascii="Arial" w:cs="Arial" w:eastAsia="Arial" w:hAnsi="Arial"/>
                <w:sz w:val="17"/>
                <w:szCs w:val="17"/>
                <w:color w:val="auto"/>
                <w:w w:val="87"/>
              </w:rPr>
              <w:t>Three months ended</w:t>
            </w:r>
          </w:p>
        </w:tc>
        <w:tc>
          <w:tcPr>
            <w:tcW w:w="1340" w:type="dxa"/>
            <w:vAlign w:val="bottom"/>
            <w:gridSpan w:val="4"/>
          </w:tcPr>
          <w:p>
            <w:pPr>
              <w:jc w:val="center"/>
              <w:spacing w:after="0"/>
              <w:rPr>
                <w:sz w:val="20"/>
                <w:szCs w:val="20"/>
                <w:color w:val="auto"/>
              </w:rPr>
            </w:pPr>
            <w:r>
              <w:rPr>
                <w:rFonts w:ascii="Arial" w:cs="Arial" w:eastAsia="Arial" w:hAnsi="Arial"/>
                <w:sz w:val="17"/>
                <w:szCs w:val="17"/>
                <w:color w:val="auto"/>
                <w:w w:val="88"/>
              </w:rPr>
              <w:t>Six months ended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5"/>
          </w:tcPr>
          <w:p>
            <w:pPr>
              <w:jc w:val="center"/>
              <w:ind w:right="220"/>
              <w:spacing w:after="0"/>
              <w:rPr>
                <w:sz w:val="20"/>
                <w:szCs w:val="20"/>
                <w:color w:val="auto"/>
              </w:rPr>
            </w:pPr>
            <w:r>
              <w:rPr>
                <w:rFonts w:ascii="Arial" w:cs="Arial" w:eastAsia="Arial" w:hAnsi="Arial"/>
                <w:sz w:val="17"/>
                <w:szCs w:val="17"/>
                <w:color w:val="auto"/>
                <w:w w:val="85"/>
              </w:rPr>
              <w:t>June 30,</w:t>
            </w:r>
          </w:p>
        </w:tc>
        <w:tc>
          <w:tcPr>
            <w:tcW w:w="1340" w:type="dxa"/>
            <w:vAlign w:val="bottom"/>
            <w:gridSpan w:val="4"/>
          </w:tcPr>
          <w:p>
            <w:pPr>
              <w:jc w:val="center"/>
              <w:spacing w:after="0"/>
              <w:rPr>
                <w:sz w:val="20"/>
                <w:szCs w:val="20"/>
                <w:color w:val="auto"/>
              </w:rPr>
            </w:pPr>
            <w:r>
              <w:rPr>
                <w:rFonts w:ascii="Arial" w:cs="Arial" w:eastAsia="Arial" w:hAnsi="Arial"/>
                <w:sz w:val="17"/>
                <w:szCs w:val="17"/>
                <w:color w:val="auto"/>
                <w:w w:val="85"/>
              </w:rPr>
              <w:t>June 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95"/>
              </w:rPr>
              <w:t>2016</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9"/>
              </w:rPr>
              <w:t>2015</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2016</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9"/>
              </w:rPr>
              <w:t>2015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5"/>
          </w:tcPr>
          <w:p>
            <w:pPr>
              <w:jc w:val="center"/>
              <w:ind w:right="240"/>
              <w:spacing w:after="0"/>
              <w:rPr>
                <w:sz w:val="20"/>
                <w:szCs w:val="20"/>
                <w:color w:val="auto"/>
              </w:rPr>
            </w:pPr>
            <w:r>
              <w:rPr>
                <w:rFonts w:ascii="Arial" w:cs="Arial" w:eastAsia="Arial" w:hAnsi="Arial"/>
                <w:sz w:val="17"/>
                <w:szCs w:val="17"/>
                <w:color w:val="auto"/>
                <w:w w:val="90"/>
              </w:rPr>
              <w:t>(unaudited)</w:t>
            </w:r>
          </w:p>
        </w:tc>
        <w:tc>
          <w:tcPr>
            <w:tcW w:w="1340" w:type="dxa"/>
            <w:vAlign w:val="bottom"/>
            <w:gridSpan w:val="4"/>
          </w:tcPr>
          <w:p>
            <w:pPr>
              <w:jc w:val="center"/>
              <w:spacing w:after="0"/>
              <w:rPr>
                <w:sz w:val="20"/>
                <w:szCs w:val="20"/>
                <w:color w:val="auto"/>
              </w:rPr>
            </w:pPr>
            <w:r>
              <w:rPr>
                <w:rFonts w:ascii="Arial" w:cs="Arial" w:eastAsia="Arial" w:hAnsi="Arial"/>
                <w:sz w:val="17"/>
                <w:szCs w:val="17"/>
                <w:color w:val="auto"/>
                <w:w w:val="90"/>
              </w:rPr>
              <w:t>(unaudited)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4"/>
          </w:tcPr>
          <w:p>
            <w:pPr>
              <w:jc w:val="center"/>
              <w:ind w:right="35"/>
              <w:spacing w:after="0"/>
              <w:rPr>
                <w:sz w:val="20"/>
                <w:szCs w:val="20"/>
                <w:color w:val="auto"/>
              </w:rPr>
            </w:pPr>
            <w:r>
              <w:rPr>
                <w:rFonts w:ascii="Arial" w:cs="Arial" w:eastAsia="Arial" w:hAnsi="Arial"/>
                <w:sz w:val="17"/>
                <w:szCs w:val="17"/>
                <w:color w:val="auto"/>
                <w:w w:val="90"/>
              </w:rPr>
              <w:t>(In thousands)</w:t>
            </w:r>
          </w:p>
        </w:tc>
        <w:tc>
          <w:tcPr>
            <w:tcW w:w="120" w:type="dxa"/>
            <w:vAlign w:val="bottom"/>
          </w:tcPr>
          <w:p>
            <w:pPr>
              <w:spacing w:after="0"/>
              <w:rPr>
                <w:sz w:val="18"/>
                <w:szCs w:val="18"/>
                <w:color w:val="auto"/>
              </w:rPr>
            </w:pPr>
          </w:p>
        </w:tc>
        <w:tc>
          <w:tcPr>
            <w:tcW w:w="1340" w:type="dxa"/>
            <w:vAlign w:val="bottom"/>
            <w:tcBorders>
              <w:top w:val="single" w:sz="8" w:color="auto"/>
            </w:tcBorders>
            <w:gridSpan w:val="4"/>
          </w:tcPr>
          <w:p>
            <w:pPr>
              <w:jc w:val="center"/>
              <w:spacing w:after="0"/>
              <w:rPr>
                <w:sz w:val="20"/>
                <w:szCs w:val="20"/>
                <w:color w:val="auto"/>
              </w:rPr>
            </w:pPr>
            <w:r>
              <w:rPr>
                <w:rFonts w:ascii="Arial" w:cs="Arial" w:eastAsia="Arial" w:hAnsi="Arial"/>
                <w:sz w:val="17"/>
                <w:szCs w:val="17"/>
                <w:color w:val="auto"/>
                <w:w w:val="88"/>
              </w:rPr>
              <w:t>(In thousands)</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300" w:type="dxa"/>
            <w:vAlign w:val="bottom"/>
          </w:tcPr>
          <w:p>
            <w:pPr>
              <w:spacing w:after="0"/>
              <w:rPr>
                <w:sz w:val="16"/>
                <w:szCs w:val="16"/>
                <w:color w:val="auto"/>
              </w:rPr>
            </w:pPr>
          </w:p>
        </w:tc>
        <w:tc>
          <w:tcPr>
            <w:tcW w:w="4440" w:type="dxa"/>
            <w:vAlign w:val="bottom"/>
            <w:gridSpan w:val="2"/>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spacing w:after="0"/>
              <w:rPr>
                <w:sz w:val="16"/>
                <w:szCs w:val="16"/>
                <w:color w:val="auto"/>
              </w:rPr>
            </w:pPr>
          </w:p>
        </w:tc>
        <w:tc>
          <w:tcPr>
            <w:tcW w:w="70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6,438</w:t>
            </w: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5,619</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$ 10,538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Other comprehensive income (loss), before tax</w:t>
            </w:r>
          </w:p>
        </w:tc>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Securities available for sale</w:t>
            </w:r>
          </w:p>
        </w:tc>
        <w:tc>
          <w:tcPr>
            <w:tcW w:w="4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tcPr>
          <w:p>
            <w:pPr>
              <w:ind w:left="140"/>
              <w:spacing w:after="0"/>
              <w:rPr>
                <w:sz w:val="20"/>
                <w:szCs w:val="20"/>
                <w:color w:val="auto"/>
              </w:rPr>
            </w:pPr>
            <w:r>
              <w:rPr>
                <w:rFonts w:ascii="Arial" w:cs="Arial" w:eastAsia="Arial" w:hAnsi="Arial"/>
                <w:sz w:val="17"/>
                <w:szCs w:val="17"/>
                <w:color w:val="auto"/>
              </w:rPr>
              <w:t>Unrealized gains (losses) arising during period</w:t>
            </w:r>
          </w:p>
        </w:tc>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2,334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(1,806)</w:t>
            </w:r>
          </w:p>
        </w:tc>
        <w:tc>
          <w:tcPr>
            <w:tcW w:w="580" w:type="dxa"/>
            <w:vAlign w:val="bottom"/>
          </w:tcPr>
          <w:p>
            <w:pPr>
              <w:jc w:val="right"/>
              <w:spacing w:after="0"/>
              <w:rPr>
                <w:sz w:val="20"/>
                <w:szCs w:val="20"/>
                <w:color w:val="auto"/>
              </w:rPr>
            </w:pPr>
            <w:r>
              <w:rPr>
                <w:rFonts w:ascii="Arial" w:cs="Arial" w:eastAsia="Arial" w:hAnsi="Arial"/>
                <w:sz w:val="17"/>
                <w:szCs w:val="17"/>
                <w:color w:val="auto"/>
              </w:rPr>
              <w:t>4,448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464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7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w w:val="91"/>
              </w:rPr>
              <w:t>Change in unrealized gains (losses) for which a portion of other than temporary impairment has been recognized in earnings</w:t>
            </w:r>
          </w:p>
        </w:tc>
        <w:tc>
          <w:tcPr>
            <w:tcW w:w="6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107</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Pr>
          <w:p>
            <w:pPr>
              <w:ind w:left="140"/>
              <w:spacing w:after="0"/>
              <w:rPr>
                <w:sz w:val="20"/>
                <w:szCs w:val="20"/>
                <w:color w:val="auto"/>
              </w:rPr>
            </w:pPr>
            <w:r>
              <w:rPr>
                <w:rFonts w:ascii="Arial" w:cs="Arial" w:eastAsia="Arial" w:hAnsi="Arial"/>
                <w:sz w:val="17"/>
                <w:szCs w:val="17"/>
                <w:color w:val="auto"/>
                <w:w w:val="94"/>
              </w:rPr>
              <w:t>Reclassification adjustments for gains included in earnings</w:t>
            </w: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(283)</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00" w:type="dxa"/>
            <w:vAlign w:val="bottom"/>
            <w:shd w:val="clear" w:color="auto" w:fill="CCEEFF"/>
          </w:tcPr>
          <w:p>
            <w:pPr>
              <w:spacing w:after="0"/>
              <w:rPr>
                <w:sz w:val="16"/>
                <w:szCs w:val="16"/>
                <w:color w:val="auto"/>
              </w:rPr>
            </w:pPr>
          </w:p>
        </w:tc>
        <w:tc>
          <w:tcPr>
            <w:tcW w:w="4320" w:type="dxa"/>
            <w:vAlign w:val="bottom"/>
            <w:shd w:val="clear" w:color="auto" w:fill="CCEEFF"/>
          </w:tcPr>
          <w:p>
            <w:pPr>
              <w:jc w:val="right"/>
              <w:spacing w:after="0" w:line="191" w:lineRule="exact"/>
              <w:rPr>
                <w:sz w:val="20"/>
                <w:szCs w:val="20"/>
                <w:color w:val="auto"/>
              </w:rPr>
            </w:pPr>
            <w:r>
              <w:rPr>
                <w:rFonts w:ascii="Arial" w:cs="Arial" w:eastAsia="Arial" w:hAnsi="Arial"/>
                <w:sz w:val="17"/>
                <w:szCs w:val="17"/>
                <w:color w:val="auto"/>
                <w:w w:val="92"/>
              </w:rPr>
              <w:t>Unrealized gains (losses) recognized in other comprehensive</w:t>
            </w: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income (loss) on securities available for sale</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2,332</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(1,827)</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4,236</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Pr>
          <w:p>
            <w:pPr>
              <w:ind w:left="280"/>
              <w:spacing w:after="0"/>
              <w:rPr>
                <w:sz w:val="20"/>
                <w:szCs w:val="20"/>
                <w:color w:val="auto"/>
              </w:rPr>
            </w:pPr>
            <w:r>
              <w:rPr>
                <w:rFonts w:ascii="Arial" w:cs="Arial" w:eastAsia="Arial" w:hAnsi="Arial"/>
                <w:sz w:val="17"/>
                <w:szCs w:val="17"/>
                <w:color w:val="auto"/>
              </w:rPr>
              <w:t>Income tax expense (benefit)</w:t>
            </w: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816</w:t>
            </w: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(639)</w:t>
            </w:r>
          </w:p>
        </w:tc>
        <w:tc>
          <w:tcPr>
            <w:tcW w:w="580" w:type="dxa"/>
            <w:vAlign w:val="bottom"/>
          </w:tcPr>
          <w:p>
            <w:pPr>
              <w:jc w:val="right"/>
              <w:spacing w:after="0"/>
              <w:rPr>
                <w:sz w:val="20"/>
                <w:szCs w:val="20"/>
                <w:color w:val="auto"/>
              </w:rPr>
            </w:pPr>
            <w:r>
              <w:rPr>
                <w:rFonts w:ascii="Arial" w:cs="Arial" w:eastAsia="Arial" w:hAnsi="Arial"/>
                <w:sz w:val="17"/>
                <w:szCs w:val="17"/>
                <w:color w:val="auto"/>
              </w:rPr>
              <w:t>1,483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00" w:type="dxa"/>
            <w:vAlign w:val="bottom"/>
            <w:shd w:val="clear" w:color="auto" w:fill="CCEEFF"/>
          </w:tcPr>
          <w:p>
            <w:pPr>
              <w:spacing w:after="0"/>
              <w:rPr>
                <w:sz w:val="16"/>
                <w:szCs w:val="16"/>
                <w:color w:val="auto"/>
              </w:rPr>
            </w:pPr>
          </w:p>
        </w:tc>
        <w:tc>
          <w:tcPr>
            <w:tcW w:w="4320" w:type="dxa"/>
            <w:vAlign w:val="bottom"/>
            <w:shd w:val="clear" w:color="auto" w:fill="CCEEFF"/>
          </w:tcPr>
          <w:p>
            <w:pPr>
              <w:jc w:val="right"/>
              <w:spacing w:after="0" w:line="191" w:lineRule="exact"/>
              <w:rPr>
                <w:sz w:val="20"/>
                <w:szCs w:val="20"/>
                <w:color w:val="auto"/>
              </w:rPr>
            </w:pPr>
            <w:r>
              <w:rPr>
                <w:rFonts w:ascii="Arial" w:cs="Arial" w:eastAsia="Arial" w:hAnsi="Arial"/>
                <w:sz w:val="17"/>
                <w:szCs w:val="17"/>
                <w:color w:val="auto"/>
                <w:w w:val="92"/>
              </w:rPr>
              <w:t>Unrealized gains (losses) recognized in other comprehensive</w:t>
            </w: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income (loss) on available for sale securities, net of tax</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1,516</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(1,188)</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2,753</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320" w:type="dxa"/>
            <w:vAlign w:val="bottom"/>
          </w:tcPr>
          <w:p>
            <w:pPr>
              <w:jc w:val="right"/>
              <w:spacing w:after="0"/>
              <w:rPr>
                <w:sz w:val="20"/>
                <w:szCs w:val="20"/>
                <w:color w:val="auto"/>
              </w:rPr>
            </w:pPr>
            <w:r>
              <w:rPr>
                <w:rFonts w:ascii="Arial" w:cs="Arial" w:eastAsia="Arial" w:hAnsi="Arial"/>
                <w:sz w:val="17"/>
                <w:szCs w:val="17"/>
                <w:color w:val="auto"/>
              </w:rPr>
              <w:t>Other comprehensive income (loss)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1,516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(1,188)</w:t>
            </w:r>
          </w:p>
        </w:tc>
        <w:tc>
          <w:tcPr>
            <w:tcW w:w="580" w:type="dxa"/>
            <w:vAlign w:val="bottom"/>
          </w:tcPr>
          <w:p>
            <w:pPr>
              <w:jc w:val="right"/>
              <w:spacing w:after="0"/>
              <w:rPr>
                <w:sz w:val="20"/>
                <w:szCs w:val="20"/>
                <w:color w:val="auto"/>
              </w:rPr>
            </w:pPr>
            <w:r>
              <w:rPr>
                <w:rFonts w:ascii="Arial" w:cs="Arial" w:eastAsia="Arial" w:hAnsi="Arial"/>
                <w:sz w:val="17"/>
                <w:szCs w:val="17"/>
                <w:color w:val="auto"/>
              </w:rPr>
              <w:t>2,753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Comprehensive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7,954</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$ 13,291</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9,646</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See notes to interim condensed consolidated financial statements (unaudited)</w:t>
      </w:r>
    </w:p>
    <w:p>
      <w:pPr>
        <w:spacing w:after="0" w:line="200" w:lineRule="exact"/>
        <w:rPr>
          <w:sz w:val="20"/>
          <w:szCs w:val="20"/>
          <w:color w:val="auto"/>
        </w:rPr>
      </w:pPr>
    </w:p>
    <w:p>
      <w:pPr>
        <w:spacing w:after="0" w:line="210"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80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50"/>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500" w:type="dxa"/>
            <w:vAlign w:val="bottom"/>
            <w:gridSpan w:val="3"/>
          </w:tcPr>
          <w:p>
            <w:pPr>
              <w:jc w:val="right"/>
              <w:ind w:right="820"/>
              <w:spacing w:after="0"/>
              <w:rPr>
                <w:sz w:val="20"/>
                <w:szCs w:val="20"/>
                <w:color w:val="auto"/>
              </w:rPr>
            </w:pPr>
            <w:r>
              <w:rPr>
                <w:rFonts w:ascii="Arial" w:cs="Arial" w:eastAsia="Arial" w:hAnsi="Arial"/>
                <w:sz w:val="17"/>
                <w:szCs w:val="17"/>
                <w:color w:val="auto"/>
              </w:rPr>
              <w:t>INDEPENDENT BANK CORPORATION AND SUBSIDIARIES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8"/>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840" w:type="dxa"/>
            <w:vAlign w:val="bottom"/>
            <w:gridSpan w:val="2"/>
          </w:tcPr>
          <w:p>
            <w:pPr>
              <w:jc w:val="right"/>
              <w:ind w:right="1340"/>
              <w:spacing w:after="0" w:line="178" w:lineRule="exact"/>
              <w:rPr>
                <w:sz w:val="20"/>
                <w:szCs w:val="20"/>
                <w:color w:val="auto"/>
              </w:rPr>
            </w:pPr>
            <w:r>
              <w:rPr>
                <w:rFonts w:ascii="Arial" w:cs="Arial" w:eastAsia="Arial" w:hAnsi="Arial"/>
                <w:sz w:val="17"/>
                <w:szCs w:val="17"/>
                <w:color w:val="auto"/>
                <w:w w:val="88"/>
              </w:rPr>
              <w:t>Condensed Consolidated Statements of Cash Flows</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5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50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5"/>
          </w:tcPr>
          <w:p>
            <w:pPr>
              <w:jc w:val="right"/>
              <w:ind w:right="440"/>
              <w:spacing w:after="0"/>
              <w:rPr>
                <w:sz w:val="20"/>
                <w:szCs w:val="20"/>
                <w:color w:val="auto"/>
              </w:rPr>
            </w:pPr>
            <w:r>
              <w:rPr>
                <w:rFonts w:ascii="Arial" w:cs="Arial" w:eastAsia="Arial" w:hAnsi="Arial"/>
                <w:sz w:val="17"/>
                <w:szCs w:val="17"/>
                <w:color w:val="auto"/>
                <w:w w:val="94"/>
              </w:rPr>
              <w:t>Six months ended June 30,</w:t>
            </w:r>
          </w:p>
        </w:tc>
      </w:tr>
      <w:tr>
        <w:trPr>
          <w:trHeight w:val="209"/>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7"/>
                <w:szCs w:val="17"/>
                <w:color w:val="auto"/>
              </w:rPr>
              <w:t>2016</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(unaudited</w:t>
            </w:r>
          </w:p>
        </w:tc>
        <w:tc>
          <w:tcPr>
            <w:tcW w:w="220" w:type="dxa"/>
            <w:vAlign w:val="bottom"/>
          </w:tcPr>
          <w:p>
            <w:pPr>
              <w:jc w:val="right"/>
              <w:spacing w:after="0"/>
              <w:rPr>
                <w:sz w:val="20"/>
                <w:szCs w:val="20"/>
                <w:color w:val="auto"/>
              </w:rPr>
            </w:pPr>
            <w:r>
              <w:rPr>
                <w:rFonts w:ascii="Arial" w:cs="Arial" w:eastAsia="Arial" w:hAnsi="Arial"/>
                <w:sz w:val="17"/>
                <w:szCs w:val="17"/>
                <w:color w:val="auto"/>
                <w:w w:val="81"/>
              </w:rPr>
              <w:t>- In</w:t>
            </w:r>
          </w:p>
        </w:tc>
        <w:tc>
          <w:tcPr>
            <w:tcW w:w="1140" w:type="dxa"/>
            <w:vAlign w:val="bottom"/>
            <w:gridSpan w:val="2"/>
          </w:tcPr>
          <w:p>
            <w:pPr>
              <w:jc w:val="right"/>
              <w:ind w:right="275"/>
              <w:spacing w:after="0"/>
              <w:rPr>
                <w:sz w:val="20"/>
                <w:szCs w:val="20"/>
                <w:color w:val="auto"/>
              </w:rPr>
            </w:pPr>
            <w:r>
              <w:rPr>
                <w:rFonts w:ascii="Arial" w:cs="Arial" w:eastAsia="Arial" w:hAnsi="Arial"/>
                <w:sz w:val="17"/>
                <w:szCs w:val="17"/>
                <w:color w:val="auto"/>
                <w:w w:val="90"/>
              </w:rPr>
              <w:t>thousands)</w:t>
            </w:r>
          </w:p>
        </w:tc>
        <w:tc>
          <w:tcPr>
            <w:tcW w:w="10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878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Net Income</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9,400</w:t>
            </w:r>
          </w:p>
        </w:tc>
        <w:tc>
          <w:tcPr>
            <w:tcW w:w="100" w:type="dxa"/>
            <w:vAlign w:val="bottom"/>
            <w:shd w:val="clear" w:color="auto" w:fill="CCEEFF"/>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8780" w:type="dxa"/>
            <w:vAlign w:val="bottom"/>
            <w:tcBorders>
              <w:top w:val="single" w:sz="8" w:color="CCEEFF"/>
            </w:tcBorders>
            <w:gridSpan w:val="4"/>
          </w:tcPr>
          <w:p>
            <w:pPr>
              <w:spacing w:after="0"/>
              <w:rPr>
                <w:sz w:val="20"/>
                <w:szCs w:val="20"/>
                <w:color w:val="auto"/>
              </w:rPr>
            </w:pPr>
            <w:r>
              <w:rPr>
                <w:rFonts w:ascii="Arial" w:cs="Arial" w:eastAsia="Arial" w:hAnsi="Arial"/>
                <w:sz w:val="17"/>
                <w:szCs w:val="17"/>
                <w:color w:val="auto"/>
              </w:rPr>
              <w:t>Adjustments to Reconcile Net Income to Net Cash From Operating Activities</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8780" w:type="dxa"/>
            <w:vAlign w:val="bottom"/>
            <w:tcBorders>
              <w:right w:val="single" w:sz="8" w:color="CCEEFF"/>
            </w:tcBorders>
            <w:gridSpan w:val="4"/>
            <w:shd w:val="clear" w:color="auto" w:fill="CCEEFF"/>
          </w:tcPr>
          <w:p>
            <w:pPr>
              <w:ind w:left="140"/>
              <w:spacing w:after="0"/>
              <w:rPr>
                <w:sz w:val="20"/>
                <w:szCs w:val="20"/>
                <w:color w:val="auto"/>
              </w:rPr>
            </w:pPr>
            <w:r>
              <w:rPr>
                <w:rFonts w:ascii="Arial" w:cs="Arial" w:eastAsia="Arial" w:hAnsi="Arial"/>
                <w:sz w:val="17"/>
                <w:szCs w:val="17"/>
                <w:color w:val="auto"/>
              </w:rPr>
              <w:t>Proceeds from sales of loans held for sale</w:t>
            </w: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129,838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154,938</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8780" w:type="dxa"/>
            <w:vAlign w:val="bottom"/>
            <w:gridSpan w:val="4"/>
          </w:tcPr>
          <w:p>
            <w:pPr>
              <w:ind w:left="140"/>
              <w:spacing w:after="0"/>
              <w:rPr>
                <w:sz w:val="20"/>
                <w:szCs w:val="20"/>
                <w:color w:val="auto"/>
              </w:rPr>
            </w:pPr>
            <w:r>
              <w:rPr>
                <w:rFonts w:ascii="Arial" w:cs="Arial" w:eastAsia="Arial" w:hAnsi="Arial"/>
                <w:sz w:val="17"/>
                <w:szCs w:val="17"/>
                <w:color w:val="auto"/>
              </w:rPr>
              <w:t>Disbursements for loans held for sale</w:t>
            </w:r>
          </w:p>
        </w:tc>
        <w:tc>
          <w:tcPr>
            <w:tcW w:w="220" w:type="dxa"/>
            <w:vAlign w:val="bottom"/>
          </w:tcPr>
          <w:p>
            <w:pPr>
              <w:spacing w:after="0"/>
              <w:rPr>
                <w:sz w:val="17"/>
                <w:szCs w:val="17"/>
                <w:color w:val="auto"/>
              </w:rPr>
            </w:pPr>
          </w:p>
        </w:tc>
        <w:tc>
          <w:tcPr>
            <w:tcW w:w="1160" w:type="dxa"/>
            <w:vAlign w:val="bottom"/>
            <w:gridSpan w:val="2"/>
          </w:tcPr>
          <w:p>
            <w:pPr>
              <w:jc w:val="right"/>
              <w:ind w:right="95"/>
              <w:spacing w:after="0"/>
              <w:rPr>
                <w:sz w:val="20"/>
                <w:szCs w:val="20"/>
                <w:color w:val="auto"/>
              </w:rPr>
            </w:pPr>
            <w:r>
              <w:rPr>
                <w:rFonts w:ascii="Arial" w:cs="Arial" w:eastAsia="Arial" w:hAnsi="Arial"/>
                <w:sz w:val="17"/>
                <w:szCs w:val="17"/>
                <w:color w:val="auto"/>
              </w:rPr>
              <w:t>(129,514)</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(157,871)</w:t>
            </w:r>
          </w:p>
        </w:tc>
      </w:tr>
      <w:tr>
        <w:trPr>
          <w:trHeight w:val="204"/>
        </w:trPr>
        <w:tc>
          <w:tcPr>
            <w:tcW w:w="20" w:type="dxa"/>
            <w:vAlign w:val="bottom"/>
          </w:tcPr>
          <w:p>
            <w:pPr>
              <w:spacing w:after="0"/>
              <w:rPr>
                <w:sz w:val="17"/>
                <w:szCs w:val="17"/>
                <w:color w:val="auto"/>
              </w:rPr>
            </w:pPr>
          </w:p>
        </w:tc>
        <w:tc>
          <w:tcPr>
            <w:tcW w:w="8780" w:type="dxa"/>
            <w:vAlign w:val="bottom"/>
            <w:tcBorders>
              <w:right w:val="single" w:sz="8" w:color="CCEEFF"/>
            </w:tcBorders>
            <w:gridSpan w:val="4"/>
            <w:shd w:val="clear" w:color="auto" w:fill="CCEEFF"/>
          </w:tcPr>
          <w:p>
            <w:pPr>
              <w:ind w:left="140"/>
              <w:spacing w:after="0"/>
              <w:rPr>
                <w:sz w:val="20"/>
                <w:szCs w:val="20"/>
                <w:color w:val="auto"/>
              </w:rPr>
            </w:pPr>
            <w:r>
              <w:rPr>
                <w:rFonts w:ascii="Arial" w:cs="Arial" w:eastAsia="Arial" w:hAnsi="Arial"/>
                <w:sz w:val="17"/>
                <w:szCs w:val="17"/>
                <w:color w:val="auto"/>
              </w:rPr>
              <w:t>Provision for loan losses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(1,264)</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(793)</w:t>
            </w:r>
          </w:p>
        </w:tc>
      </w:tr>
      <w:tr>
        <w:trPr>
          <w:trHeight w:val="204"/>
        </w:trPr>
        <w:tc>
          <w:tcPr>
            <w:tcW w:w="20" w:type="dxa"/>
            <w:vAlign w:val="bottom"/>
          </w:tcPr>
          <w:p>
            <w:pPr>
              <w:spacing w:after="0"/>
              <w:rPr>
                <w:sz w:val="17"/>
                <w:szCs w:val="17"/>
                <w:color w:val="auto"/>
              </w:rPr>
            </w:pPr>
          </w:p>
        </w:tc>
        <w:tc>
          <w:tcPr>
            <w:tcW w:w="8780" w:type="dxa"/>
            <w:vAlign w:val="bottom"/>
            <w:gridSpan w:val="4"/>
          </w:tcPr>
          <w:p>
            <w:pPr>
              <w:ind w:left="140"/>
              <w:spacing w:after="0"/>
              <w:rPr>
                <w:sz w:val="20"/>
                <w:szCs w:val="20"/>
                <w:color w:val="auto"/>
              </w:rPr>
            </w:pPr>
            <w:r>
              <w:rPr>
                <w:rFonts w:ascii="Arial" w:cs="Arial" w:eastAsia="Arial" w:hAnsi="Arial"/>
                <w:sz w:val="17"/>
                <w:szCs w:val="17"/>
                <w:color w:val="auto"/>
              </w:rPr>
              <w:t>Deferred federal income tax expense</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5,625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4,475</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8780" w:type="dxa"/>
            <w:vAlign w:val="bottom"/>
            <w:tcBorders>
              <w:right w:val="single" w:sz="8" w:color="CCEEFF"/>
            </w:tcBorders>
            <w:gridSpan w:val="4"/>
            <w:shd w:val="clear" w:color="auto" w:fill="CCEEFF"/>
          </w:tcPr>
          <w:p>
            <w:pPr>
              <w:ind w:left="140"/>
              <w:spacing w:after="0"/>
              <w:rPr>
                <w:sz w:val="20"/>
                <w:szCs w:val="20"/>
                <w:color w:val="auto"/>
              </w:rPr>
            </w:pPr>
            <w:r>
              <w:rPr>
                <w:rFonts w:ascii="Arial" w:cs="Arial" w:eastAsia="Arial" w:hAnsi="Arial"/>
                <w:sz w:val="17"/>
                <w:szCs w:val="17"/>
                <w:color w:val="auto"/>
              </w:rPr>
              <w:t>Deferred loan fees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(987)</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(930)</w:t>
            </w:r>
          </w:p>
        </w:tc>
      </w:tr>
      <w:tr>
        <w:trPr>
          <w:trHeight w:val="191"/>
        </w:trPr>
        <w:tc>
          <w:tcPr>
            <w:tcW w:w="20" w:type="dxa"/>
            <w:vAlign w:val="bottom"/>
          </w:tcPr>
          <w:p>
            <w:pPr>
              <w:spacing w:after="0"/>
              <w:rPr>
                <w:sz w:val="16"/>
                <w:szCs w:val="16"/>
                <w:color w:val="auto"/>
              </w:rPr>
            </w:pPr>
          </w:p>
        </w:tc>
        <w:tc>
          <w:tcPr>
            <w:tcW w:w="8780" w:type="dxa"/>
            <w:vAlign w:val="bottom"/>
            <w:gridSpan w:val="4"/>
          </w:tcPr>
          <w:p>
            <w:pPr>
              <w:ind w:left="140"/>
              <w:spacing w:after="0" w:line="191" w:lineRule="exact"/>
              <w:rPr>
                <w:sz w:val="20"/>
                <w:szCs w:val="20"/>
                <w:color w:val="auto"/>
              </w:rPr>
            </w:pPr>
            <w:r>
              <w:rPr>
                <w:rFonts w:ascii="Arial" w:cs="Arial" w:eastAsia="Arial" w:hAnsi="Arial"/>
                <w:sz w:val="17"/>
                <w:szCs w:val="17"/>
                <w:color w:val="auto"/>
                <w:w w:val="94"/>
              </w:rPr>
              <w:t>Depreciation, amortization of intangible assets and premiums and accretion of discounts on securities, loans and interest</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8780" w:type="dxa"/>
            <w:vAlign w:val="bottom"/>
            <w:gridSpan w:val="4"/>
          </w:tcPr>
          <w:p>
            <w:pPr>
              <w:ind w:left="260"/>
              <w:spacing w:after="0"/>
              <w:rPr>
                <w:sz w:val="20"/>
                <w:szCs w:val="20"/>
                <w:color w:val="auto"/>
              </w:rPr>
            </w:pPr>
            <w:r>
              <w:rPr>
                <w:rFonts w:ascii="Arial" w:cs="Arial" w:eastAsia="Arial" w:hAnsi="Arial"/>
                <w:sz w:val="17"/>
                <w:szCs w:val="17"/>
                <w:color w:val="auto"/>
              </w:rPr>
              <w:t>bearning deposits - time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2,507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2,228</w:t>
            </w: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8780" w:type="dxa"/>
            <w:vAlign w:val="bottom"/>
            <w:tcBorders>
              <w:right w:val="single" w:sz="8" w:color="CCEEFF"/>
            </w:tcBorders>
            <w:gridSpan w:val="4"/>
            <w:shd w:val="clear" w:color="auto" w:fill="CCEEFF"/>
          </w:tcPr>
          <w:p>
            <w:pPr>
              <w:ind w:left="140"/>
              <w:spacing w:after="0"/>
              <w:rPr>
                <w:sz w:val="20"/>
                <w:szCs w:val="20"/>
                <w:color w:val="auto"/>
              </w:rPr>
            </w:pPr>
            <w:r>
              <w:rPr>
                <w:rFonts w:ascii="Arial" w:cs="Arial" w:eastAsia="Arial" w:hAnsi="Arial"/>
                <w:sz w:val="17"/>
                <w:szCs w:val="17"/>
                <w:color w:val="auto"/>
              </w:rPr>
              <w:t>Net gains on mortgage loans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(4,171)</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(3,923)</w:t>
            </w:r>
          </w:p>
        </w:tc>
      </w:tr>
      <w:tr>
        <w:trPr>
          <w:trHeight w:val="204"/>
        </w:trPr>
        <w:tc>
          <w:tcPr>
            <w:tcW w:w="20" w:type="dxa"/>
            <w:vAlign w:val="bottom"/>
          </w:tcPr>
          <w:p>
            <w:pPr>
              <w:spacing w:after="0"/>
              <w:rPr>
                <w:sz w:val="17"/>
                <w:szCs w:val="17"/>
                <w:color w:val="auto"/>
              </w:rPr>
            </w:pPr>
          </w:p>
        </w:tc>
        <w:tc>
          <w:tcPr>
            <w:tcW w:w="8780" w:type="dxa"/>
            <w:vAlign w:val="bottom"/>
            <w:gridSpan w:val="4"/>
          </w:tcPr>
          <w:p>
            <w:pPr>
              <w:ind w:left="140"/>
              <w:spacing w:after="0"/>
              <w:rPr>
                <w:sz w:val="20"/>
                <w:szCs w:val="20"/>
                <w:color w:val="auto"/>
              </w:rPr>
            </w:pPr>
            <w:r>
              <w:rPr>
                <w:rFonts w:ascii="Arial" w:cs="Arial" w:eastAsia="Arial" w:hAnsi="Arial"/>
                <w:sz w:val="17"/>
                <w:szCs w:val="17"/>
                <w:color w:val="auto"/>
              </w:rPr>
              <w:t>Net gains on securities</w:t>
            </w:r>
          </w:p>
        </w:tc>
        <w:tc>
          <w:tcPr>
            <w:tcW w:w="220" w:type="dxa"/>
            <w:vAlign w:val="bottom"/>
          </w:tcPr>
          <w:p>
            <w:pPr>
              <w:spacing w:after="0"/>
              <w:rPr>
                <w:sz w:val="17"/>
                <w:szCs w:val="17"/>
                <w:color w:val="auto"/>
              </w:rPr>
            </w:pPr>
          </w:p>
        </w:tc>
        <w:tc>
          <w:tcPr>
            <w:tcW w:w="1160" w:type="dxa"/>
            <w:vAlign w:val="bottom"/>
            <w:gridSpan w:val="2"/>
          </w:tcPr>
          <w:p>
            <w:pPr>
              <w:jc w:val="right"/>
              <w:ind w:right="95"/>
              <w:spacing w:after="0"/>
              <w:rPr>
                <w:sz w:val="20"/>
                <w:szCs w:val="20"/>
                <w:color w:val="auto"/>
              </w:rPr>
            </w:pPr>
            <w:r>
              <w:rPr>
                <w:rFonts w:ascii="Arial" w:cs="Arial" w:eastAsia="Arial" w:hAnsi="Arial"/>
                <w:sz w:val="17"/>
                <w:szCs w:val="17"/>
                <w:color w:val="auto"/>
              </w:rPr>
              <w:t>(347)</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(52)</w:t>
            </w:r>
          </w:p>
        </w:tc>
      </w:tr>
      <w:tr>
        <w:trPr>
          <w:trHeight w:val="204"/>
        </w:trPr>
        <w:tc>
          <w:tcPr>
            <w:tcW w:w="20" w:type="dxa"/>
            <w:vAlign w:val="bottom"/>
          </w:tcPr>
          <w:p>
            <w:pPr>
              <w:spacing w:after="0"/>
              <w:rPr>
                <w:sz w:val="17"/>
                <w:szCs w:val="17"/>
                <w:color w:val="auto"/>
              </w:rPr>
            </w:pPr>
          </w:p>
        </w:tc>
        <w:tc>
          <w:tcPr>
            <w:tcW w:w="8780" w:type="dxa"/>
            <w:vAlign w:val="bottom"/>
            <w:tcBorders>
              <w:right w:val="single" w:sz="8" w:color="CCEEFF"/>
            </w:tcBorders>
            <w:gridSpan w:val="4"/>
            <w:shd w:val="clear" w:color="auto" w:fill="CCEEFF"/>
          </w:tcPr>
          <w:p>
            <w:pPr>
              <w:ind w:left="140"/>
              <w:spacing w:after="0"/>
              <w:rPr>
                <w:sz w:val="20"/>
                <w:szCs w:val="20"/>
                <w:color w:val="auto"/>
              </w:rPr>
            </w:pPr>
            <w:r>
              <w:rPr>
                <w:rFonts w:ascii="Arial" w:cs="Arial" w:eastAsia="Arial" w:hAnsi="Arial"/>
                <w:sz w:val="17"/>
                <w:szCs w:val="17"/>
                <w:color w:val="auto"/>
              </w:rPr>
              <w:t>Net gains on other real estate and repossessed assets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(165)</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(178)</w:t>
            </w:r>
          </w:p>
        </w:tc>
      </w:tr>
      <w:tr>
        <w:trPr>
          <w:trHeight w:val="204"/>
        </w:trPr>
        <w:tc>
          <w:tcPr>
            <w:tcW w:w="20" w:type="dxa"/>
            <w:vAlign w:val="bottom"/>
          </w:tcPr>
          <w:p>
            <w:pPr>
              <w:spacing w:after="0"/>
              <w:rPr>
                <w:sz w:val="17"/>
                <w:szCs w:val="17"/>
                <w:color w:val="auto"/>
              </w:rPr>
            </w:pPr>
          </w:p>
        </w:tc>
        <w:tc>
          <w:tcPr>
            <w:tcW w:w="8780" w:type="dxa"/>
            <w:vAlign w:val="bottom"/>
            <w:gridSpan w:val="4"/>
          </w:tcPr>
          <w:p>
            <w:pPr>
              <w:ind w:left="140"/>
              <w:spacing w:after="0"/>
              <w:rPr>
                <w:sz w:val="20"/>
                <w:szCs w:val="20"/>
                <w:color w:val="auto"/>
              </w:rPr>
            </w:pPr>
            <w:r>
              <w:rPr>
                <w:rFonts w:ascii="Arial" w:cs="Arial" w:eastAsia="Arial" w:hAnsi="Arial"/>
                <w:sz w:val="17"/>
                <w:szCs w:val="17"/>
                <w:color w:val="auto"/>
              </w:rPr>
              <w:t>Vehicle service contract counterparty contingencies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8780" w:type="dxa"/>
            <w:vAlign w:val="bottom"/>
            <w:tcBorders>
              <w:right w:val="single" w:sz="8" w:color="CCEEFF"/>
            </w:tcBorders>
            <w:gridSpan w:val="4"/>
            <w:shd w:val="clear" w:color="auto" w:fill="CCEEFF"/>
          </w:tcPr>
          <w:p>
            <w:pPr>
              <w:ind w:left="140"/>
              <w:spacing w:after="0"/>
              <w:rPr>
                <w:sz w:val="20"/>
                <w:szCs w:val="20"/>
                <w:color w:val="auto"/>
              </w:rPr>
            </w:pPr>
            <w:r>
              <w:rPr>
                <w:rFonts w:ascii="Arial" w:cs="Arial" w:eastAsia="Arial" w:hAnsi="Arial"/>
                <w:sz w:val="17"/>
                <w:szCs w:val="17"/>
                <w:color w:val="auto"/>
              </w:rPr>
              <w:t>Share based compensation</w:t>
            </w: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772</w:t>
            </w:r>
          </w:p>
        </w:tc>
      </w:tr>
      <w:tr>
        <w:trPr>
          <w:trHeight w:val="204"/>
        </w:trPr>
        <w:tc>
          <w:tcPr>
            <w:tcW w:w="20" w:type="dxa"/>
            <w:vAlign w:val="bottom"/>
          </w:tcPr>
          <w:p>
            <w:pPr>
              <w:spacing w:after="0"/>
              <w:rPr>
                <w:sz w:val="17"/>
                <w:szCs w:val="17"/>
                <w:color w:val="auto"/>
              </w:rPr>
            </w:pPr>
          </w:p>
        </w:tc>
        <w:tc>
          <w:tcPr>
            <w:tcW w:w="8780" w:type="dxa"/>
            <w:vAlign w:val="bottom"/>
            <w:gridSpan w:val="4"/>
          </w:tcPr>
          <w:p>
            <w:pPr>
              <w:ind w:left="140"/>
              <w:spacing w:after="0"/>
              <w:rPr>
                <w:sz w:val="20"/>
                <w:szCs w:val="20"/>
                <w:color w:val="auto"/>
              </w:rPr>
            </w:pPr>
            <w:r>
              <w:rPr>
                <w:rFonts w:ascii="Arial" w:cs="Arial" w:eastAsia="Arial" w:hAnsi="Arial"/>
                <w:sz w:val="17"/>
                <w:szCs w:val="17"/>
                <w:color w:val="auto"/>
              </w:rPr>
              <w:t>(Increase) decrease in accrued income and other assets</w:t>
            </w:r>
          </w:p>
        </w:tc>
        <w:tc>
          <w:tcPr>
            <w:tcW w:w="220" w:type="dxa"/>
            <w:vAlign w:val="bottom"/>
          </w:tcPr>
          <w:p>
            <w:pPr>
              <w:spacing w:after="0"/>
              <w:rPr>
                <w:sz w:val="17"/>
                <w:szCs w:val="17"/>
                <w:color w:val="auto"/>
              </w:rPr>
            </w:pPr>
          </w:p>
        </w:tc>
        <w:tc>
          <w:tcPr>
            <w:tcW w:w="1160" w:type="dxa"/>
            <w:vAlign w:val="bottom"/>
            <w:gridSpan w:val="2"/>
          </w:tcPr>
          <w:p>
            <w:pPr>
              <w:jc w:val="right"/>
              <w:ind w:right="95"/>
              <w:spacing w:after="0"/>
              <w:rPr>
                <w:sz w:val="20"/>
                <w:szCs w:val="20"/>
                <w:color w:val="auto"/>
              </w:rPr>
            </w:pPr>
            <w:r>
              <w:rPr>
                <w:rFonts w:ascii="Arial" w:cs="Arial" w:eastAsia="Arial" w:hAnsi="Arial"/>
                <w:sz w:val="17"/>
                <w:szCs w:val="17"/>
                <w:color w:val="auto"/>
              </w:rPr>
              <w:t>(1,051)</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551</w:t>
            </w:r>
          </w:p>
        </w:tc>
      </w:tr>
      <w:tr>
        <w:trPr>
          <w:trHeight w:val="204"/>
        </w:trPr>
        <w:tc>
          <w:tcPr>
            <w:tcW w:w="20" w:type="dxa"/>
            <w:vAlign w:val="bottom"/>
          </w:tcPr>
          <w:p>
            <w:pPr>
              <w:spacing w:after="0"/>
              <w:rPr>
                <w:sz w:val="17"/>
                <w:szCs w:val="17"/>
                <w:color w:val="auto"/>
              </w:rPr>
            </w:pPr>
          </w:p>
        </w:tc>
        <w:tc>
          <w:tcPr>
            <w:tcW w:w="8780" w:type="dxa"/>
            <w:vAlign w:val="bottom"/>
            <w:tcBorders>
              <w:right w:val="single" w:sz="8" w:color="CCEEFF"/>
            </w:tcBorders>
            <w:gridSpan w:val="4"/>
            <w:shd w:val="clear" w:color="auto" w:fill="CCEEFF"/>
          </w:tcPr>
          <w:p>
            <w:pPr>
              <w:ind w:left="140"/>
              <w:spacing w:after="0"/>
              <w:rPr>
                <w:sz w:val="20"/>
                <w:szCs w:val="20"/>
                <w:color w:val="auto"/>
              </w:rPr>
            </w:pPr>
            <w:r>
              <w:rPr>
                <w:rFonts w:ascii="Arial" w:cs="Arial" w:eastAsia="Arial" w:hAnsi="Arial"/>
                <w:sz w:val="17"/>
                <w:szCs w:val="17"/>
                <w:color w:val="auto"/>
              </w:rPr>
              <w:t>Increase (decrease) in accrued expenses and other liabilities</w:t>
            </w: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2,639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(894)</w:t>
            </w:r>
          </w:p>
        </w:tc>
      </w:tr>
      <w:tr>
        <w:trPr>
          <w:trHeight w:val="25"/>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13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840" w:type="dxa"/>
            <w:vAlign w:val="bottom"/>
            <w:gridSpan w:val="2"/>
          </w:tcPr>
          <w:p>
            <w:pPr>
              <w:jc w:val="right"/>
              <w:ind w:right="120"/>
              <w:spacing w:after="0"/>
              <w:rPr>
                <w:sz w:val="20"/>
                <w:szCs w:val="20"/>
                <w:color w:val="auto"/>
              </w:rPr>
            </w:pPr>
            <w:r>
              <w:rPr>
                <w:rFonts w:ascii="Arial" w:cs="Arial" w:eastAsia="Arial" w:hAnsi="Arial"/>
                <w:sz w:val="17"/>
                <w:szCs w:val="17"/>
                <w:color w:val="auto"/>
              </w:rPr>
              <w:t>Total Adjustments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3,964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(1,618)</w:t>
            </w:r>
          </w:p>
        </w:tc>
      </w:tr>
      <w:tr>
        <w:trPr>
          <w:trHeight w:val="209"/>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4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Net Cash From Operating Activities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14,502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7,782</w:t>
            </w:r>
          </w:p>
        </w:tc>
        <w:tc>
          <w:tcPr>
            <w:tcW w:w="100" w:type="dxa"/>
            <w:vAlign w:val="bottom"/>
            <w:shd w:val="clear" w:color="auto" w:fill="CCEEFF"/>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8780" w:type="dxa"/>
            <w:vAlign w:val="bottom"/>
            <w:tcBorders>
              <w:top w:val="single" w:sz="8" w:color="CCEEFF"/>
            </w:tcBorders>
            <w:gridSpan w:val="4"/>
          </w:tcPr>
          <w:p>
            <w:pPr>
              <w:spacing w:after="0"/>
              <w:rPr>
                <w:sz w:val="20"/>
                <w:szCs w:val="20"/>
                <w:color w:val="auto"/>
              </w:rPr>
            </w:pPr>
            <w:r>
              <w:rPr>
                <w:rFonts w:ascii="Arial" w:cs="Arial" w:eastAsia="Arial" w:hAnsi="Arial"/>
                <w:sz w:val="17"/>
                <w:szCs w:val="17"/>
                <w:color w:val="auto"/>
              </w:rPr>
              <w:t>Cash Flow Used in Investing Activities</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8780" w:type="dxa"/>
            <w:vAlign w:val="bottom"/>
            <w:tcBorders>
              <w:right w:val="single" w:sz="8" w:color="CCEEFF"/>
            </w:tcBorders>
            <w:gridSpan w:val="4"/>
            <w:shd w:val="clear" w:color="auto" w:fill="CCEEFF"/>
          </w:tcPr>
          <w:p>
            <w:pPr>
              <w:ind w:left="140"/>
              <w:spacing w:after="0"/>
              <w:rPr>
                <w:sz w:val="20"/>
                <w:szCs w:val="20"/>
                <w:color w:val="auto"/>
              </w:rPr>
            </w:pPr>
            <w:r>
              <w:rPr>
                <w:rFonts w:ascii="Arial" w:cs="Arial" w:eastAsia="Arial" w:hAnsi="Arial"/>
                <w:sz w:val="17"/>
                <w:szCs w:val="17"/>
                <w:color w:val="auto"/>
              </w:rPr>
              <w:t>Proceeds from the sale of securities available for sale</w:t>
            </w: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55,362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11,786</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8780" w:type="dxa"/>
            <w:vAlign w:val="bottom"/>
            <w:gridSpan w:val="4"/>
          </w:tcPr>
          <w:p>
            <w:pPr>
              <w:ind w:left="140"/>
              <w:spacing w:after="0"/>
              <w:rPr>
                <w:sz w:val="20"/>
                <w:szCs w:val="20"/>
                <w:color w:val="auto"/>
              </w:rPr>
            </w:pPr>
            <w:r>
              <w:rPr>
                <w:rFonts w:ascii="Arial" w:cs="Arial" w:eastAsia="Arial" w:hAnsi="Arial"/>
                <w:sz w:val="17"/>
                <w:szCs w:val="17"/>
                <w:color w:val="auto"/>
              </w:rPr>
              <w:t>Proceeds from the maturity of securities available for sale</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21,413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16,047</w:t>
            </w:r>
          </w:p>
        </w:tc>
      </w:tr>
      <w:tr>
        <w:trPr>
          <w:trHeight w:val="204"/>
        </w:trPr>
        <w:tc>
          <w:tcPr>
            <w:tcW w:w="20" w:type="dxa"/>
            <w:vAlign w:val="bottom"/>
          </w:tcPr>
          <w:p>
            <w:pPr>
              <w:spacing w:after="0"/>
              <w:rPr>
                <w:sz w:val="17"/>
                <w:szCs w:val="17"/>
                <w:color w:val="auto"/>
              </w:rPr>
            </w:pPr>
          </w:p>
        </w:tc>
        <w:tc>
          <w:tcPr>
            <w:tcW w:w="8780" w:type="dxa"/>
            <w:vAlign w:val="bottom"/>
            <w:tcBorders>
              <w:right w:val="single" w:sz="8" w:color="CCEEFF"/>
            </w:tcBorders>
            <w:gridSpan w:val="4"/>
            <w:shd w:val="clear" w:color="auto" w:fill="CCEEFF"/>
          </w:tcPr>
          <w:p>
            <w:pPr>
              <w:ind w:left="140"/>
              <w:spacing w:after="0"/>
              <w:rPr>
                <w:sz w:val="20"/>
                <w:szCs w:val="20"/>
                <w:color w:val="auto"/>
              </w:rPr>
            </w:pPr>
            <w:r>
              <w:rPr>
                <w:rFonts w:ascii="Arial" w:cs="Arial" w:eastAsia="Arial" w:hAnsi="Arial"/>
                <w:sz w:val="17"/>
                <w:szCs w:val="17"/>
                <w:color w:val="auto"/>
              </w:rPr>
              <w:t>Principal payments received on securities available for sale</w:t>
            </w: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74,212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58,587</w:t>
            </w:r>
          </w:p>
        </w:tc>
      </w:tr>
      <w:tr>
        <w:trPr>
          <w:trHeight w:val="204"/>
        </w:trPr>
        <w:tc>
          <w:tcPr>
            <w:tcW w:w="20" w:type="dxa"/>
            <w:vAlign w:val="bottom"/>
          </w:tcPr>
          <w:p>
            <w:pPr>
              <w:spacing w:after="0"/>
              <w:rPr>
                <w:sz w:val="17"/>
                <w:szCs w:val="17"/>
                <w:color w:val="auto"/>
              </w:rPr>
            </w:pPr>
          </w:p>
        </w:tc>
        <w:tc>
          <w:tcPr>
            <w:tcW w:w="8780" w:type="dxa"/>
            <w:vAlign w:val="bottom"/>
            <w:gridSpan w:val="4"/>
          </w:tcPr>
          <w:p>
            <w:pPr>
              <w:ind w:left="140"/>
              <w:spacing w:after="0"/>
              <w:rPr>
                <w:sz w:val="20"/>
                <w:szCs w:val="20"/>
                <w:color w:val="auto"/>
              </w:rPr>
            </w:pPr>
            <w:r>
              <w:rPr>
                <w:rFonts w:ascii="Arial" w:cs="Arial" w:eastAsia="Arial" w:hAnsi="Arial"/>
                <w:sz w:val="17"/>
                <w:szCs w:val="17"/>
                <w:color w:val="auto"/>
              </w:rPr>
              <w:t>Purchases of securities available for sale</w:t>
            </w:r>
          </w:p>
        </w:tc>
        <w:tc>
          <w:tcPr>
            <w:tcW w:w="220" w:type="dxa"/>
            <w:vAlign w:val="bottom"/>
          </w:tcPr>
          <w:p>
            <w:pPr>
              <w:spacing w:after="0"/>
              <w:rPr>
                <w:sz w:val="17"/>
                <w:szCs w:val="17"/>
                <w:color w:val="auto"/>
              </w:rPr>
            </w:pPr>
          </w:p>
        </w:tc>
        <w:tc>
          <w:tcPr>
            <w:tcW w:w="1160" w:type="dxa"/>
            <w:vAlign w:val="bottom"/>
            <w:gridSpan w:val="2"/>
          </w:tcPr>
          <w:p>
            <w:pPr>
              <w:jc w:val="right"/>
              <w:ind w:right="95"/>
              <w:spacing w:after="0"/>
              <w:rPr>
                <w:sz w:val="20"/>
                <w:szCs w:val="20"/>
                <w:color w:val="auto"/>
              </w:rPr>
            </w:pPr>
            <w:r>
              <w:rPr>
                <w:rFonts w:ascii="Arial" w:cs="Arial" w:eastAsia="Arial" w:hAnsi="Arial"/>
                <w:sz w:val="17"/>
                <w:szCs w:val="17"/>
                <w:color w:val="auto"/>
              </w:rPr>
              <w:t>(159,698)</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(111,908)</w:t>
            </w:r>
          </w:p>
        </w:tc>
      </w:tr>
      <w:tr>
        <w:trPr>
          <w:trHeight w:val="204"/>
        </w:trPr>
        <w:tc>
          <w:tcPr>
            <w:tcW w:w="20" w:type="dxa"/>
            <w:vAlign w:val="bottom"/>
          </w:tcPr>
          <w:p>
            <w:pPr>
              <w:spacing w:after="0"/>
              <w:rPr>
                <w:sz w:val="17"/>
                <w:szCs w:val="17"/>
                <w:color w:val="auto"/>
              </w:rPr>
            </w:pPr>
          </w:p>
        </w:tc>
        <w:tc>
          <w:tcPr>
            <w:tcW w:w="8780" w:type="dxa"/>
            <w:vAlign w:val="bottom"/>
            <w:tcBorders>
              <w:right w:val="single" w:sz="8" w:color="CCEEFF"/>
            </w:tcBorders>
            <w:gridSpan w:val="4"/>
            <w:shd w:val="clear" w:color="auto" w:fill="CCEEFF"/>
          </w:tcPr>
          <w:p>
            <w:pPr>
              <w:ind w:left="140"/>
              <w:spacing w:after="0"/>
              <w:rPr>
                <w:sz w:val="20"/>
                <w:szCs w:val="20"/>
                <w:color w:val="auto"/>
              </w:rPr>
            </w:pPr>
            <w:r>
              <w:rPr>
                <w:rFonts w:ascii="Arial" w:cs="Arial" w:eastAsia="Arial" w:hAnsi="Arial"/>
                <w:sz w:val="17"/>
                <w:szCs w:val="17"/>
                <w:color w:val="auto"/>
              </w:rPr>
              <w:t>Purchases of interest bearing deposits - time</w:t>
            </w: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(245)</w:t>
            </w:r>
          </w:p>
        </w:tc>
      </w:tr>
      <w:tr>
        <w:trPr>
          <w:trHeight w:val="204"/>
        </w:trPr>
        <w:tc>
          <w:tcPr>
            <w:tcW w:w="20" w:type="dxa"/>
            <w:vAlign w:val="bottom"/>
          </w:tcPr>
          <w:p>
            <w:pPr>
              <w:spacing w:after="0"/>
              <w:rPr>
                <w:sz w:val="17"/>
                <w:szCs w:val="17"/>
                <w:color w:val="auto"/>
              </w:rPr>
            </w:pPr>
          </w:p>
        </w:tc>
        <w:tc>
          <w:tcPr>
            <w:tcW w:w="8780" w:type="dxa"/>
            <w:vAlign w:val="bottom"/>
            <w:gridSpan w:val="4"/>
          </w:tcPr>
          <w:p>
            <w:pPr>
              <w:ind w:left="140"/>
              <w:spacing w:after="0"/>
              <w:rPr>
                <w:sz w:val="20"/>
                <w:szCs w:val="20"/>
                <w:color w:val="auto"/>
              </w:rPr>
            </w:pPr>
            <w:r>
              <w:rPr>
                <w:rFonts w:ascii="Arial" w:cs="Arial" w:eastAsia="Arial" w:hAnsi="Arial"/>
                <w:sz w:val="17"/>
                <w:szCs w:val="17"/>
                <w:color w:val="auto"/>
              </w:rPr>
              <w:t>Proceeds from the maturity of interest bearing deposits - time</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3,290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2,915</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8780" w:type="dxa"/>
            <w:vAlign w:val="bottom"/>
            <w:tcBorders>
              <w:right w:val="single" w:sz="8" w:color="CCEEFF"/>
            </w:tcBorders>
            <w:gridSpan w:val="4"/>
            <w:shd w:val="clear" w:color="auto" w:fill="CCEEFF"/>
          </w:tcPr>
          <w:p>
            <w:pPr>
              <w:ind w:left="140"/>
              <w:spacing w:after="0"/>
              <w:rPr>
                <w:sz w:val="20"/>
                <w:szCs w:val="20"/>
                <w:color w:val="auto"/>
              </w:rPr>
            </w:pPr>
            <w:r>
              <w:rPr>
                <w:rFonts w:ascii="Arial" w:cs="Arial" w:eastAsia="Arial" w:hAnsi="Arial"/>
                <w:sz w:val="17"/>
                <w:szCs w:val="17"/>
                <w:color w:val="auto"/>
              </w:rPr>
              <w:t>Purchase of Federal Reserve Bank stock</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(129)</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(132)</w:t>
            </w:r>
          </w:p>
        </w:tc>
      </w:tr>
      <w:tr>
        <w:trPr>
          <w:trHeight w:val="204"/>
        </w:trPr>
        <w:tc>
          <w:tcPr>
            <w:tcW w:w="20" w:type="dxa"/>
            <w:vAlign w:val="bottom"/>
          </w:tcPr>
          <w:p>
            <w:pPr>
              <w:spacing w:after="0"/>
              <w:rPr>
                <w:sz w:val="17"/>
                <w:szCs w:val="17"/>
                <w:color w:val="auto"/>
              </w:rPr>
            </w:pPr>
          </w:p>
        </w:tc>
        <w:tc>
          <w:tcPr>
            <w:tcW w:w="8780" w:type="dxa"/>
            <w:vAlign w:val="bottom"/>
            <w:gridSpan w:val="4"/>
          </w:tcPr>
          <w:p>
            <w:pPr>
              <w:ind w:left="140"/>
              <w:spacing w:after="0"/>
              <w:rPr>
                <w:sz w:val="20"/>
                <w:szCs w:val="20"/>
                <w:color w:val="auto"/>
              </w:rPr>
            </w:pPr>
            <w:r>
              <w:rPr>
                <w:rFonts w:ascii="Arial" w:cs="Arial" w:eastAsia="Arial" w:hAnsi="Arial"/>
                <w:sz w:val="17"/>
                <w:szCs w:val="17"/>
                <w:color w:val="auto"/>
              </w:rPr>
              <w:t>Redemption of Federal Reserve Bank stock</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371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391</w:t>
            </w:r>
          </w:p>
        </w:tc>
      </w:tr>
      <w:tr>
        <w:trPr>
          <w:trHeight w:val="204"/>
        </w:trPr>
        <w:tc>
          <w:tcPr>
            <w:tcW w:w="20" w:type="dxa"/>
            <w:vAlign w:val="bottom"/>
          </w:tcPr>
          <w:p>
            <w:pPr>
              <w:spacing w:after="0"/>
              <w:rPr>
                <w:sz w:val="17"/>
                <w:szCs w:val="17"/>
                <w:color w:val="auto"/>
              </w:rPr>
            </w:pPr>
          </w:p>
        </w:tc>
        <w:tc>
          <w:tcPr>
            <w:tcW w:w="8780" w:type="dxa"/>
            <w:vAlign w:val="bottom"/>
            <w:tcBorders>
              <w:right w:val="single" w:sz="8" w:color="CCEEFF"/>
            </w:tcBorders>
            <w:gridSpan w:val="4"/>
            <w:shd w:val="clear" w:color="auto" w:fill="CCEEFF"/>
          </w:tcPr>
          <w:p>
            <w:pPr>
              <w:ind w:left="140"/>
              <w:spacing w:after="0"/>
              <w:rPr>
                <w:sz w:val="20"/>
                <w:szCs w:val="20"/>
                <w:color w:val="auto"/>
              </w:rPr>
            </w:pPr>
            <w:r>
              <w:rPr>
                <w:rFonts w:ascii="Arial" w:cs="Arial" w:eastAsia="Arial" w:hAnsi="Arial"/>
                <w:sz w:val="17"/>
                <w:szCs w:val="17"/>
                <w:color w:val="auto"/>
              </w:rPr>
              <w:t>Redemption of Federal Home Loan Bank stock</w:t>
            </w: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4,514</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8780" w:type="dxa"/>
            <w:vAlign w:val="bottom"/>
            <w:gridSpan w:val="4"/>
          </w:tcPr>
          <w:p>
            <w:pPr>
              <w:ind w:left="140"/>
              <w:spacing w:after="0"/>
              <w:rPr>
                <w:sz w:val="20"/>
                <w:szCs w:val="20"/>
                <w:color w:val="auto"/>
              </w:rPr>
            </w:pPr>
            <w:r>
              <w:rPr>
                <w:rFonts w:ascii="Arial" w:cs="Arial" w:eastAsia="Arial" w:hAnsi="Arial"/>
                <w:sz w:val="17"/>
                <w:szCs w:val="17"/>
                <w:color w:val="auto"/>
              </w:rPr>
              <w:t>Net increase in portfolio loans (loans originated, net of principal payments)</w:t>
            </w:r>
          </w:p>
        </w:tc>
        <w:tc>
          <w:tcPr>
            <w:tcW w:w="220" w:type="dxa"/>
            <w:vAlign w:val="bottom"/>
          </w:tcPr>
          <w:p>
            <w:pPr>
              <w:spacing w:after="0"/>
              <w:rPr>
                <w:sz w:val="17"/>
                <w:szCs w:val="17"/>
                <w:color w:val="auto"/>
              </w:rPr>
            </w:pPr>
          </w:p>
        </w:tc>
        <w:tc>
          <w:tcPr>
            <w:tcW w:w="1160" w:type="dxa"/>
            <w:vAlign w:val="bottom"/>
            <w:gridSpan w:val="2"/>
          </w:tcPr>
          <w:p>
            <w:pPr>
              <w:jc w:val="right"/>
              <w:ind w:right="95"/>
              <w:spacing w:after="0"/>
              <w:rPr>
                <w:sz w:val="20"/>
                <w:szCs w:val="20"/>
                <w:color w:val="auto"/>
              </w:rPr>
            </w:pPr>
            <w:r>
              <w:rPr>
                <w:rFonts w:ascii="Arial" w:cs="Arial" w:eastAsia="Arial" w:hAnsi="Arial"/>
                <w:sz w:val="17"/>
                <w:szCs w:val="17"/>
                <w:color w:val="auto"/>
              </w:rPr>
              <w:t>(64,236)</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(39,442)</w:t>
            </w:r>
          </w:p>
        </w:tc>
      </w:tr>
      <w:tr>
        <w:trPr>
          <w:trHeight w:val="204"/>
        </w:trPr>
        <w:tc>
          <w:tcPr>
            <w:tcW w:w="20" w:type="dxa"/>
            <w:vAlign w:val="bottom"/>
          </w:tcPr>
          <w:p>
            <w:pPr>
              <w:spacing w:after="0"/>
              <w:rPr>
                <w:sz w:val="17"/>
                <w:szCs w:val="17"/>
                <w:color w:val="auto"/>
              </w:rPr>
            </w:pPr>
          </w:p>
        </w:tc>
        <w:tc>
          <w:tcPr>
            <w:tcW w:w="8780" w:type="dxa"/>
            <w:vAlign w:val="bottom"/>
            <w:tcBorders>
              <w:right w:val="single" w:sz="8" w:color="CCEEFF"/>
            </w:tcBorders>
            <w:gridSpan w:val="4"/>
            <w:shd w:val="clear" w:color="auto" w:fill="CCEEFF"/>
          </w:tcPr>
          <w:p>
            <w:pPr>
              <w:ind w:left="140"/>
              <w:spacing w:after="0"/>
              <w:rPr>
                <w:sz w:val="20"/>
                <w:szCs w:val="20"/>
                <w:color w:val="auto"/>
              </w:rPr>
            </w:pPr>
            <w:r>
              <w:rPr>
                <w:rFonts w:ascii="Arial" w:cs="Arial" w:eastAsia="Arial" w:hAnsi="Arial"/>
                <w:sz w:val="17"/>
                <w:szCs w:val="17"/>
                <w:color w:val="auto"/>
              </w:rPr>
              <w:t>Proceeds from the collection of vehicle service contract counterparty receivables</w:t>
            </w: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4,458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8780" w:type="dxa"/>
            <w:vAlign w:val="bottom"/>
            <w:gridSpan w:val="4"/>
          </w:tcPr>
          <w:p>
            <w:pPr>
              <w:ind w:left="140"/>
              <w:spacing w:after="0"/>
              <w:rPr>
                <w:sz w:val="20"/>
                <w:szCs w:val="20"/>
                <w:color w:val="auto"/>
              </w:rPr>
            </w:pPr>
            <w:r>
              <w:rPr>
                <w:rFonts w:ascii="Arial" w:cs="Arial" w:eastAsia="Arial" w:hAnsi="Arial"/>
                <w:sz w:val="17"/>
                <w:szCs w:val="17"/>
                <w:color w:val="auto"/>
              </w:rPr>
              <w:t>Proceeds from the sale of other real estate and repossessed assets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3,018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4,515</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8780" w:type="dxa"/>
            <w:vAlign w:val="bottom"/>
            <w:tcBorders>
              <w:right w:val="single" w:sz="8" w:color="CCEEFF"/>
            </w:tcBorders>
            <w:gridSpan w:val="4"/>
            <w:shd w:val="clear" w:color="auto" w:fill="CCEEFF"/>
          </w:tcPr>
          <w:p>
            <w:pPr>
              <w:ind w:left="140"/>
              <w:spacing w:after="0"/>
              <w:rPr>
                <w:sz w:val="20"/>
                <w:szCs w:val="20"/>
                <w:color w:val="auto"/>
              </w:rPr>
            </w:pPr>
            <w:r>
              <w:rPr>
                <w:rFonts w:ascii="Arial" w:cs="Arial" w:eastAsia="Arial" w:hAnsi="Arial"/>
                <w:sz w:val="17"/>
                <w:szCs w:val="17"/>
                <w:color w:val="auto"/>
              </w:rPr>
              <w:t>Proceeds from life insurance</w:t>
            </w: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8780" w:type="dxa"/>
            <w:vAlign w:val="bottom"/>
            <w:gridSpan w:val="4"/>
          </w:tcPr>
          <w:p>
            <w:pPr>
              <w:ind w:left="140"/>
              <w:spacing w:after="0"/>
              <w:rPr>
                <w:sz w:val="20"/>
                <w:szCs w:val="20"/>
                <w:color w:val="auto"/>
              </w:rPr>
            </w:pPr>
            <w:r>
              <w:rPr>
                <w:rFonts w:ascii="Arial" w:cs="Arial" w:eastAsia="Arial" w:hAnsi="Arial"/>
                <w:sz w:val="17"/>
                <w:szCs w:val="17"/>
                <w:color w:val="auto"/>
              </w:rPr>
              <w:t>Proceeds from the sale of property and equipment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490</w:t>
            </w:r>
          </w:p>
        </w:tc>
      </w:tr>
      <w:tr>
        <w:trPr>
          <w:trHeight w:val="204"/>
        </w:trPr>
        <w:tc>
          <w:tcPr>
            <w:tcW w:w="20" w:type="dxa"/>
            <w:vAlign w:val="bottom"/>
          </w:tcPr>
          <w:p>
            <w:pPr>
              <w:spacing w:after="0"/>
              <w:rPr>
                <w:sz w:val="17"/>
                <w:szCs w:val="17"/>
                <w:color w:val="auto"/>
              </w:rPr>
            </w:pPr>
          </w:p>
        </w:tc>
        <w:tc>
          <w:tcPr>
            <w:tcW w:w="8780" w:type="dxa"/>
            <w:vAlign w:val="bottom"/>
            <w:tcBorders>
              <w:right w:val="single" w:sz="8" w:color="CCEEFF"/>
            </w:tcBorders>
            <w:gridSpan w:val="4"/>
            <w:shd w:val="clear" w:color="auto" w:fill="CCEEFF"/>
          </w:tcPr>
          <w:p>
            <w:pPr>
              <w:ind w:left="140"/>
              <w:spacing w:after="0"/>
              <w:rPr>
                <w:sz w:val="20"/>
                <w:szCs w:val="20"/>
                <w:color w:val="auto"/>
              </w:rPr>
            </w:pPr>
            <w:r>
              <w:rPr>
                <w:rFonts w:ascii="Arial" w:cs="Arial" w:eastAsia="Arial" w:hAnsi="Arial"/>
                <w:sz w:val="17"/>
                <w:szCs w:val="17"/>
                <w:color w:val="auto"/>
              </w:rPr>
              <w:t>Capital expenditures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(990)</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(1,898)</w:t>
            </w:r>
          </w:p>
        </w:tc>
      </w:tr>
      <w:tr>
        <w:trPr>
          <w:trHeight w:val="25"/>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13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840" w:type="dxa"/>
            <w:vAlign w:val="bottom"/>
            <w:gridSpan w:val="2"/>
          </w:tcPr>
          <w:p>
            <w:pPr>
              <w:jc w:val="right"/>
              <w:ind w:right="120"/>
              <w:spacing w:after="0"/>
              <w:rPr>
                <w:sz w:val="20"/>
                <w:szCs w:val="20"/>
                <w:color w:val="auto"/>
              </w:rPr>
            </w:pPr>
            <w:r>
              <w:rPr>
                <w:rFonts w:ascii="Arial" w:cs="Arial" w:eastAsia="Arial" w:hAnsi="Arial"/>
                <w:sz w:val="17"/>
                <w:szCs w:val="17"/>
                <w:color w:val="auto"/>
              </w:rPr>
              <w:t>Net Cash Used in Investing Activities</w:t>
            </w:r>
          </w:p>
        </w:tc>
        <w:tc>
          <w:tcPr>
            <w:tcW w:w="220" w:type="dxa"/>
            <w:vAlign w:val="bottom"/>
          </w:tcPr>
          <w:p>
            <w:pPr>
              <w:spacing w:after="0"/>
              <w:rPr>
                <w:sz w:val="18"/>
                <w:szCs w:val="18"/>
                <w:color w:val="auto"/>
              </w:rPr>
            </w:pPr>
          </w:p>
        </w:tc>
        <w:tc>
          <w:tcPr>
            <w:tcW w:w="1160" w:type="dxa"/>
            <w:vAlign w:val="bottom"/>
            <w:gridSpan w:val="2"/>
          </w:tcPr>
          <w:p>
            <w:pPr>
              <w:jc w:val="right"/>
              <w:ind w:right="95"/>
              <w:spacing w:after="0"/>
              <w:rPr>
                <w:sz w:val="20"/>
                <w:szCs w:val="20"/>
                <w:color w:val="auto"/>
              </w:rPr>
            </w:pPr>
            <w:r>
              <w:rPr>
                <w:rFonts w:ascii="Arial" w:cs="Arial" w:eastAsia="Arial" w:hAnsi="Arial"/>
                <w:sz w:val="17"/>
                <w:szCs w:val="17"/>
                <w:color w:val="auto"/>
              </w:rPr>
              <w:t>(62,164)</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(54,365)</w:t>
            </w:r>
          </w:p>
        </w:tc>
      </w:tr>
      <w:tr>
        <w:trPr>
          <w:trHeight w:val="204"/>
        </w:trPr>
        <w:tc>
          <w:tcPr>
            <w:tcW w:w="20" w:type="dxa"/>
            <w:vAlign w:val="bottom"/>
          </w:tcPr>
          <w:p>
            <w:pPr>
              <w:spacing w:after="0"/>
              <w:rPr>
                <w:sz w:val="17"/>
                <w:szCs w:val="17"/>
                <w:color w:val="auto"/>
              </w:rPr>
            </w:pPr>
          </w:p>
        </w:tc>
        <w:tc>
          <w:tcPr>
            <w:tcW w:w="878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Cash Flow From Financing Activities</w:t>
            </w: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8780" w:type="dxa"/>
            <w:vAlign w:val="bottom"/>
            <w:gridSpan w:val="4"/>
          </w:tcPr>
          <w:p>
            <w:pPr>
              <w:ind w:left="140"/>
              <w:spacing w:after="0"/>
              <w:rPr>
                <w:sz w:val="20"/>
                <w:szCs w:val="20"/>
                <w:color w:val="auto"/>
              </w:rPr>
            </w:pPr>
            <w:r>
              <w:rPr>
                <w:rFonts w:ascii="Arial" w:cs="Arial" w:eastAsia="Arial" w:hAnsi="Arial"/>
                <w:sz w:val="17"/>
                <w:szCs w:val="17"/>
                <w:color w:val="auto"/>
              </w:rPr>
              <w:t>Net increase in total deposits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42,329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37,115</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8780" w:type="dxa"/>
            <w:vAlign w:val="bottom"/>
            <w:tcBorders>
              <w:right w:val="single" w:sz="8" w:color="CCEEFF"/>
            </w:tcBorders>
            <w:gridSpan w:val="4"/>
            <w:shd w:val="clear" w:color="auto" w:fill="CCEEFF"/>
          </w:tcPr>
          <w:p>
            <w:pPr>
              <w:ind w:left="140"/>
              <w:spacing w:after="0"/>
              <w:rPr>
                <w:sz w:val="20"/>
                <w:szCs w:val="20"/>
                <w:color w:val="auto"/>
              </w:rPr>
            </w:pPr>
            <w:r>
              <w:rPr>
                <w:rFonts w:ascii="Arial" w:cs="Arial" w:eastAsia="Arial" w:hAnsi="Arial"/>
                <w:sz w:val="17"/>
                <w:szCs w:val="17"/>
                <w:color w:val="auto"/>
              </w:rPr>
              <w:t>Net decrease in other borrowings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r>
      <w:tr>
        <w:trPr>
          <w:trHeight w:val="204"/>
        </w:trPr>
        <w:tc>
          <w:tcPr>
            <w:tcW w:w="20" w:type="dxa"/>
            <w:vAlign w:val="bottom"/>
          </w:tcPr>
          <w:p>
            <w:pPr>
              <w:spacing w:after="0"/>
              <w:rPr>
                <w:sz w:val="17"/>
                <w:szCs w:val="17"/>
                <w:color w:val="auto"/>
              </w:rPr>
            </w:pPr>
          </w:p>
        </w:tc>
        <w:tc>
          <w:tcPr>
            <w:tcW w:w="8780" w:type="dxa"/>
            <w:vAlign w:val="bottom"/>
            <w:gridSpan w:val="4"/>
          </w:tcPr>
          <w:p>
            <w:pPr>
              <w:ind w:left="140"/>
              <w:spacing w:after="0"/>
              <w:rPr>
                <w:sz w:val="20"/>
                <w:szCs w:val="20"/>
                <w:color w:val="auto"/>
              </w:rPr>
            </w:pPr>
            <w:r>
              <w:rPr>
                <w:rFonts w:ascii="Arial" w:cs="Arial" w:eastAsia="Arial" w:hAnsi="Arial"/>
                <w:sz w:val="17"/>
                <w:szCs w:val="17"/>
                <w:color w:val="auto"/>
              </w:rPr>
              <w:t>Payments of Federal Home Loan Bank Advances</w:t>
            </w:r>
          </w:p>
        </w:tc>
        <w:tc>
          <w:tcPr>
            <w:tcW w:w="220" w:type="dxa"/>
            <w:vAlign w:val="bottom"/>
          </w:tcPr>
          <w:p>
            <w:pPr>
              <w:spacing w:after="0"/>
              <w:rPr>
                <w:sz w:val="17"/>
                <w:szCs w:val="17"/>
                <w:color w:val="auto"/>
              </w:rPr>
            </w:pPr>
          </w:p>
        </w:tc>
        <w:tc>
          <w:tcPr>
            <w:tcW w:w="1160" w:type="dxa"/>
            <w:vAlign w:val="bottom"/>
            <w:gridSpan w:val="2"/>
          </w:tcPr>
          <w:p>
            <w:pPr>
              <w:jc w:val="right"/>
              <w:ind w:right="95"/>
              <w:spacing w:after="0"/>
              <w:rPr>
                <w:sz w:val="20"/>
                <w:szCs w:val="20"/>
                <w:color w:val="auto"/>
              </w:rPr>
            </w:pPr>
            <w:r>
              <w:rPr>
                <w:rFonts w:ascii="Arial" w:cs="Arial" w:eastAsia="Arial" w:hAnsi="Arial"/>
                <w:sz w:val="17"/>
                <w:szCs w:val="17"/>
                <w:color w:val="auto"/>
              </w:rPr>
              <w:t>(156)</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(144)</w:t>
            </w:r>
          </w:p>
        </w:tc>
      </w:tr>
      <w:tr>
        <w:trPr>
          <w:trHeight w:val="204"/>
        </w:trPr>
        <w:tc>
          <w:tcPr>
            <w:tcW w:w="20" w:type="dxa"/>
            <w:vAlign w:val="bottom"/>
          </w:tcPr>
          <w:p>
            <w:pPr>
              <w:spacing w:after="0"/>
              <w:rPr>
                <w:sz w:val="17"/>
                <w:szCs w:val="17"/>
                <w:color w:val="auto"/>
              </w:rPr>
            </w:pPr>
          </w:p>
        </w:tc>
        <w:tc>
          <w:tcPr>
            <w:tcW w:w="8780" w:type="dxa"/>
            <w:vAlign w:val="bottom"/>
            <w:tcBorders>
              <w:right w:val="single" w:sz="8" w:color="CCEEFF"/>
            </w:tcBorders>
            <w:gridSpan w:val="4"/>
            <w:shd w:val="clear" w:color="auto" w:fill="CCEEFF"/>
          </w:tcPr>
          <w:p>
            <w:pPr>
              <w:ind w:left="140"/>
              <w:spacing w:after="0"/>
              <w:rPr>
                <w:sz w:val="20"/>
                <w:szCs w:val="20"/>
                <w:color w:val="auto"/>
              </w:rPr>
            </w:pPr>
            <w:r>
              <w:rPr>
                <w:rFonts w:ascii="Arial" w:cs="Arial" w:eastAsia="Arial" w:hAnsi="Arial"/>
                <w:sz w:val="17"/>
                <w:szCs w:val="17"/>
                <w:color w:val="auto"/>
              </w:rPr>
              <w:t>Net increase in vehicle service contract counterparty payables</w:t>
            </w: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328</w:t>
            </w:r>
          </w:p>
        </w:tc>
      </w:tr>
      <w:tr>
        <w:trPr>
          <w:trHeight w:val="204"/>
        </w:trPr>
        <w:tc>
          <w:tcPr>
            <w:tcW w:w="20" w:type="dxa"/>
            <w:vAlign w:val="bottom"/>
          </w:tcPr>
          <w:p>
            <w:pPr>
              <w:spacing w:after="0"/>
              <w:rPr>
                <w:sz w:val="17"/>
                <w:szCs w:val="17"/>
                <w:color w:val="auto"/>
              </w:rPr>
            </w:pPr>
          </w:p>
        </w:tc>
        <w:tc>
          <w:tcPr>
            <w:tcW w:w="8780" w:type="dxa"/>
            <w:vAlign w:val="bottom"/>
            <w:gridSpan w:val="4"/>
          </w:tcPr>
          <w:p>
            <w:pPr>
              <w:ind w:left="140"/>
              <w:spacing w:after="0"/>
              <w:rPr>
                <w:sz w:val="20"/>
                <w:szCs w:val="20"/>
                <w:color w:val="auto"/>
              </w:rPr>
            </w:pPr>
            <w:r>
              <w:rPr>
                <w:rFonts w:ascii="Arial" w:cs="Arial" w:eastAsia="Arial" w:hAnsi="Arial"/>
                <w:sz w:val="17"/>
                <w:szCs w:val="17"/>
                <w:color w:val="auto"/>
              </w:rPr>
              <w:t>Dividends paid</w:t>
            </w:r>
          </w:p>
        </w:tc>
        <w:tc>
          <w:tcPr>
            <w:tcW w:w="220" w:type="dxa"/>
            <w:vAlign w:val="bottom"/>
          </w:tcPr>
          <w:p>
            <w:pPr>
              <w:spacing w:after="0"/>
              <w:rPr>
                <w:sz w:val="17"/>
                <w:szCs w:val="17"/>
                <w:color w:val="auto"/>
              </w:rPr>
            </w:pPr>
          </w:p>
        </w:tc>
        <w:tc>
          <w:tcPr>
            <w:tcW w:w="1160" w:type="dxa"/>
            <w:vAlign w:val="bottom"/>
            <w:gridSpan w:val="2"/>
          </w:tcPr>
          <w:p>
            <w:pPr>
              <w:jc w:val="right"/>
              <w:ind w:right="95"/>
              <w:spacing w:after="0"/>
              <w:rPr>
                <w:sz w:val="20"/>
                <w:szCs w:val="20"/>
                <w:color w:val="auto"/>
              </w:rPr>
            </w:pPr>
            <w:r>
              <w:rPr>
                <w:rFonts w:ascii="Arial" w:cs="Arial" w:eastAsia="Arial" w:hAnsi="Arial"/>
                <w:sz w:val="17"/>
                <w:szCs w:val="17"/>
                <w:color w:val="auto"/>
              </w:rPr>
              <w:t>(3,451)</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(2,760)</w:t>
            </w:r>
          </w:p>
        </w:tc>
      </w:tr>
      <w:tr>
        <w:trPr>
          <w:trHeight w:val="204"/>
        </w:trPr>
        <w:tc>
          <w:tcPr>
            <w:tcW w:w="20" w:type="dxa"/>
            <w:vAlign w:val="bottom"/>
          </w:tcPr>
          <w:p>
            <w:pPr>
              <w:spacing w:after="0"/>
              <w:rPr>
                <w:sz w:val="17"/>
                <w:szCs w:val="17"/>
                <w:color w:val="auto"/>
              </w:rPr>
            </w:pPr>
          </w:p>
        </w:tc>
        <w:tc>
          <w:tcPr>
            <w:tcW w:w="8780" w:type="dxa"/>
            <w:vAlign w:val="bottom"/>
            <w:tcBorders>
              <w:right w:val="single" w:sz="8" w:color="CCEEFF"/>
            </w:tcBorders>
            <w:gridSpan w:val="4"/>
            <w:shd w:val="clear" w:color="auto" w:fill="CCEEFF"/>
          </w:tcPr>
          <w:p>
            <w:pPr>
              <w:ind w:left="140"/>
              <w:spacing w:after="0"/>
              <w:rPr>
                <w:sz w:val="20"/>
                <w:szCs w:val="20"/>
                <w:color w:val="auto"/>
              </w:rPr>
            </w:pPr>
            <w:r>
              <w:rPr>
                <w:rFonts w:ascii="Arial" w:cs="Arial" w:eastAsia="Arial" w:hAnsi="Arial"/>
                <w:sz w:val="17"/>
                <w:szCs w:val="17"/>
                <w:color w:val="auto"/>
              </w:rPr>
              <w:t>Proceeds from issuance of common stock</w:t>
            </w: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8780" w:type="dxa"/>
            <w:vAlign w:val="bottom"/>
            <w:gridSpan w:val="4"/>
          </w:tcPr>
          <w:p>
            <w:pPr>
              <w:ind w:left="140"/>
              <w:spacing w:after="0"/>
              <w:rPr>
                <w:sz w:val="20"/>
                <w:szCs w:val="20"/>
                <w:color w:val="auto"/>
              </w:rPr>
            </w:pPr>
            <w:r>
              <w:rPr>
                <w:rFonts w:ascii="Arial" w:cs="Arial" w:eastAsia="Arial" w:hAnsi="Arial"/>
                <w:sz w:val="17"/>
                <w:szCs w:val="17"/>
                <w:color w:val="auto"/>
              </w:rPr>
              <w:t>Repurchase of common stock</w:t>
            </w:r>
          </w:p>
        </w:tc>
        <w:tc>
          <w:tcPr>
            <w:tcW w:w="220" w:type="dxa"/>
            <w:vAlign w:val="bottom"/>
          </w:tcPr>
          <w:p>
            <w:pPr>
              <w:spacing w:after="0"/>
              <w:rPr>
                <w:sz w:val="17"/>
                <w:szCs w:val="17"/>
                <w:color w:val="auto"/>
              </w:rPr>
            </w:pPr>
          </w:p>
        </w:tc>
        <w:tc>
          <w:tcPr>
            <w:tcW w:w="1160" w:type="dxa"/>
            <w:vAlign w:val="bottom"/>
            <w:gridSpan w:val="2"/>
          </w:tcPr>
          <w:p>
            <w:pPr>
              <w:jc w:val="right"/>
              <w:ind w:right="95"/>
              <w:spacing w:after="0"/>
              <w:rPr>
                <w:sz w:val="20"/>
                <w:szCs w:val="20"/>
                <w:color w:val="auto"/>
              </w:rPr>
            </w:pPr>
            <w:r>
              <w:rPr>
                <w:rFonts w:ascii="Arial" w:cs="Arial" w:eastAsia="Arial" w:hAnsi="Arial"/>
                <w:sz w:val="17"/>
                <w:szCs w:val="17"/>
                <w:color w:val="auto"/>
              </w:rPr>
              <w:t>(15,510)</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(3,668)</w:t>
            </w:r>
          </w:p>
        </w:tc>
      </w:tr>
      <w:tr>
        <w:trPr>
          <w:trHeight w:val="204"/>
        </w:trPr>
        <w:tc>
          <w:tcPr>
            <w:tcW w:w="20" w:type="dxa"/>
            <w:vAlign w:val="bottom"/>
          </w:tcPr>
          <w:p>
            <w:pPr>
              <w:spacing w:after="0"/>
              <w:rPr>
                <w:sz w:val="17"/>
                <w:szCs w:val="17"/>
                <w:color w:val="auto"/>
              </w:rPr>
            </w:pPr>
          </w:p>
        </w:tc>
        <w:tc>
          <w:tcPr>
            <w:tcW w:w="8780" w:type="dxa"/>
            <w:vAlign w:val="bottom"/>
            <w:tcBorders>
              <w:right w:val="single" w:sz="8" w:color="CCEEFF"/>
            </w:tcBorders>
            <w:gridSpan w:val="4"/>
            <w:shd w:val="clear" w:color="auto" w:fill="CCEEFF"/>
          </w:tcPr>
          <w:p>
            <w:pPr>
              <w:ind w:left="140"/>
              <w:spacing w:after="0"/>
              <w:rPr>
                <w:sz w:val="20"/>
                <w:szCs w:val="20"/>
                <w:color w:val="auto"/>
              </w:rPr>
            </w:pPr>
            <w:r>
              <w:rPr>
                <w:rFonts w:ascii="Arial" w:cs="Arial" w:eastAsia="Arial" w:hAnsi="Arial"/>
                <w:sz w:val="17"/>
                <w:szCs w:val="17"/>
                <w:color w:val="auto"/>
              </w:rPr>
              <w:t>Share based compensation withholding obligation</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(627)</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(66)</w:t>
            </w:r>
          </w:p>
        </w:tc>
      </w:tr>
      <w:tr>
        <w:trPr>
          <w:trHeight w:val="25"/>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13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840" w:type="dxa"/>
            <w:vAlign w:val="bottom"/>
            <w:gridSpan w:val="2"/>
          </w:tcPr>
          <w:p>
            <w:pPr>
              <w:jc w:val="right"/>
              <w:ind w:right="120"/>
              <w:spacing w:after="0"/>
              <w:rPr>
                <w:sz w:val="20"/>
                <w:szCs w:val="20"/>
                <w:color w:val="auto"/>
              </w:rPr>
            </w:pPr>
            <w:r>
              <w:rPr>
                <w:rFonts w:ascii="Arial" w:cs="Arial" w:eastAsia="Arial" w:hAnsi="Arial"/>
                <w:sz w:val="17"/>
                <w:szCs w:val="17"/>
                <w:color w:val="auto"/>
              </w:rPr>
              <w:t>Net Cash From Financing Activities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22,909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30,884</w:t>
            </w:r>
          </w:p>
        </w:tc>
      </w:tr>
      <w:tr>
        <w:trPr>
          <w:trHeight w:val="204"/>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4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Net Decrease in Cash and Cash Equivalents</w:t>
            </w: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(24,753)</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(15,699)</w:t>
            </w:r>
          </w:p>
        </w:tc>
        <w:tc>
          <w:tcPr>
            <w:tcW w:w="10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8780" w:type="dxa"/>
            <w:vAlign w:val="bottom"/>
            <w:gridSpan w:val="4"/>
          </w:tcPr>
          <w:p>
            <w:pPr>
              <w:spacing w:after="0"/>
              <w:rPr>
                <w:sz w:val="20"/>
                <w:szCs w:val="20"/>
                <w:color w:val="auto"/>
              </w:rPr>
            </w:pPr>
            <w:r>
              <w:rPr>
                <w:rFonts w:ascii="Arial" w:cs="Arial" w:eastAsia="Arial" w:hAnsi="Arial"/>
                <w:sz w:val="17"/>
                <w:szCs w:val="17"/>
                <w:color w:val="auto"/>
              </w:rPr>
              <w:t>Cash and Cash Equivalents at Beginning of Period</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85,783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74,016</w:t>
            </w:r>
          </w:p>
        </w:tc>
      </w:tr>
      <w:tr>
        <w:trPr>
          <w:trHeight w:val="244"/>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660" w:type="dxa"/>
            <w:vAlign w:val="bottom"/>
            <w:shd w:val="clear" w:color="auto" w:fill="CCEEFF"/>
          </w:tcPr>
          <w:p>
            <w:pPr>
              <w:spacing w:after="0"/>
              <w:rPr>
                <w:sz w:val="21"/>
                <w:szCs w:val="21"/>
                <w:color w:val="auto"/>
              </w:rPr>
            </w:pPr>
          </w:p>
        </w:tc>
        <w:tc>
          <w:tcPr>
            <w:tcW w:w="4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Cash and Cash Equivalents at End of Period</w:t>
            </w: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61,030</w:t>
            </w:r>
          </w:p>
        </w:tc>
        <w:tc>
          <w:tcPr>
            <w:tcW w:w="22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58,317</w:t>
            </w:r>
          </w:p>
        </w:tc>
        <w:tc>
          <w:tcPr>
            <w:tcW w:w="100" w:type="dxa"/>
            <w:vAlign w:val="bottom"/>
            <w:shd w:val="clear" w:color="auto" w:fill="CCEEFF"/>
          </w:tcPr>
          <w:p>
            <w:pPr>
              <w:spacing w:after="0"/>
              <w:rPr>
                <w:sz w:val="21"/>
                <w:szCs w:val="21"/>
                <w:color w:val="auto"/>
              </w:rPr>
            </w:pPr>
          </w:p>
        </w:tc>
      </w:tr>
      <w:tr>
        <w:trPr>
          <w:trHeight w:val="195"/>
        </w:trPr>
        <w:tc>
          <w:tcPr>
            <w:tcW w:w="20" w:type="dxa"/>
            <w:vAlign w:val="bottom"/>
          </w:tcPr>
          <w:p>
            <w:pPr>
              <w:spacing w:after="0"/>
              <w:rPr>
                <w:sz w:val="16"/>
                <w:szCs w:val="16"/>
                <w:color w:val="auto"/>
              </w:rPr>
            </w:pPr>
          </w:p>
        </w:tc>
        <w:tc>
          <w:tcPr>
            <w:tcW w:w="8780" w:type="dxa"/>
            <w:vAlign w:val="bottom"/>
            <w:tcBorders>
              <w:top w:val="single" w:sz="8" w:color="CCEEFF"/>
            </w:tcBorders>
            <w:gridSpan w:val="4"/>
          </w:tcPr>
          <w:p>
            <w:pPr>
              <w:spacing w:after="0"/>
              <w:rPr>
                <w:sz w:val="20"/>
                <w:szCs w:val="20"/>
                <w:color w:val="auto"/>
              </w:rPr>
            </w:pPr>
            <w:r>
              <w:rPr>
                <w:rFonts w:ascii="Arial" w:cs="Arial" w:eastAsia="Arial" w:hAnsi="Arial"/>
                <w:sz w:val="17"/>
                <w:szCs w:val="17"/>
                <w:color w:val="auto"/>
              </w:rPr>
              <w:t>Cash paid during the period for</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4"/>
        </w:trPr>
        <w:tc>
          <w:tcPr>
            <w:tcW w:w="20" w:type="dxa"/>
            <w:vAlign w:val="bottom"/>
          </w:tcPr>
          <w:p>
            <w:pPr>
              <w:spacing w:after="0"/>
              <w:rPr>
                <w:sz w:val="17"/>
                <w:szCs w:val="17"/>
                <w:color w:val="auto"/>
              </w:rPr>
            </w:pPr>
          </w:p>
        </w:tc>
        <w:tc>
          <w:tcPr>
            <w:tcW w:w="8780" w:type="dxa"/>
            <w:vAlign w:val="bottom"/>
            <w:tcBorders>
              <w:right w:val="single" w:sz="8" w:color="CCEEFF"/>
            </w:tcBorders>
            <w:gridSpan w:val="4"/>
            <w:shd w:val="clear" w:color="auto" w:fill="CCEEFF"/>
          </w:tcPr>
          <w:p>
            <w:pPr>
              <w:ind w:left="140"/>
              <w:spacing w:after="0"/>
              <w:rPr>
                <w:sz w:val="20"/>
                <w:szCs w:val="20"/>
                <w:color w:val="auto"/>
              </w:rPr>
            </w:pPr>
            <w:r>
              <w:rPr>
                <w:rFonts w:ascii="Arial" w:cs="Arial" w:eastAsia="Arial" w:hAnsi="Arial"/>
                <w:sz w:val="17"/>
                <w:szCs w:val="17"/>
                <w:color w:val="auto"/>
              </w:rPr>
              <w:t>Interest</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3,158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2,878</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8780" w:type="dxa"/>
            <w:vAlign w:val="bottom"/>
            <w:gridSpan w:val="4"/>
          </w:tcPr>
          <w:p>
            <w:pPr>
              <w:ind w:left="140"/>
              <w:spacing w:after="0"/>
              <w:rPr>
                <w:sz w:val="20"/>
                <w:szCs w:val="20"/>
                <w:color w:val="auto"/>
              </w:rPr>
            </w:pPr>
            <w:r>
              <w:rPr>
                <w:rFonts w:ascii="Arial" w:cs="Arial" w:eastAsia="Arial" w:hAnsi="Arial"/>
                <w:sz w:val="17"/>
                <w:szCs w:val="17"/>
                <w:color w:val="auto"/>
              </w:rPr>
              <w:t>Income taxes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360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878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Transfers to other real estate and repossessed assets</w:t>
            </w: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2,354</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8780" w:type="dxa"/>
            <w:vAlign w:val="bottom"/>
            <w:gridSpan w:val="4"/>
          </w:tcPr>
          <w:p>
            <w:pPr>
              <w:spacing w:after="0"/>
              <w:rPr>
                <w:sz w:val="20"/>
                <w:szCs w:val="20"/>
                <w:color w:val="auto"/>
              </w:rPr>
            </w:pPr>
            <w:r>
              <w:rPr>
                <w:rFonts w:ascii="Arial" w:cs="Arial" w:eastAsia="Arial" w:hAnsi="Arial"/>
                <w:sz w:val="17"/>
                <w:szCs w:val="17"/>
                <w:color w:val="auto"/>
              </w:rPr>
              <w:t>Transfer of payment plan receivables to vehicle service contract counterparty receivables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110</w:t>
            </w:r>
          </w:p>
        </w:tc>
      </w:tr>
      <w:tr>
        <w:trPr>
          <w:trHeight w:val="204"/>
        </w:trPr>
        <w:tc>
          <w:tcPr>
            <w:tcW w:w="20" w:type="dxa"/>
            <w:vAlign w:val="bottom"/>
          </w:tcPr>
          <w:p>
            <w:pPr>
              <w:spacing w:after="0"/>
              <w:rPr>
                <w:sz w:val="17"/>
                <w:szCs w:val="17"/>
                <w:color w:val="auto"/>
              </w:rPr>
            </w:pPr>
          </w:p>
        </w:tc>
        <w:tc>
          <w:tcPr>
            <w:tcW w:w="878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Purchase of securities available for sale not yet settled</w:t>
            </w: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2,342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See notes to interim condensed consolidated financial statements (unaudited)</w:t>
      </w:r>
    </w:p>
    <w:p>
      <w:pPr>
        <w:sectPr>
          <w:pgSz w:w="11900" w:h="16838" w:orient="portrait"/>
          <w:cols w:equalWidth="0" w:num="1">
            <w:col w:w="11420"/>
          </w:cols>
          <w:pgMar w:left="240" w:top="106"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59690</wp:posOffset>
            </wp:positionV>
            <wp:extent cx="725424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40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100" w:type="dxa"/>
            <w:vAlign w:val="bottom"/>
            <w:gridSpan w:val="3"/>
          </w:tcPr>
          <w:p>
            <w:pPr>
              <w:jc w:val="center"/>
              <w:ind w:left="2635"/>
              <w:spacing w:after="0"/>
              <w:rPr>
                <w:sz w:val="20"/>
                <w:szCs w:val="20"/>
                <w:color w:val="auto"/>
              </w:rPr>
            </w:pPr>
            <w:r>
              <w:rPr>
                <w:rFonts w:ascii="Arial" w:cs="Arial" w:eastAsia="Arial" w:hAnsi="Arial"/>
                <w:sz w:val="17"/>
                <w:szCs w:val="17"/>
                <w:color w:val="auto"/>
                <w:w w:val="96"/>
              </w:rPr>
              <w:t>INDEPENDENT BANK CORPORATION AND SUBSIDIARIES</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100" w:type="dxa"/>
            <w:vAlign w:val="bottom"/>
            <w:gridSpan w:val="3"/>
          </w:tcPr>
          <w:p>
            <w:pPr>
              <w:jc w:val="center"/>
              <w:ind w:left="2635"/>
              <w:spacing w:after="0" w:line="178" w:lineRule="exact"/>
              <w:rPr>
                <w:sz w:val="20"/>
                <w:szCs w:val="20"/>
                <w:color w:val="auto"/>
              </w:rPr>
            </w:pPr>
            <w:r>
              <w:rPr>
                <w:rFonts w:ascii="Arial" w:cs="Arial" w:eastAsia="Arial" w:hAnsi="Arial"/>
                <w:sz w:val="17"/>
                <w:szCs w:val="17"/>
                <w:color w:val="auto"/>
                <w:w w:val="89"/>
              </w:rPr>
              <w:t>Condensed Consolidated Statements of Shareholders’ Equity</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14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5"/>
          </w:tcPr>
          <w:p>
            <w:pPr>
              <w:jc w:val="center"/>
              <w:ind w:right="320"/>
              <w:spacing w:after="0"/>
              <w:rPr>
                <w:sz w:val="20"/>
                <w:szCs w:val="20"/>
                <w:color w:val="auto"/>
              </w:rPr>
            </w:pPr>
            <w:r>
              <w:rPr>
                <w:rFonts w:ascii="Arial" w:cs="Arial" w:eastAsia="Arial" w:hAnsi="Arial"/>
                <w:sz w:val="17"/>
                <w:szCs w:val="17"/>
                <w:color w:val="auto"/>
                <w:w w:val="89"/>
              </w:rPr>
              <w:t>Six months ended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3"/>
          </w:tcPr>
          <w:p>
            <w:pPr>
              <w:jc w:val="center"/>
              <w:ind w:left="435"/>
              <w:spacing w:after="0"/>
              <w:rPr>
                <w:sz w:val="20"/>
                <w:szCs w:val="20"/>
                <w:color w:val="auto"/>
              </w:rPr>
            </w:pPr>
            <w:r>
              <w:rPr>
                <w:rFonts w:ascii="Arial" w:cs="Arial" w:eastAsia="Arial" w:hAnsi="Arial"/>
                <w:sz w:val="17"/>
                <w:szCs w:val="17"/>
                <w:color w:val="auto"/>
                <w:w w:val="85"/>
              </w:rPr>
              <w:t>June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2016</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w w:val="89"/>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7"/>
                <w:szCs w:val="17"/>
                <w:color w:val="auto"/>
                <w:w w:val="90"/>
              </w:rPr>
              <w:t>(unaudited)</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3"/>
          </w:tcPr>
          <w:p>
            <w:pPr>
              <w:jc w:val="center"/>
              <w:ind w:left="455"/>
              <w:spacing w:after="0"/>
              <w:rPr>
                <w:sz w:val="20"/>
                <w:szCs w:val="20"/>
                <w:color w:val="auto"/>
              </w:rPr>
            </w:pPr>
            <w:r>
              <w:rPr>
                <w:rFonts w:ascii="Arial" w:cs="Arial" w:eastAsia="Arial" w:hAnsi="Arial"/>
                <w:sz w:val="17"/>
                <w:szCs w:val="17"/>
                <w:color w:val="auto"/>
                <w:w w:val="90"/>
              </w:rPr>
              <w:t>(In thousands)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gridSpan w:val="2"/>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3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640" w:type="dxa"/>
            <w:vAlign w:val="bottom"/>
            <w:gridSpan w:val="2"/>
            <w:shd w:val="clear" w:color="auto" w:fill="CCEEFF"/>
          </w:tcPr>
          <w:p>
            <w:pPr>
              <w:jc w:val="right"/>
              <w:ind w:right="8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251,092</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250,371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80" w:type="dxa"/>
            <w:vAlign w:val="bottom"/>
            <w:gridSpan w:val="4"/>
          </w:tcPr>
          <w:p>
            <w:pPr>
              <w:ind w:left="140"/>
              <w:spacing w:after="0"/>
              <w:rPr>
                <w:sz w:val="20"/>
                <w:szCs w:val="20"/>
                <w:color w:val="auto"/>
              </w:rPr>
            </w:pPr>
            <w:r>
              <w:rPr>
                <w:rFonts w:ascii="Arial" w:cs="Arial" w:eastAsia="Arial" w:hAnsi="Arial"/>
                <w:sz w:val="17"/>
                <w:szCs w:val="17"/>
                <w:color w:val="auto"/>
              </w:rPr>
              <w:t>Cumulative effect of change in accounting principle</w:t>
            </w: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1,247</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Balance at beginning of period, as adjusted</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252,339</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250,371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80" w:type="dxa"/>
            <w:vAlign w:val="bottom"/>
            <w:gridSpan w:val="4"/>
          </w:tcPr>
          <w:p>
            <w:pPr>
              <w:ind w:left="140"/>
              <w:spacing w:after="0"/>
              <w:rPr>
                <w:sz w:val="20"/>
                <w:szCs w:val="20"/>
                <w:color w:val="auto"/>
              </w:rPr>
            </w:pPr>
            <w:r>
              <w:rPr>
                <w:rFonts w:ascii="Arial" w:cs="Arial" w:eastAsia="Arial" w:hAnsi="Arial"/>
                <w:sz w:val="17"/>
                <w:szCs w:val="17"/>
                <w:color w:val="auto"/>
              </w:rPr>
              <w:t>Net income</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10,538</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9,400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8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Cash dividends declared</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(3,451)</w:t>
            </w: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(2,760)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80" w:type="dxa"/>
            <w:vAlign w:val="bottom"/>
            <w:gridSpan w:val="4"/>
          </w:tcPr>
          <w:p>
            <w:pPr>
              <w:ind w:left="140"/>
              <w:spacing w:after="0"/>
              <w:rPr>
                <w:sz w:val="20"/>
                <w:szCs w:val="20"/>
                <w:color w:val="auto"/>
              </w:rPr>
            </w:pPr>
            <w:r>
              <w:rPr>
                <w:rFonts w:ascii="Arial" w:cs="Arial" w:eastAsia="Arial" w:hAnsi="Arial"/>
                <w:sz w:val="17"/>
                <w:szCs w:val="17"/>
                <w:color w:val="auto"/>
              </w:rPr>
              <w:t>Issuance of common stock</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56</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8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Share based compensation</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80" w:type="dxa"/>
            <w:vAlign w:val="bottom"/>
            <w:gridSpan w:val="4"/>
          </w:tcPr>
          <w:p>
            <w:pPr>
              <w:ind w:left="140"/>
              <w:spacing w:after="0"/>
              <w:rPr>
                <w:sz w:val="20"/>
                <w:szCs w:val="20"/>
                <w:color w:val="auto"/>
              </w:rPr>
            </w:pPr>
            <w:r>
              <w:rPr>
                <w:rFonts w:ascii="Arial" w:cs="Arial" w:eastAsia="Arial" w:hAnsi="Arial"/>
                <w:sz w:val="17"/>
                <w:szCs w:val="17"/>
                <w:color w:val="auto"/>
              </w:rPr>
              <w:t>Share based compensation withholding obligation</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(627)</w:t>
            </w:r>
          </w:p>
        </w:tc>
        <w:tc>
          <w:tcPr>
            <w:tcW w:w="3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8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Repurchase of common stock</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(15,510)</w:t>
            </w: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80" w:type="dxa"/>
            <w:vAlign w:val="bottom"/>
            <w:gridSpan w:val="4"/>
          </w:tcPr>
          <w:p>
            <w:pPr>
              <w:ind w:left="140"/>
              <w:spacing w:after="0"/>
              <w:rPr>
                <w:sz w:val="20"/>
                <w:szCs w:val="20"/>
                <w:color w:val="auto"/>
              </w:rPr>
            </w:pPr>
            <w:r>
              <w:rPr>
                <w:rFonts w:ascii="Arial" w:cs="Arial" w:eastAsia="Arial" w:hAnsi="Arial"/>
                <w:sz w:val="17"/>
                <w:szCs w:val="17"/>
                <w:color w:val="auto"/>
              </w:rPr>
              <w:t>Net change in accumulated other comprehensive loss, net of related tax effect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2,753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Balance at end of period</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246,923</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254,375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See notes to interim condensed consolidated financial statements (unaudited)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ind w:left="260" w:hanging="258"/>
        <w:spacing w:after="0"/>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Preparation of Financial Statements</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condensed consolidated financial statements should be read in conjunction with the audited consolidated financial statements and notes for the year ended December 31, 2015 included in our Annual Report on Form 10-K.</w:t>
      </w:r>
    </w:p>
    <w:p>
      <w:pPr>
        <w:spacing w:after="0" w:line="190"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In our opinion, the accompanying unaudited condensed consolidated financial statements contain all the adjustments necessary to present fairly our consolidated financial condition as of June 30, 2016 and December 31, 2015, and the results of operations for the three and six-month periods ended June 30, 2016 and 2015. The results of operations for the three and six -month periods ended June 30, 2016, are not necessarily indicative of the results to be expected for the full year. Certain reclassifications have been made in the prior period financial statements to conform to the current period presentation. Our critical accounting policies include the determination of the allowance for loan losses, the determination of vehicle service contract counterparty contingencies, the valuation of originated mortgage loan servicing rights and the valuation of deferred tax assets. Refer to our 2015 Annual Report on Form 10-K for a disclosure of our accounting policies.</w:t>
      </w:r>
    </w:p>
    <w:p>
      <w:pPr>
        <w:spacing w:after="0" w:line="180" w:lineRule="exact"/>
        <w:rPr>
          <w:sz w:val="20"/>
          <w:szCs w:val="20"/>
          <w:color w:val="auto"/>
        </w:rPr>
      </w:pPr>
    </w:p>
    <w:p>
      <w:pPr>
        <w:ind w:left="220" w:hanging="218"/>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New Accounting Standards</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June 2014, the Financial Accounting Standards Board (“FASB”) issued Accounting Standards Update (“ASU”) 2014-12, “Compensation – Stock Compensation (Topic 718) – Accounting for Share-Based Payments When the Terms of an Award Provide That a Performance Target Could Be Achieved After the Requisite Service Period”. This ASU amends existing guidance related to the accounting for share-based payments when the terms of an award provide that a performance target could be achieved after the requisite service period. These amendments require that a performance target that affects vesting and that could be achieved after the requisite service period be treated as a performance condition. The total amount of compensation cost recognized during and after the requisite service period should reflect the number of awards that are expected to vest and should be adjusted to reflect those awards that ultimately vest. The requisite service period ends when the employee can cease rendering service and still be eligible to vest in the award if the performance target is achieved. This amended guidance became effective for us on January 1, 2016, and did not have a material impact on our consolidated operating results or financial condition.</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May 2014, the FASB issued ASU 2014-09, “Revenue from Contracts with Customers (Topic 606)</w:t>
      </w:r>
      <w:r>
        <w:rPr>
          <w:rFonts w:ascii="Arial" w:cs="Arial" w:eastAsia="Arial" w:hAnsi="Arial"/>
          <w:sz w:val="16"/>
          <w:szCs w:val="16"/>
          <w:i w:val="1"/>
          <w:iCs w:val="1"/>
          <w:color w:val="auto"/>
        </w:rPr>
        <w:t>”.</w:t>
      </w:r>
      <w:r>
        <w:rPr>
          <w:rFonts w:ascii="Arial" w:cs="Arial" w:eastAsia="Arial" w:hAnsi="Arial"/>
          <w:sz w:val="16"/>
          <w:szCs w:val="16"/>
          <w:color w:val="auto"/>
        </w:rPr>
        <w:t xml:space="preserve"> This ASU supersedes and replaces nearly all existing revenue recognition guidance, including industry-specific guidance, establishes a new control-based revenue recognition model, changes the basis for deciding when revenue is recognized over time or at a point in time, provides new and more detailed guidance on specific topics and expands and improves disclosures about revenue. In addition, this ASU specifies the accounting for some costs to obtain or fulfill a contract with a customer. This amended guidance is effective for us on January 1, 2018, and is not expected to have a material impact on our consolidated operating results or financial condition.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January 2016, the FASB issued ASU 2016-01, “Financial Instruments – Overall (Subtopic 825-10) – Recognition and Measurement of Financial Assets and Financial Liabilities”. This ASU amends existing guidance related to the accounting for certain financial assets and liabilities. These amendments, among other things, requires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 and eliminates the requirement for public business entities to disclose the method(s) and significant assumptions used to estimate the fair value that is required to be disclosed for financial instruments measured at amortized cost. This amended guidance is effective for us on January 1, 2018, and is not expected to have a material impact on our consolidated operating results or financial condition.</w:t>
      </w:r>
    </w:p>
    <w:p>
      <w:pPr>
        <w:spacing w:after="0" w:line="197"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In February 2016, the FASB issued ASU 2016-02, “Leases (Topic 842)”. This ASU amends existing guidance related to the accounting for leases. These amendments, among other things, requires lessees to account for most leases on the balance sheet while recognizing expense on the income statement in a manner similar to existing guidance. For lessors the guidance modifies the classification criteria and the accounting for sales-type and direct finance leases. This amended guidance is effective for us on January 1, 2019, and is not expected to have a material impact on our consolidated operating results or financial condition.</w:t>
      </w:r>
    </w:p>
    <w:p>
      <w:pPr>
        <w:spacing w:after="0" w:line="173"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In March 2016, the FASB issued ASU 2016-09, “Compensation – Stock Compensation (718) Improvements to Employee Share-Based Payment Accounting”. This ASU amends existing guidance in an effort to simplify certain aspects of accounting for share-based payments. The areas for simplification in this ASU include income tax consequences, classification of awards as either equity or liabilities and classification on the statement of cash flows. This amended guidance is effective for us on January 1, 2017, with early adoption permitted. We adopted this amended guidance during the second quarter of 2016 using a modified retrospective approach. The impact of this adoption was to adjust our January 1, 2016 Condensed Consolidated Statement of Financial Position to reflect cumulative effect adjustments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15"/>
              <w:spacing w:after="0"/>
              <w:rPr>
                <w:sz w:val="20"/>
                <w:szCs w:val="20"/>
                <w:color w:val="auto"/>
              </w:rPr>
            </w:pPr>
            <w:r>
              <w:rPr>
                <w:rFonts w:ascii="Arial" w:cs="Arial" w:eastAsia="Arial" w:hAnsi="Arial"/>
                <w:sz w:val="17"/>
                <w:szCs w:val="17"/>
                <w:color w:val="auto"/>
                <w:w w:val="88"/>
              </w:rPr>
              <w:t>January 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5"/>
              <w:spacing w:after="0"/>
              <w:rPr>
                <w:sz w:val="20"/>
                <w:szCs w:val="20"/>
                <w:color w:val="auto"/>
              </w:rPr>
            </w:pPr>
            <w:r>
              <w:rPr>
                <w:rFonts w:ascii="Arial" w:cs="Arial" w:eastAsia="Arial" w:hAnsi="Arial"/>
                <w:sz w:val="17"/>
                <w:szCs w:val="17"/>
                <w:color w:val="auto"/>
                <w:w w:val="89"/>
              </w:rPr>
              <w:t>2016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color w:val="auto"/>
                <w:w w:val="91"/>
              </w:rPr>
              <w:t>Cumulative</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color w:val="auto"/>
                <w:w w:val="88"/>
              </w:rPr>
              <w:t>January 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15"/>
              <w:spacing w:after="0"/>
              <w:rPr>
                <w:sz w:val="20"/>
                <w:szCs w:val="20"/>
                <w:color w:val="auto"/>
              </w:rPr>
            </w:pPr>
            <w:r>
              <w:rPr>
                <w:rFonts w:ascii="Arial" w:cs="Arial" w:eastAsia="Arial" w:hAnsi="Arial"/>
                <w:sz w:val="17"/>
                <w:szCs w:val="17"/>
                <w:color w:val="auto"/>
                <w:w w:val="98"/>
              </w:rPr>
              <w:t>Originally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color w:val="auto"/>
                <w:w w:val="90"/>
              </w:rPr>
              <w:t>Retrospective</w:t>
            </w:r>
          </w:p>
        </w:tc>
        <w:tc>
          <w:tcPr>
            <w:tcW w:w="140" w:type="dxa"/>
            <w:vAlign w:val="bottom"/>
          </w:tcPr>
          <w:p>
            <w:pPr>
              <w:spacing w:after="0"/>
              <w:rPr>
                <w:sz w:val="17"/>
                <w:szCs w:val="17"/>
                <w:color w:val="auto"/>
              </w:rPr>
            </w:pPr>
          </w:p>
        </w:tc>
        <w:tc>
          <w:tcPr>
            <w:tcW w:w="980" w:type="dxa"/>
            <w:vAlign w:val="bottom"/>
          </w:tcPr>
          <w:p>
            <w:pPr>
              <w:jc w:val="center"/>
              <w:ind w:right="75"/>
              <w:spacing w:after="0"/>
              <w:rPr>
                <w:sz w:val="20"/>
                <w:szCs w:val="20"/>
                <w:color w:val="auto"/>
              </w:rPr>
            </w:pPr>
            <w:r>
              <w:rPr>
                <w:rFonts w:ascii="Arial" w:cs="Arial" w:eastAsia="Arial" w:hAnsi="Arial"/>
                <w:sz w:val="17"/>
                <w:szCs w:val="17"/>
                <w:color w:val="auto"/>
                <w:w w:val="89"/>
              </w:rPr>
              <w:t>2016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85"/>
              </w:rPr>
              <w:t>Presented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91"/>
              </w:rPr>
              <w:t>Adjustments</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90"/>
              </w:rPr>
              <w:t>Adjusted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gridSpan w:val="4"/>
          </w:tcPr>
          <w:p>
            <w:pPr>
              <w:jc w:val="right"/>
              <w:spacing w:after="0"/>
              <w:rPr>
                <w:sz w:val="20"/>
                <w:szCs w:val="20"/>
                <w:color w:val="auto"/>
              </w:rPr>
            </w:pPr>
            <w:r>
              <w:rPr>
                <w:rFonts w:ascii="Arial" w:cs="Arial" w:eastAsia="Arial" w:hAnsi="Arial"/>
                <w:sz w:val="17"/>
                <w:szCs w:val="17"/>
                <w:color w:val="auto"/>
                <w:w w:val="82"/>
              </w:rPr>
              <w:t>(Dollars in thousands)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240" w:type="dxa"/>
            <w:vAlign w:val="bottom"/>
          </w:tcPr>
          <w:p>
            <w:pPr>
              <w:spacing w:after="0"/>
              <w:rPr>
                <w:sz w:val="16"/>
                <w:szCs w:val="16"/>
                <w:color w:val="auto"/>
              </w:rPr>
            </w:pPr>
          </w:p>
        </w:tc>
        <w:tc>
          <w:tcPr>
            <w:tcW w:w="3340" w:type="dxa"/>
            <w:vAlign w:val="bottom"/>
            <w:gridSpan w:val="2"/>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gridSpan w:val="2"/>
          </w:tcPr>
          <w:p>
            <w:pPr>
              <w:spacing w:after="0"/>
              <w:rPr>
                <w:sz w:val="16"/>
                <w:szCs w:val="16"/>
                <w:color w:val="auto"/>
              </w:rPr>
            </w:pPr>
          </w:p>
        </w:tc>
        <w:tc>
          <w:tcPr>
            <w:tcW w:w="128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334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39,635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1,247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40,882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Total assets</w:t>
            </w:r>
          </w:p>
        </w:tc>
        <w:tc>
          <w:tcPr>
            <w:tcW w:w="334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2,409,066</w:t>
            </w:r>
          </w:p>
        </w:tc>
        <w:tc>
          <w:tcPr>
            <w:tcW w:w="14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1,247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2,410,313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6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Common stock</w:t>
            </w:r>
          </w:p>
        </w:tc>
        <w:tc>
          <w:tcPr>
            <w:tcW w:w="3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339,462</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339,524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Accumulated deficit</w:t>
            </w:r>
          </w:p>
        </w:tc>
        <w:tc>
          <w:tcPr>
            <w:tcW w:w="334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(82,334)</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1,185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(81,149)</w:t>
            </w:r>
          </w:p>
        </w:tc>
        <w:tc>
          <w:tcPr>
            <w:tcW w:w="0" w:type="dxa"/>
            <w:vAlign w:val="bottom"/>
          </w:tcPr>
          <w:p>
            <w:pPr>
              <w:spacing w:after="0"/>
              <w:rPr>
                <w:sz w:val="1"/>
                <w:szCs w:val="1"/>
                <w:color w:val="auto"/>
              </w:rPr>
            </w:pPr>
          </w:p>
        </w:tc>
      </w:tr>
      <w:tr>
        <w:trPr>
          <w:trHeight w:val="20"/>
        </w:trPr>
        <w:tc>
          <w:tcPr>
            <w:tcW w:w="426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Shareholders’ Equity</w:t>
            </w:r>
          </w:p>
        </w:tc>
        <w:tc>
          <w:tcPr>
            <w:tcW w:w="3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251,092</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1,247</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252,339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Total Liabilities and Shareholders’ Equity</w:t>
            </w:r>
          </w:p>
        </w:tc>
        <w:tc>
          <w:tcPr>
            <w:tcW w:w="334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2,409,066</w:t>
            </w:r>
          </w:p>
        </w:tc>
        <w:tc>
          <w:tcPr>
            <w:tcW w:w="14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1,247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2,410,313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180" w:type="dxa"/>
            <w:vAlign w:val="bottom"/>
            <w:vMerge w:val="restart"/>
          </w:tcPr>
          <w:p>
            <w:pPr>
              <w:jc w:val="right"/>
              <w:ind w:right="1619"/>
              <w:spacing w:after="0"/>
              <w:rPr>
                <w:sz w:val="20"/>
                <w:szCs w:val="20"/>
                <w:color w:val="auto"/>
              </w:rPr>
            </w:pPr>
            <w:r>
              <w:rPr>
                <w:rFonts w:ascii="Arial" w:cs="Arial" w:eastAsia="Arial" w:hAnsi="Arial"/>
                <w:sz w:val="14"/>
                <w:szCs w:val="14"/>
                <w:color w:val="auto"/>
              </w:rPr>
              <w:t>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24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adjustments above reflect the recording of $1.23 million of unrealized excess benefits on share based compensation and $0.06 million (impact to equity of $0.02 million after consideration of deferred taxes) for the impact of making an accounting policy election to account for forfeitures as they occur. After January 1, 2016, excess tax benefits or deficiencies resulting from share-based payments will be recognized as tax benefit or expense when they occur. A tax benefit of $0.3 million was recorded during the three months ended June 30, 2016 as a result of share awards vesting during the period. In addition, we have elected to apply the amendments related to the presentation of excess tax benefits in the statement of cash flows on a prospective basis.</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This ASU significantly changes how entities will measure credit losses for most financial assets and certain other instruments that aren’t measured at fair value through net income. This ASU will replace today’s “incurred loss” approach with an “expected loss” model for instruments measured at amortized cost. For available-for-sale debt securities, allowances will be recorded rather than reducing the carrying amount as is done under the current other-than-temporary impairment model. This ASU also simplifies the accounting model for purchased credit-impaired debt securities and loans. This amended guidance is effective for us on January 1, 2020. We have not yet determined what the impact will be on our consolidated operating results or financial condition.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0" w:type="dxa"/>
            <w:vAlign w:val="bottom"/>
            <w:gridSpan w:val="4"/>
          </w:tcPr>
          <w:p>
            <w:pPr>
              <w:spacing w:after="0"/>
              <w:rPr>
                <w:sz w:val="20"/>
                <w:szCs w:val="20"/>
                <w:color w:val="auto"/>
              </w:rPr>
            </w:pPr>
            <w:r>
              <w:rPr>
                <w:rFonts w:ascii="Arial" w:cs="Arial" w:eastAsia="Arial" w:hAnsi="Arial"/>
                <w:sz w:val="17"/>
                <w:szCs w:val="17"/>
                <w:color w:val="auto"/>
              </w:rPr>
              <w:t>3. Securities</w:t>
            </w: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4600" w:type="dxa"/>
            <w:vAlign w:val="bottom"/>
            <w:gridSpan w:val="4"/>
          </w:tcPr>
          <w:p>
            <w:pPr>
              <w:spacing w:after="0"/>
              <w:rPr>
                <w:sz w:val="20"/>
                <w:szCs w:val="20"/>
                <w:color w:val="auto"/>
              </w:rPr>
            </w:pPr>
            <w:r>
              <w:rPr>
                <w:rFonts w:ascii="Arial" w:cs="Arial" w:eastAsia="Arial" w:hAnsi="Arial"/>
                <w:sz w:val="17"/>
                <w:szCs w:val="17"/>
                <w:color w:val="auto"/>
              </w:rPr>
              <w:t>Securities available for sale consist of the following:</w:t>
            </w: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Arial" w:cs="Arial" w:eastAsia="Arial" w:hAnsi="Arial"/>
                <w:sz w:val="17"/>
                <w:szCs w:val="17"/>
                <w:color w:val="auto"/>
              </w:rPr>
              <w:t>Amortized</w:t>
            </w: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Unrealized</w:t>
            </w:r>
          </w:p>
        </w:tc>
        <w:tc>
          <w:tcPr>
            <w:tcW w:w="8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Cost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Gains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w w:val="89"/>
              </w:rPr>
              <w:t>Losses</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95"/>
              </w:rPr>
              <w:t>Fair 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00" w:type="dxa"/>
            <w:vAlign w:val="bottom"/>
            <w:gridSpan w:val="4"/>
            <w:vMerge w:val="restart"/>
          </w:tcPr>
          <w:p>
            <w:pPr>
              <w:spacing w:after="0"/>
              <w:rPr>
                <w:sz w:val="20"/>
                <w:szCs w:val="20"/>
                <w:color w:val="auto"/>
              </w:rPr>
            </w:pPr>
            <w:r>
              <w:rPr>
                <w:rFonts w:ascii="Arial" w:cs="Arial" w:eastAsia="Arial" w:hAnsi="Arial"/>
                <w:sz w:val="17"/>
                <w:szCs w:val="17"/>
                <w:color w:val="auto"/>
              </w:rPr>
              <w:t>June 30, 2016</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(In</w:t>
            </w:r>
          </w:p>
        </w:tc>
        <w:tc>
          <w:tcPr>
            <w:tcW w:w="1380" w:type="dxa"/>
            <w:vAlign w:val="bottom"/>
            <w:gridSpan w:val="4"/>
          </w:tcPr>
          <w:p>
            <w:pPr>
              <w:jc w:val="right"/>
              <w:ind w:right="695"/>
              <w:spacing w:after="0"/>
              <w:rPr>
                <w:sz w:val="20"/>
                <w:szCs w:val="20"/>
                <w:color w:val="auto"/>
              </w:rPr>
            </w:pPr>
            <w:r>
              <w:rPr>
                <w:rFonts w:ascii="Arial" w:cs="Arial" w:eastAsia="Arial" w:hAnsi="Arial"/>
                <w:sz w:val="16"/>
                <w:szCs w:val="16"/>
                <w:color w:val="auto"/>
                <w:w w:val="73"/>
              </w:rPr>
              <w:t>thousands)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600" w:type="dxa"/>
            <w:vAlign w:val="bottom"/>
            <w:gridSpan w:val="4"/>
            <w:vMerge w:val="continue"/>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U.S. agency</w:t>
            </w:r>
          </w:p>
        </w:tc>
        <w:tc>
          <w:tcPr>
            <w:tcW w:w="162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31,165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552</w:t>
            </w:r>
          </w:p>
        </w:tc>
        <w:tc>
          <w:tcPr>
            <w:tcW w:w="420" w:type="dxa"/>
            <w:vAlign w:val="bottom"/>
            <w:gridSpan w:val="2"/>
            <w:shd w:val="clear" w:color="auto" w:fill="CCEEFF"/>
          </w:tcPr>
          <w:p>
            <w:pPr>
              <w:jc w:val="right"/>
              <w:ind w:right="146"/>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31,679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80" w:type="dxa"/>
            <w:vAlign w:val="bottom"/>
            <w:gridSpan w:val="3"/>
          </w:tcPr>
          <w:p>
            <w:pPr>
              <w:ind w:left="140"/>
              <w:spacing w:after="0"/>
              <w:rPr>
                <w:sz w:val="20"/>
                <w:szCs w:val="20"/>
                <w:color w:val="auto"/>
              </w:rPr>
            </w:pPr>
            <w:r>
              <w:rPr>
                <w:rFonts w:ascii="Arial" w:cs="Arial" w:eastAsia="Arial" w:hAnsi="Arial"/>
                <w:sz w:val="17"/>
                <w:szCs w:val="17"/>
                <w:color w:val="auto"/>
              </w:rPr>
              <w:t>U.S. agency residential mortgage-backed</w:t>
            </w: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180,415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1,783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135</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182,063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U.S. agency commercial mortgage-backed</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80" w:type="dxa"/>
            <w:vAlign w:val="bottom"/>
            <w:gridSpan w:val="3"/>
          </w:tcPr>
          <w:p>
            <w:pPr>
              <w:ind w:left="140"/>
              <w:spacing w:after="0"/>
              <w:rPr>
                <w:sz w:val="20"/>
                <w:szCs w:val="20"/>
                <w:color w:val="auto"/>
              </w:rPr>
            </w:pPr>
            <w:r>
              <w:rPr>
                <w:rFonts w:ascii="Arial" w:cs="Arial" w:eastAsia="Arial" w:hAnsi="Arial"/>
                <w:sz w:val="17"/>
                <w:szCs w:val="17"/>
                <w:color w:val="auto"/>
              </w:rPr>
              <w:t>Private label mortgage-backed</w:t>
            </w: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26,202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343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299</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26,246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Other asset backed</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139,895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347</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139,846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80" w:type="dxa"/>
            <w:vAlign w:val="bottom"/>
            <w:gridSpan w:val="3"/>
          </w:tcPr>
          <w:p>
            <w:pPr>
              <w:ind w:left="140"/>
              <w:spacing w:after="0"/>
              <w:rPr>
                <w:sz w:val="20"/>
                <w:szCs w:val="20"/>
                <w:color w:val="auto"/>
              </w:rPr>
            </w:pPr>
            <w:r>
              <w:rPr>
                <w:rFonts w:ascii="Arial" w:cs="Arial" w:eastAsia="Arial" w:hAnsi="Arial"/>
                <w:sz w:val="17"/>
                <w:szCs w:val="17"/>
                <w:color w:val="auto"/>
              </w:rPr>
              <w:t>Obligations of states and political subdivisions</w:t>
            </w: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156,663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2,311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633</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158,341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Corporate</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49,150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144</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49,527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80" w:type="dxa"/>
            <w:vAlign w:val="bottom"/>
            <w:gridSpan w:val="3"/>
          </w:tcPr>
          <w:p>
            <w:pPr>
              <w:ind w:left="140"/>
              <w:spacing w:after="0"/>
              <w:rPr>
                <w:sz w:val="20"/>
                <w:szCs w:val="20"/>
                <w:color w:val="auto"/>
              </w:rPr>
            </w:pPr>
            <w:r>
              <w:rPr>
                <w:rFonts w:ascii="Arial" w:cs="Arial" w:eastAsia="Arial" w:hAnsi="Arial"/>
                <w:sz w:val="17"/>
                <w:szCs w:val="17"/>
                <w:color w:val="auto"/>
              </w:rPr>
              <w:t>Trust preferred</w:t>
            </w: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2,920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523</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Foreign government</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80" w:type="dxa"/>
            <w:vAlign w:val="bottom"/>
            <w:gridSpan w:val="2"/>
          </w:tcPr>
          <w:p>
            <w:pPr>
              <w:ind w:left="80"/>
              <w:spacing w:after="0"/>
              <w:rPr>
                <w:sz w:val="20"/>
                <w:szCs w:val="20"/>
                <w:color w:val="auto"/>
              </w:rPr>
            </w:pPr>
            <w:r>
              <w:rPr>
                <w:rFonts w:ascii="Arial" w:cs="Arial" w:eastAsia="Arial" w:hAnsi="Arial"/>
                <w:sz w:val="17"/>
                <w:szCs w:val="17"/>
                <w:color w:val="auto"/>
              </w:rPr>
              <w:t>Total</w:t>
            </w:r>
          </w:p>
        </w:tc>
        <w:tc>
          <w:tcPr>
            <w:tcW w:w="1460" w:type="dxa"/>
            <w:vAlign w:val="bottom"/>
          </w:tcPr>
          <w:p>
            <w:pPr>
              <w:spacing w:after="0"/>
              <w:rPr>
                <w:sz w:val="17"/>
                <w:szCs w:val="17"/>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595,886</w:t>
            </w:r>
          </w:p>
        </w:tc>
        <w:tc>
          <w:tcPr>
            <w:tcW w:w="220" w:type="dxa"/>
            <w:vAlign w:val="bottom"/>
          </w:tcPr>
          <w:p>
            <w:pPr>
              <w:spacing w:after="0"/>
              <w:rPr>
                <w:sz w:val="17"/>
                <w:szCs w:val="17"/>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5,991</w:t>
            </w:r>
          </w:p>
        </w:tc>
        <w:tc>
          <w:tcPr>
            <w:tcW w:w="420" w:type="dxa"/>
            <w:vAlign w:val="bottom"/>
            <w:gridSpan w:val="2"/>
          </w:tcPr>
          <w:p>
            <w:pPr>
              <w:jc w:val="right"/>
              <w:ind w:right="146"/>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2,122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599,755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7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580" w:type="dxa"/>
            <w:vAlign w:val="bottom"/>
            <w:gridSpan w:val="3"/>
          </w:tcPr>
          <w:p>
            <w:pPr>
              <w:spacing w:after="0"/>
              <w:rPr>
                <w:sz w:val="20"/>
                <w:szCs w:val="20"/>
                <w:color w:val="auto"/>
              </w:rPr>
            </w:pPr>
            <w:r>
              <w:rPr>
                <w:rFonts w:ascii="Arial" w:cs="Arial" w:eastAsia="Arial" w:hAnsi="Arial"/>
                <w:sz w:val="17"/>
                <w:szCs w:val="17"/>
                <w:color w:val="auto"/>
              </w:rPr>
              <w:t>December 31, 2015</w:t>
            </w: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U.S. agency</w:t>
            </w:r>
          </w:p>
        </w:tc>
        <w:tc>
          <w:tcPr>
            <w:tcW w:w="162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47,283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309</w:t>
            </w:r>
          </w:p>
        </w:tc>
        <w:tc>
          <w:tcPr>
            <w:tcW w:w="420" w:type="dxa"/>
            <w:vAlign w:val="bottom"/>
            <w:gridSpan w:val="2"/>
            <w:shd w:val="clear" w:color="auto" w:fill="CCEEFF"/>
          </w:tcPr>
          <w:p>
            <w:pPr>
              <w:jc w:val="right"/>
              <w:ind w:right="146"/>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47,512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80" w:type="dxa"/>
            <w:vAlign w:val="bottom"/>
            <w:gridSpan w:val="3"/>
          </w:tcPr>
          <w:p>
            <w:pPr>
              <w:ind w:left="140"/>
              <w:spacing w:after="0"/>
              <w:rPr>
                <w:sz w:val="20"/>
                <w:szCs w:val="20"/>
                <w:color w:val="auto"/>
              </w:rPr>
            </w:pPr>
            <w:r>
              <w:rPr>
                <w:rFonts w:ascii="Arial" w:cs="Arial" w:eastAsia="Arial" w:hAnsi="Arial"/>
                <w:sz w:val="17"/>
                <w:szCs w:val="17"/>
                <w:color w:val="auto"/>
              </w:rPr>
              <w:t>U.S. agency residential mortgage-backed</w:t>
            </w: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195,055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1,584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583</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196,056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U.S. agency commercial mortgage-backed</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34,017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34,028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80" w:type="dxa"/>
            <w:vAlign w:val="bottom"/>
            <w:gridSpan w:val="3"/>
          </w:tcPr>
          <w:p>
            <w:pPr>
              <w:ind w:left="140"/>
              <w:spacing w:after="0"/>
              <w:rPr>
                <w:sz w:val="20"/>
                <w:szCs w:val="20"/>
                <w:color w:val="auto"/>
              </w:rPr>
            </w:pPr>
            <w:r>
              <w:rPr>
                <w:rFonts w:ascii="Arial" w:cs="Arial" w:eastAsia="Arial" w:hAnsi="Arial"/>
                <w:sz w:val="17"/>
                <w:szCs w:val="17"/>
                <w:color w:val="auto"/>
              </w:rPr>
              <w:t>Private label mortgage-backed</w:t>
            </w: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5,061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161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319</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4,903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Other asset backed</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117,431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581</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116,904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80" w:type="dxa"/>
            <w:vAlign w:val="bottom"/>
            <w:gridSpan w:val="3"/>
          </w:tcPr>
          <w:p>
            <w:pPr>
              <w:ind w:left="140"/>
              <w:spacing w:after="0"/>
              <w:rPr>
                <w:sz w:val="20"/>
                <w:szCs w:val="20"/>
                <w:color w:val="auto"/>
              </w:rPr>
            </w:pPr>
            <w:r>
              <w:rPr>
                <w:rFonts w:ascii="Arial" w:cs="Arial" w:eastAsia="Arial" w:hAnsi="Arial"/>
                <w:sz w:val="17"/>
                <w:szCs w:val="17"/>
                <w:color w:val="auto"/>
              </w:rPr>
              <w:t>Obligations of states and political subdivisions</w:t>
            </w: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145,193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941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1,150</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144,984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Corporate</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38,895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290</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38,614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gridSpan w:val="3"/>
          </w:tcPr>
          <w:p>
            <w:pPr>
              <w:ind w:left="140"/>
              <w:spacing w:after="0"/>
              <w:rPr>
                <w:sz w:val="20"/>
                <w:szCs w:val="20"/>
                <w:color w:val="auto"/>
              </w:rPr>
            </w:pPr>
            <w:r>
              <w:rPr>
                <w:rFonts w:ascii="Arial" w:cs="Arial" w:eastAsia="Arial" w:hAnsi="Arial"/>
                <w:sz w:val="17"/>
                <w:szCs w:val="17"/>
                <w:color w:val="auto"/>
              </w:rPr>
              <w:t>Trust preferred</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2,916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433</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Total</w:t>
            </w:r>
          </w:p>
        </w:tc>
        <w:tc>
          <w:tcPr>
            <w:tcW w:w="1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585,851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3,519</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585,484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53"/>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60" w:type="dxa"/>
            <w:vAlign w:val="bottom"/>
          </w:tcPr>
          <w:p>
            <w:pPr>
              <w:jc w:val="right"/>
              <w:ind w:right="201"/>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investments’ gross unrealized losses and fair values aggregated by investment type and length of time that individual securities have been at a continuous unrealized loss position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gridSpan w:val="6"/>
          </w:tcPr>
          <w:p>
            <w:pPr>
              <w:jc w:val="right"/>
              <w:ind w:right="600"/>
              <w:spacing w:after="0"/>
              <w:rPr>
                <w:sz w:val="20"/>
                <w:szCs w:val="20"/>
                <w:color w:val="auto"/>
              </w:rPr>
            </w:pPr>
            <w:r>
              <w:rPr>
                <w:rFonts w:ascii="Arial" w:cs="Arial" w:eastAsia="Arial" w:hAnsi="Arial"/>
                <w:sz w:val="17"/>
                <w:szCs w:val="17"/>
                <w:color w:val="auto"/>
                <w:w w:val="99"/>
              </w:rPr>
              <w:t>Less Than Twelve Months</w:t>
            </w:r>
          </w:p>
        </w:tc>
        <w:tc>
          <w:tcPr>
            <w:tcW w:w="160" w:type="dxa"/>
            <w:vAlign w:val="bottom"/>
          </w:tcPr>
          <w:p>
            <w:pPr>
              <w:spacing w:after="0"/>
              <w:rPr>
                <w:sz w:val="19"/>
                <w:szCs w:val="19"/>
                <w:color w:val="auto"/>
              </w:rPr>
            </w:pPr>
          </w:p>
        </w:tc>
        <w:tc>
          <w:tcPr>
            <w:tcW w:w="2580" w:type="dxa"/>
            <w:vAlign w:val="bottom"/>
            <w:gridSpan w:val="6"/>
          </w:tcPr>
          <w:p>
            <w:pPr>
              <w:ind w:left="280"/>
              <w:spacing w:after="0"/>
              <w:rPr>
                <w:sz w:val="20"/>
                <w:szCs w:val="20"/>
                <w:color w:val="auto"/>
              </w:rPr>
            </w:pPr>
            <w:r>
              <w:rPr>
                <w:rFonts w:ascii="Arial" w:cs="Arial" w:eastAsia="Arial" w:hAnsi="Arial"/>
                <w:sz w:val="17"/>
                <w:szCs w:val="17"/>
                <w:color w:val="auto"/>
              </w:rPr>
              <w:t>Twelve Months or More</w:t>
            </w:r>
          </w:p>
        </w:tc>
        <w:tc>
          <w:tcPr>
            <w:tcW w:w="160" w:type="dxa"/>
            <w:vAlign w:val="bottom"/>
          </w:tcPr>
          <w:p>
            <w:pPr>
              <w:spacing w:after="0"/>
              <w:rPr>
                <w:sz w:val="19"/>
                <w:szCs w:val="19"/>
                <w:color w:val="auto"/>
              </w:rPr>
            </w:pPr>
          </w:p>
        </w:tc>
        <w:tc>
          <w:tcPr>
            <w:tcW w:w="1360" w:type="dxa"/>
            <w:vAlign w:val="bottom"/>
            <w:gridSpan w:val="4"/>
          </w:tcPr>
          <w:p>
            <w:pPr>
              <w:jc w:val="right"/>
              <w:ind w:right="26"/>
              <w:spacing w:after="0"/>
              <w:rPr>
                <w:sz w:val="20"/>
                <w:szCs w:val="20"/>
                <w:color w:val="auto"/>
              </w:rPr>
            </w:pPr>
            <w:r>
              <w:rPr>
                <w:rFonts w:ascii="Arial" w:cs="Arial" w:eastAsia="Arial" w:hAnsi="Arial"/>
                <w:sz w:val="17"/>
                <w:szCs w:val="17"/>
                <w:color w:val="auto"/>
              </w:rPr>
              <w:t>Total</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15"/>
              <w:spacing w:after="0" w:line="191" w:lineRule="exact"/>
              <w:rPr>
                <w:sz w:val="20"/>
                <w:szCs w:val="20"/>
                <w:color w:val="auto"/>
              </w:rPr>
            </w:pPr>
            <w:r>
              <w:rPr>
                <w:rFonts w:ascii="Arial" w:cs="Arial" w:eastAsia="Arial" w:hAnsi="Arial"/>
                <w:sz w:val="17"/>
                <w:szCs w:val="17"/>
                <w:color w:val="auto"/>
                <w:w w:val="95"/>
              </w:rPr>
              <w:t>Unrealized</w:t>
            </w: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15"/>
              <w:spacing w:after="0" w:line="191" w:lineRule="exact"/>
              <w:rPr>
                <w:sz w:val="20"/>
                <w:szCs w:val="20"/>
                <w:color w:val="auto"/>
              </w:rPr>
            </w:pPr>
            <w:r>
              <w:rPr>
                <w:rFonts w:ascii="Arial" w:cs="Arial" w:eastAsia="Arial" w:hAnsi="Arial"/>
                <w:sz w:val="17"/>
                <w:szCs w:val="17"/>
                <w:color w:val="auto"/>
                <w:w w:val="95"/>
              </w:rPr>
              <w:t>Unrealized</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95"/>
              <w:spacing w:after="0" w:line="191" w:lineRule="exact"/>
              <w:rPr>
                <w:sz w:val="20"/>
                <w:szCs w:val="20"/>
                <w:color w:val="auto"/>
              </w:rPr>
            </w:pPr>
            <w:r>
              <w:rPr>
                <w:rFonts w:ascii="Arial" w:cs="Arial" w:eastAsia="Arial" w:hAnsi="Arial"/>
                <w:sz w:val="17"/>
                <w:szCs w:val="17"/>
                <w:color w:val="auto"/>
                <w:w w:val="95"/>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98"/>
              </w:rPr>
              <w:t>Fair Value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Losses</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95"/>
              </w:rPr>
              <w:t>Fair Value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Losses</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98"/>
              </w:rPr>
              <w:t>Fair Value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Losses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color w:val="auto"/>
              </w:rPr>
              <w:t>(In</w:t>
            </w:r>
          </w:p>
        </w:tc>
        <w:tc>
          <w:tcPr>
            <w:tcW w:w="1380" w:type="dxa"/>
            <w:vAlign w:val="bottom"/>
            <w:gridSpan w:val="4"/>
          </w:tcPr>
          <w:p>
            <w:pPr>
              <w:jc w:val="right"/>
              <w:ind w:right="695"/>
              <w:spacing w:after="0"/>
              <w:rPr>
                <w:sz w:val="20"/>
                <w:szCs w:val="20"/>
                <w:color w:val="auto"/>
              </w:rPr>
            </w:pPr>
            <w:r>
              <w:rPr>
                <w:rFonts w:ascii="Arial" w:cs="Arial" w:eastAsia="Arial" w:hAnsi="Arial"/>
                <w:sz w:val="16"/>
                <w:szCs w:val="16"/>
                <w:color w:val="auto"/>
                <w:w w:val="73"/>
              </w:rPr>
              <w:t>thousands)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3320" w:type="dxa"/>
            <w:vAlign w:val="bottom"/>
            <w:gridSpan w:val="2"/>
          </w:tcPr>
          <w:p>
            <w:pPr>
              <w:spacing w:after="0"/>
              <w:rPr>
                <w:sz w:val="20"/>
                <w:szCs w:val="20"/>
                <w:color w:val="auto"/>
              </w:rPr>
            </w:pPr>
            <w:r>
              <w:rPr>
                <w:rFonts w:ascii="Arial" w:cs="Arial" w:eastAsia="Arial" w:hAnsi="Arial"/>
                <w:sz w:val="17"/>
                <w:szCs w:val="17"/>
                <w:color w:val="auto"/>
              </w:rPr>
              <w:t>June 30, 2016</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agency</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3,432</w:t>
            </w: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6,168</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9,600</w:t>
            </w: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U.S. agency residential mortgage-backed</w:t>
            </w:r>
          </w:p>
        </w:tc>
        <w:tc>
          <w:tcPr>
            <w:tcW w:w="1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23,927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53</w:t>
            </w:r>
          </w:p>
        </w:tc>
        <w:tc>
          <w:tcPr>
            <w:tcW w:w="1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13,743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82</w:t>
            </w:r>
          </w:p>
        </w:tc>
        <w:tc>
          <w:tcPr>
            <w:tcW w:w="1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37,670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7"/>
              </w:rPr>
              <w:t>U.S. agency commercial mortgage-backed</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Private label mortgage- backed</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8</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291</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4,087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asset backed</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42,783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161</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12,079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186</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54,862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00" w:type="dxa"/>
            <w:vAlign w:val="bottom"/>
          </w:tcPr>
          <w:p>
            <w:pPr>
              <w:ind w:left="140"/>
              <w:spacing w:after="0" w:line="191" w:lineRule="exact"/>
              <w:rPr>
                <w:sz w:val="20"/>
                <w:szCs w:val="20"/>
                <w:color w:val="auto"/>
              </w:rPr>
            </w:pPr>
            <w:r>
              <w:rPr>
                <w:rFonts w:ascii="Arial" w:cs="Arial" w:eastAsia="Arial" w:hAnsi="Arial"/>
                <w:sz w:val="17"/>
                <w:szCs w:val="17"/>
                <w:color w:val="auto"/>
              </w:rPr>
              <w:t>Obligations of states and political</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subdivisions</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12,316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227</w:t>
            </w: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10,176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406</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22,492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633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125</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7,911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Trust preferred</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523</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523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89,605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50,161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139,766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2015</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U.S. agency</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12,164</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47</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6,746</w:t>
            </w:r>
          </w:p>
        </w:tc>
        <w:tc>
          <w:tcPr>
            <w:tcW w:w="12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33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18,910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agency residential mortgage-backed</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57,538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316</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23,340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267</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80,878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w w:val="97"/>
              </w:rPr>
              <w:t>U.S. agency commercial mortgage-backed</w:t>
            </w:r>
          </w:p>
        </w:tc>
        <w:tc>
          <w:tcPr>
            <w:tcW w:w="1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16,747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2,247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23</w:t>
            </w:r>
          </w:p>
        </w:tc>
        <w:tc>
          <w:tcPr>
            <w:tcW w:w="1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18,994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Private label mortgage- backed</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319</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Other asset backed</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102,660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434</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5,189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147</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107,849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581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00" w:type="dxa"/>
            <w:vAlign w:val="bottom"/>
            <w:shd w:val="clear" w:color="auto" w:fill="CCEEFF"/>
          </w:tcPr>
          <w:p>
            <w:pPr>
              <w:ind w:left="140"/>
              <w:spacing w:after="0" w:line="191" w:lineRule="exact"/>
              <w:rPr>
                <w:sz w:val="20"/>
                <w:szCs w:val="20"/>
                <w:color w:val="auto"/>
              </w:rPr>
            </w:pPr>
            <w:r>
              <w:rPr>
                <w:rFonts w:ascii="Arial" w:cs="Arial" w:eastAsia="Arial" w:hAnsi="Arial"/>
                <w:sz w:val="17"/>
                <w:szCs w:val="17"/>
                <w:color w:val="auto"/>
              </w:rPr>
              <w:t>Obligations of states and political</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subdivisions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52,493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597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12,240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553</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64,733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Corporate</w:t>
            </w:r>
          </w:p>
        </w:tc>
        <w:tc>
          <w:tcPr>
            <w:tcW w:w="1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30,550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290</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30,550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290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Trust preferred</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433</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433</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Total</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272,152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1,744</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55,638</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1,775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327,790</w:t>
            </w:r>
          </w:p>
        </w:tc>
        <w:tc>
          <w:tcPr>
            <w:tcW w:w="1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3,519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Our portfolio of securities available-for-sale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 aforementioned recovery criteria, the amount of impairment recognized in earnings is limited to the amount related to credit losses, while impairment related to other factors is recognized in other comprehensive income or (loss).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U.S. agency, U.S. agency residential mortgage-backed securities and U.S. agency commercial mortgage backed securities — at June 30, 2016, we had 19 U.S. agency, 56 U.S. agency residential mortgage-backed and four U.S. agency commercial mortgage-backed securities whose fair market value is less than amortized cost. The unrealized losses are largely attributed to increases in interest rates since acquisition and widening spreads to Treasury bonds. As management does not intend to liquidate these securities and it is more likely than not that we will not be required to sell these securities prior to recovery of these unrealized losses, no declines are deemed to be other than temporary.</w:t>
      </w:r>
    </w:p>
    <w:p>
      <w:pPr>
        <w:spacing w:after="0" w:line="206"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Private label mortgage backed securities — at June 30, 2016, we had nine of this type of security whose fair value is less than amortized cost. The unrealized losses are primarily attributed to four securities purchased prior to 2016. Two of these four securities have an impairment in excess of 10% and three of these holdings have been impaired for more than 12 months. The unrealized losses are largely attributable to credit spread widening on these four securities since their acquisition.</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These four securities are receiving principal and interest payments. Most of these transactions are pass-through structures, receiving pro rata principal and interest payments from a dedicated collateral pool. The nonreceipt of interest cash flows is not expected and thus not presently considered in our discounted cash flow methodology discussed below.</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four private label mortgage-backed securities are reviewed for other than temporary impairment (“OTTI”) utilizing a cash flow projection. The cash flow analysis forecasts cash flow from the underlying loans in each transaction and then applies these cash flows to the bonds in the securitization. Our cash flow analysis forecasts complete recovery of our cost basis for all four of these securities whose fair value is less than amortized cost.</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management does not intend to liquidate these securities and it is more likely than not that we will not be required to sell these securities prior to recovery of these unrealized losses, no other declines discussed above are deemed to be other than temporary.</w:t>
      </w:r>
    </w:p>
    <w:p>
      <w:pPr>
        <w:spacing w:after="0" w:line="190"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Other asset backed — at June 30, 2016, we had 88 other asset backed securities whose fair value is less than amortized cost. The unrealized losses are primarily due to credit spread widening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Obligations of states and political subdivisions — at June 30, 2016, we had 52 municipal securities whose fair value is less than amortized cost. The unrealized losses are primarily due to increases in interest rates since acquisition. One of these securities has an impairment in excess of 10%. As management does not intend to liquidate these securities and it is more likely than not that we will not be required to sell these securities prior to recovery of these unrealized losses, no declines are deemed to be other than temporary.</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Corporate — at June 30, 2016, we had eight corporate securities whose fair value is less than amortized cost. The unrealized losses are primarily due to credit spread widening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jc w:val="both"/>
        <w:spacing w:after="0" w:line="343" w:lineRule="auto"/>
        <w:rPr>
          <w:sz w:val="20"/>
          <w:szCs w:val="20"/>
          <w:color w:val="auto"/>
        </w:rPr>
      </w:pPr>
      <w:r>
        <w:rPr>
          <w:rFonts w:ascii="Arial" w:cs="Arial" w:eastAsia="Arial" w:hAnsi="Arial"/>
          <w:sz w:val="15"/>
          <w:szCs w:val="15"/>
          <w:color w:val="auto"/>
        </w:rPr>
        <w:t>Trust preferred securities — at June 30, 2016, we had three trust preferred securities whose fair value is less than amortized cost. All of our trust preferred securities are single issue securities issued by a trust subsidiary of a bank holding company. The pricing of trust preferred securities has suffered from credit spread widening.</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One of the three securities is rated by two major rating agencies as investment grade, while one (a Bank of America issuance) is rated below investment grade by two major rating agencies and the other one is non-rated. The non-rated issue is a relatively small bank and was never rated. The issuer of this non-rated trust preferred security, which had a total amortized cost of $1.0 million and total fair value of $0.7 million as of June 30, 2016, continues to have satisfactory credit metrics and make interest payments.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breaks out our trust preferred securities in further detail as of June 30, 2016 and December 31, 2015:</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00" w:type="dxa"/>
            <w:vAlign w:val="bottom"/>
            <w:gridSpan w:val="5"/>
          </w:tcPr>
          <w:p>
            <w:pPr>
              <w:jc w:val="right"/>
              <w:ind w:right="840"/>
              <w:spacing w:after="0"/>
              <w:rPr>
                <w:sz w:val="20"/>
                <w:szCs w:val="20"/>
                <w:color w:val="auto"/>
              </w:rPr>
            </w:pPr>
            <w:r>
              <w:rPr>
                <w:rFonts w:ascii="Arial" w:cs="Arial" w:eastAsia="Arial" w:hAnsi="Arial"/>
                <w:sz w:val="17"/>
                <w:szCs w:val="17"/>
                <w:color w:val="auto"/>
                <w:w w:val="89"/>
              </w:rPr>
              <w:t>June 30, 2016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40" w:type="dxa"/>
            <w:vAlign w:val="bottom"/>
            <w:gridSpan w:val="5"/>
          </w:tcPr>
          <w:p>
            <w:pPr>
              <w:jc w:val="right"/>
              <w:ind w:right="680"/>
              <w:spacing w:after="0"/>
              <w:rPr>
                <w:sz w:val="20"/>
                <w:szCs w:val="20"/>
                <w:color w:val="auto"/>
              </w:rPr>
            </w:pPr>
            <w:r>
              <w:rPr>
                <w:rFonts w:ascii="Arial" w:cs="Arial" w:eastAsia="Arial" w:hAnsi="Arial"/>
                <w:sz w:val="17"/>
                <w:szCs w:val="17"/>
                <w:color w:val="auto"/>
              </w:rPr>
              <w:t>December 31, 2015</w:t>
            </w:r>
          </w:p>
        </w:tc>
      </w:tr>
      <w:tr>
        <w:trPr>
          <w:trHeight w:val="204"/>
        </w:trPr>
        <w:tc>
          <w:tcPr>
            <w:tcW w:w="38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Net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Net</w:t>
            </w:r>
          </w:p>
        </w:tc>
      </w:tr>
      <w:tr>
        <w:trPr>
          <w:trHeight w:val="204"/>
        </w:trPr>
        <w:tc>
          <w:tcPr>
            <w:tcW w:w="38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760" w:type="dxa"/>
            <w:vAlign w:val="bottom"/>
          </w:tcPr>
          <w:p>
            <w:pPr>
              <w:jc w:val="center"/>
              <w:ind w:left="315"/>
              <w:spacing w:after="0"/>
              <w:rPr>
                <w:sz w:val="20"/>
                <w:szCs w:val="20"/>
                <w:color w:val="auto"/>
              </w:rPr>
            </w:pPr>
            <w:r>
              <w:rPr>
                <w:rFonts w:ascii="Arial" w:cs="Arial" w:eastAsia="Arial" w:hAnsi="Arial"/>
                <w:sz w:val="17"/>
                <w:szCs w:val="17"/>
                <w:color w:val="auto"/>
                <w:w w:val="95"/>
              </w:rPr>
              <w:t>Fair</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7"/>
                <w:szCs w:val="17"/>
                <w:color w:val="auto"/>
                <w:w w:val="91"/>
              </w:rPr>
              <w:t>Unrealized</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jc w:val="center"/>
              <w:ind w:right="600"/>
              <w:spacing w:after="0"/>
              <w:rPr>
                <w:sz w:val="20"/>
                <w:szCs w:val="20"/>
                <w:color w:val="auto"/>
              </w:rPr>
            </w:pPr>
            <w:r>
              <w:rPr>
                <w:rFonts w:ascii="Arial" w:cs="Arial" w:eastAsia="Arial" w:hAnsi="Arial"/>
                <w:sz w:val="17"/>
                <w:szCs w:val="17"/>
                <w:color w:val="auto"/>
                <w:w w:val="88"/>
              </w:rPr>
              <w:t>Fair</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color w:val="auto"/>
                <w:w w:val="91"/>
              </w:rPr>
              <w:t>Unrealized</w:t>
            </w:r>
          </w:p>
        </w:tc>
      </w:tr>
      <w:tr>
        <w:trPr>
          <w:trHeight w:val="222"/>
        </w:trPr>
        <w:tc>
          <w:tcPr>
            <w:tcW w:w="38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760" w:type="dxa"/>
            <w:vAlign w:val="bottom"/>
            <w:tcBorders>
              <w:bottom w:val="single" w:sz="8" w:color="auto"/>
            </w:tcBorders>
          </w:tcPr>
          <w:p>
            <w:pPr>
              <w:jc w:val="center"/>
              <w:ind w:left="295"/>
              <w:spacing w:after="0"/>
              <w:rPr>
                <w:sz w:val="20"/>
                <w:szCs w:val="20"/>
                <w:color w:val="auto"/>
              </w:rPr>
            </w:pPr>
            <w:r>
              <w:rPr>
                <w:rFonts w:ascii="Arial" w:cs="Arial" w:eastAsia="Arial" w:hAnsi="Arial"/>
                <w:sz w:val="17"/>
                <w:szCs w:val="17"/>
                <w:color w:val="auto"/>
                <w:w w:val="87"/>
              </w:rPr>
              <w:t>Value</w:t>
            </w: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8"/>
              </w:rPr>
              <w:t>Loss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275"/>
              <w:spacing w:after="0"/>
              <w:rPr>
                <w:sz w:val="20"/>
                <w:szCs w:val="20"/>
                <w:color w:val="auto"/>
              </w:rPr>
            </w:pPr>
            <w:r>
              <w:rPr>
                <w:rFonts w:ascii="Arial" w:cs="Arial" w:eastAsia="Arial" w:hAnsi="Arial"/>
                <w:sz w:val="17"/>
                <w:szCs w:val="17"/>
                <w:color w:val="auto"/>
                <w:w w:val="87"/>
              </w:rPr>
              <w:t>Value</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88"/>
              </w:rPr>
              <w:t>Loss</w:t>
            </w:r>
          </w:p>
        </w:tc>
        <w:tc>
          <w:tcPr>
            <w:tcW w:w="100" w:type="dxa"/>
            <w:vAlign w:val="bottom"/>
          </w:tcPr>
          <w:p>
            <w:pPr>
              <w:spacing w:after="0"/>
              <w:rPr>
                <w:sz w:val="19"/>
                <w:szCs w:val="19"/>
                <w:color w:val="auto"/>
              </w:rPr>
            </w:pPr>
          </w:p>
        </w:tc>
      </w:tr>
      <w:tr>
        <w:trPr>
          <w:trHeight w:val="215"/>
        </w:trPr>
        <w:tc>
          <w:tcPr>
            <w:tcW w:w="3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95"/>
              <w:spacing w:after="0"/>
              <w:rPr>
                <w:sz w:val="20"/>
                <w:szCs w:val="20"/>
                <w:color w:val="auto"/>
              </w:rPr>
            </w:pPr>
            <w:r>
              <w:rPr>
                <w:rFonts w:ascii="Arial" w:cs="Arial" w:eastAsia="Arial" w:hAnsi="Arial"/>
                <w:sz w:val="17"/>
                <w:szCs w:val="17"/>
                <w:color w:val="auto"/>
              </w:rPr>
              <w:t>(In</w:t>
            </w:r>
          </w:p>
        </w:tc>
        <w:tc>
          <w:tcPr>
            <w:tcW w:w="600" w:type="dxa"/>
            <w:vAlign w:val="bottom"/>
            <w:gridSpan w:val="3"/>
          </w:tcPr>
          <w:p>
            <w:pPr>
              <w:jc w:val="right"/>
              <w:spacing w:after="0"/>
              <w:rPr>
                <w:sz w:val="20"/>
                <w:szCs w:val="20"/>
                <w:color w:val="auto"/>
              </w:rPr>
            </w:pPr>
            <w:r>
              <w:rPr>
                <w:rFonts w:ascii="Arial" w:cs="Arial" w:eastAsia="Arial" w:hAnsi="Arial"/>
                <w:sz w:val="16"/>
                <w:szCs w:val="16"/>
                <w:color w:val="auto"/>
                <w:w w:val="73"/>
              </w:rPr>
              <w:t>thousands)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6"/>
        </w:trPr>
        <w:tc>
          <w:tcPr>
            <w:tcW w:w="3880" w:type="dxa"/>
            <w:vAlign w:val="bottom"/>
          </w:tcPr>
          <w:p>
            <w:pPr>
              <w:spacing w:after="0"/>
              <w:rPr>
                <w:sz w:val="20"/>
                <w:szCs w:val="20"/>
                <w:color w:val="auto"/>
              </w:rPr>
            </w:pPr>
            <w:r>
              <w:rPr>
                <w:rFonts w:ascii="Arial" w:cs="Arial" w:eastAsia="Arial" w:hAnsi="Arial"/>
                <w:sz w:val="17"/>
                <w:szCs w:val="17"/>
                <w:color w:val="auto"/>
              </w:rPr>
              <w:t>Trust preferred securities</w:t>
            </w:r>
          </w:p>
        </w:tc>
        <w:tc>
          <w:tcPr>
            <w:tcW w:w="2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4"/>
        </w:trPr>
        <w:tc>
          <w:tcPr>
            <w:tcW w:w="3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Rated issues</w:t>
            </w:r>
          </w:p>
        </w:tc>
        <w:tc>
          <w:tcPr>
            <w:tcW w:w="2940" w:type="dxa"/>
            <w:vAlign w:val="bottom"/>
            <w:gridSpan w:val="2"/>
            <w:shd w:val="clear" w:color="auto" w:fill="CCEEFF"/>
          </w:tcPr>
          <w:p>
            <w:pPr>
              <w:jc w:val="right"/>
              <w:ind w:right="595"/>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1,650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1,690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(226)</w:t>
            </w:r>
          </w:p>
        </w:tc>
      </w:tr>
      <w:tr>
        <w:trPr>
          <w:trHeight w:val="215"/>
        </w:trPr>
        <w:tc>
          <w:tcPr>
            <w:tcW w:w="3880" w:type="dxa"/>
            <w:vAlign w:val="bottom"/>
          </w:tcPr>
          <w:p>
            <w:pPr>
              <w:ind w:left="160"/>
              <w:spacing w:after="0"/>
              <w:rPr>
                <w:sz w:val="20"/>
                <w:szCs w:val="20"/>
                <w:color w:val="auto"/>
              </w:rPr>
            </w:pPr>
            <w:r>
              <w:rPr>
                <w:rFonts w:ascii="Arial" w:cs="Arial" w:eastAsia="Arial" w:hAnsi="Arial"/>
                <w:sz w:val="17"/>
                <w:szCs w:val="17"/>
                <w:color w:val="auto"/>
              </w:rPr>
              <w:t>Unrated issues</w:t>
            </w:r>
          </w:p>
        </w:tc>
        <w:tc>
          <w:tcPr>
            <w:tcW w:w="2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747</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(253)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793</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(207)</w:t>
            </w:r>
          </w:p>
        </w:tc>
      </w:tr>
    </w:tbl>
    <w:p>
      <w:pPr>
        <w:spacing w:after="0" w:line="20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management does not intend to liquidate these securities and it is more likely than not that we will not be required to sell these securities prior to recovery of these unrealized losses, no declines are deemed to be other than temporary.</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recorded no credit related OTTI charges in our Condensed Consolidated Statements of Operations related to securities available for sale during the three or six month periods ended June 30, 2016 and 2015,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At June 30, 2016, three private label mortgage-backed securities had credit related OTTI and are summarized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7"/>
                <w:szCs w:val="17"/>
                <w:color w:val="auto"/>
                <w:w w:val="88"/>
              </w:rPr>
              <w:t>Super</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7"/>
                <w:szCs w:val="17"/>
                <w:color w:val="auto"/>
                <w:w w:val="89"/>
              </w:rPr>
              <w:t>Senior</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Arial" w:cs="Arial" w:eastAsia="Arial" w:hAnsi="Arial"/>
                <w:sz w:val="17"/>
                <w:szCs w:val="17"/>
                <w:color w:val="auto"/>
              </w:rPr>
              <w:t>Senior</w:t>
            </w:r>
          </w:p>
        </w:tc>
        <w:tc>
          <w:tcPr>
            <w:tcW w:w="18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7"/>
                <w:szCs w:val="17"/>
                <w:color w:val="auto"/>
                <w:w w:val="89"/>
              </w:rPr>
              <w:t>Senior</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7"/>
                <w:szCs w:val="17"/>
                <w:color w:val="auto"/>
                <w:w w:val="90"/>
              </w:rPr>
              <w:t>Support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Security</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91"/>
              </w:rPr>
              <w:t>Security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94"/>
              </w:rPr>
              <w:t>Security</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ind w:left="580"/>
              <w:spacing w:after="0"/>
              <w:rPr>
                <w:sz w:val="20"/>
                <w:szCs w:val="20"/>
                <w:color w:val="auto"/>
              </w:rPr>
            </w:pPr>
            <w:r>
              <w:rPr>
                <w:rFonts w:ascii="Arial" w:cs="Arial" w:eastAsia="Arial" w:hAnsi="Arial"/>
                <w:sz w:val="17"/>
                <w:szCs w:val="17"/>
                <w:color w:val="auto"/>
              </w:rPr>
              <w:t>(In</w:t>
            </w:r>
          </w:p>
        </w:tc>
        <w:tc>
          <w:tcPr>
            <w:tcW w:w="1380" w:type="dxa"/>
            <w:vAlign w:val="bottom"/>
            <w:gridSpan w:val="4"/>
          </w:tcPr>
          <w:p>
            <w:pPr>
              <w:jc w:val="right"/>
              <w:ind w:right="695"/>
              <w:spacing w:after="0"/>
              <w:rPr>
                <w:sz w:val="20"/>
                <w:szCs w:val="20"/>
                <w:color w:val="auto"/>
              </w:rPr>
            </w:pPr>
            <w:r>
              <w:rPr>
                <w:rFonts w:ascii="Arial" w:cs="Arial" w:eastAsia="Arial" w:hAnsi="Arial"/>
                <w:sz w:val="16"/>
                <w:szCs w:val="16"/>
                <w:color w:val="auto"/>
                <w:w w:val="73"/>
              </w:rPr>
              <w:t>thousands)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520" w:type="dxa"/>
            <w:vAlign w:val="bottom"/>
            <w:gridSpan w:val="2"/>
          </w:tcPr>
          <w:p>
            <w:pPr>
              <w:spacing w:after="0"/>
              <w:rPr>
                <w:sz w:val="20"/>
                <w:szCs w:val="20"/>
                <w:color w:val="auto"/>
              </w:rPr>
            </w:pPr>
            <w:r>
              <w:rPr>
                <w:rFonts w:ascii="Arial" w:cs="Arial" w:eastAsia="Arial" w:hAnsi="Arial"/>
                <w:sz w:val="17"/>
                <w:szCs w:val="17"/>
                <w:color w:val="auto"/>
              </w:rPr>
              <w:t>As of June 30, 2016</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Fair value</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1,469</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1,194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00" w:type="dxa"/>
            <w:vAlign w:val="bottom"/>
          </w:tcPr>
          <w:p>
            <w:pPr>
              <w:ind w:left="140"/>
              <w:spacing w:after="0"/>
              <w:rPr>
                <w:sz w:val="20"/>
                <w:szCs w:val="20"/>
                <w:color w:val="auto"/>
              </w:rPr>
            </w:pPr>
            <w:r>
              <w:rPr>
                <w:rFonts w:ascii="Arial" w:cs="Arial" w:eastAsia="Arial" w:hAnsi="Arial"/>
                <w:sz w:val="17"/>
                <w:szCs w:val="17"/>
                <w:color w:val="auto"/>
              </w:rPr>
              <w:t>Amortized cost</w:t>
            </w: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1,396</w:t>
            </w:r>
          </w:p>
        </w:tc>
        <w:tc>
          <w:tcPr>
            <w:tcW w:w="18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1,129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Non-credit unrealized loss</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00" w:type="dxa"/>
            <w:vAlign w:val="bottom"/>
          </w:tcPr>
          <w:p>
            <w:pPr>
              <w:ind w:left="140"/>
              <w:spacing w:after="0"/>
              <w:rPr>
                <w:sz w:val="20"/>
                <w:szCs w:val="20"/>
                <w:color w:val="auto"/>
              </w:rPr>
            </w:pPr>
            <w:r>
              <w:rPr>
                <w:rFonts w:ascii="Arial" w:cs="Arial" w:eastAsia="Arial" w:hAnsi="Arial"/>
                <w:sz w:val="17"/>
                <w:szCs w:val="17"/>
                <w:color w:val="auto"/>
              </w:rPr>
              <w:t>Unrealized gain</w:t>
            </w: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Cumulative credit related OTTI</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757</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457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380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5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Credit related OTTI recognized in our Condensed</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00" w:type="dxa"/>
            <w:vAlign w:val="bottom"/>
          </w:tcPr>
          <w:p>
            <w:pPr>
              <w:ind w:left="140"/>
              <w:spacing w:after="0"/>
              <w:rPr>
                <w:sz w:val="20"/>
                <w:szCs w:val="20"/>
                <w:color w:val="auto"/>
              </w:rPr>
            </w:pPr>
            <w:r>
              <w:rPr>
                <w:rFonts w:ascii="Arial" w:cs="Arial" w:eastAsia="Arial" w:hAnsi="Arial"/>
                <w:sz w:val="17"/>
                <w:szCs w:val="17"/>
                <w:color w:val="auto"/>
              </w:rPr>
              <w:t>Consolidated Statements of Operations</w:t>
            </w: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For the three months ended June 30,</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00" w:type="dxa"/>
            <w:vAlign w:val="bottom"/>
          </w:tcPr>
          <w:p>
            <w:pPr>
              <w:ind w:left="440"/>
              <w:spacing w:after="0"/>
              <w:rPr>
                <w:sz w:val="20"/>
                <w:szCs w:val="20"/>
                <w:color w:val="auto"/>
              </w:rPr>
            </w:pPr>
            <w:r>
              <w:rPr>
                <w:rFonts w:ascii="Arial" w:cs="Arial" w:eastAsia="Arial" w:hAnsi="Arial"/>
                <w:sz w:val="17"/>
                <w:szCs w:val="17"/>
                <w:color w:val="auto"/>
              </w:rPr>
              <w:t>2016</w:t>
            </w:r>
          </w:p>
        </w:tc>
        <w:tc>
          <w:tcPr>
            <w:tcW w:w="17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2015</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00" w:type="dxa"/>
            <w:vAlign w:val="bottom"/>
          </w:tcPr>
          <w:p>
            <w:pPr>
              <w:ind w:left="280"/>
              <w:spacing w:after="0"/>
              <w:rPr>
                <w:sz w:val="20"/>
                <w:szCs w:val="20"/>
                <w:color w:val="auto"/>
              </w:rPr>
            </w:pPr>
            <w:r>
              <w:rPr>
                <w:rFonts w:ascii="Arial" w:cs="Arial" w:eastAsia="Arial" w:hAnsi="Arial"/>
                <w:sz w:val="17"/>
                <w:szCs w:val="17"/>
                <w:color w:val="auto"/>
              </w:rPr>
              <w:t>For the six months ended June 30,</w:t>
            </w: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2016</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tcPr>
          <w:p>
            <w:pPr>
              <w:ind w:left="440"/>
              <w:spacing w:after="0"/>
              <w:rPr>
                <w:sz w:val="20"/>
                <w:szCs w:val="20"/>
                <w:color w:val="auto"/>
              </w:rPr>
            </w:pPr>
            <w:r>
              <w:rPr>
                <w:rFonts w:ascii="Arial" w:cs="Arial" w:eastAsia="Arial" w:hAnsi="Arial"/>
                <w:sz w:val="17"/>
                <w:szCs w:val="17"/>
                <w:color w:val="auto"/>
              </w:rPr>
              <w:t>2015</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540" w:type="dxa"/>
            <w:vAlign w:val="bottom"/>
          </w:tcPr>
          <w:p>
            <w:pPr>
              <w:jc w:val="right"/>
              <w:ind w:right="201"/>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5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Each of these securities is receiving principal and interest payments similar to principal reductions in the underlying collateral. All three of these securities have unrealized gains at June 30, 2016. The original amortized cost for each of these securities has been permanently adjusted downward for previously recorded credit related OTTI. The unrealized loss (based on original amortized cost) for these securities is now less than previously recorded credit related OTTI amounts.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A roll forward of credit losses recognized in earnings on securities available for sale for the three and six month periods ending June 30,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5"/>
          </w:tcPr>
          <w:p>
            <w:pPr>
              <w:jc w:val="right"/>
              <w:ind w:right="800"/>
              <w:spacing w:after="0"/>
              <w:rPr>
                <w:sz w:val="20"/>
                <w:szCs w:val="20"/>
                <w:color w:val="auto"/>
              </w:rPr>
            </w:pPr>
            <w:r>
              <w:rPr>
                <w:rFonts w:ascii="Arial" w:cs="Arial" w:eastAsia="Arial" w:hAnsi="Arial"/>
                <w:sz w:val="17"/>
                <w:szCs w:val="17"/>
                <w:color w:val="auto"/>
              </w:rPr>
              <w:t>Three months ended</w:t>
            </w:r>
          </w:p>
        </w:tc>
        <w:tc>
          <w:tcPr>
            <w:tcW w:w="140" w:type="dxa"/>
            <w:vAlign w:val="bottom"/>
          </w:tcPr>
          <w:p>
            <w:pPr>
              <w:spacing w:after="0"/>
              <w:rPr>
                <w:sz w:val="17"/>
                <w:szCs w:val="17"/>
                <w:color w:val="auto"/>
              </w:rPr>
            </w:pPr>
          </w:p>
        </w:tc>
        <w:tc>
          <w:tcPr>
            <w:tcW w:w="2460" w:type="dxa"/>
            <w:vAlign w:val="bottom"/>
            <w:gridSpan w:val="5"/>
          </w:tcPr>
          <w:p>
            <w:pPr>
              <w:jc w:val="right"/>
              <w:ind w:right="740"/>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3"/>
          </w:tcPr>
          <w:p>
            <w:pPr>
              <w:jc w:val="right"/>
              <w:ind w:right="146"/>
              <w:spacing w:after="0"/>
              <w:rPr>
                <w:sz w:val="20"/>
                <w:szCs w:val="20"/>
                <w:color w:val="auto"/>
              </w:rPr>
            </w:pPr>
            <w:r>
              <w:rPr>
                <w:rFonts w:ascii="Arial" w:cs="Arial" w:eastAsia="Arial" w:hAnsi="Arial"/>
                <w:sz w:val="17"/>
                <w:szCs w:val="17"/>
                <w:color w:val="auto"/>
              </w:rPr>
              <w:t>June 30,</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3"/>
          </w:tcPr>
          <w:p>
            <w:pPr>
              <w:jc w:val="right"/>
              <w:ind w:right="139"/>
              <w:spacing w:after="0"/>
              <w:rPr>
                <w:sz w:val="20"/>
                <w:szCs w:val="20"/>
                <w:color w:val="auto"/>
              </w:rPr>
            </w:pPr>
            <w:r>
              <w:rPr>
                <w:rFonts w:ascii="Arial" w:cs="Arial" w:eastAsia="Arial" w:hAnsi="Arial"/>
                <w:sz w:val="17"/>
                <w:szCs w:val="17"/>
                <w:color w:val="auto"/>
              </w:rPr>
              <w:t>June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2016</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w w:val="89"/>
              </w:rPr>
              <w:t>2015</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89"/>
              </w:rPr>
              <w:t>2016</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295"/>
              <w:spacing w:after="0"/>
              <w:rPr>
                <w:sz w:val="20"/>
                <w:szCs w:val="20"/>
                <w:color w:val="auto"/>
              </w:rPr>
            </w:pPr>
            <w:r>
              <w:rPr>
                <w:rFonts w:ascii="Arial" w:cs="Arial" w:eastAsia="Arial" w:hAnsi="Arial"/>
                <w:sz w:val="17"/>
                <w:szCs w:val="17"/>
                <w:color w:val="auto"/>
                <w:w w:val="89"/>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73"/>
              </w:rPr>
              <w:t>thousands)</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95"/>
              <w:spacing w:after="0"/>
              <w:rPr>
                <w:sz w:val="20"/>
                <w:szCs w:val="20"/>
                <w:color w:val="auto"/>
              </w:rPr>
            </w:pPr>
            <w:r>
              <w:rPr>
                <w:rFonts w:ascii="Arial" w:cs="Arial" w:eastAsia="Arial" w:hAnsi="Arial"/>
                <w:sz w:val="17"/>
                <w:szCs w:val="17"/>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73"/>
              </w:rPr>
              <w:t>thousands)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1,844</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1,844</w:t>
            </w: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60" w:type="dxa"/>
            <w:vAlign w:val="bottom"/>
          </w:tcPr>
          <w:p>
            <w:pPr>
              <w:ind w:left="140"/>
              <w:spacing w:after="0"/>
              <w:rPr>
                <w:sz w:val="20"/>
                <w:szCs w:val="20"/>
                <w:color w:val="auto"/>
              </w:rPr>
            </w:pPr>
            <w:r>
              <w:rPr>
                <w:rFonts w:ascii="Arial" w:cs="Arial" w:eastAsia="Arial" w:hAnsi="Arial"/>
                <w:sz w:val="17"/>
                <w:szCs w:val="17"/>
                <w:color w:val="auto"/>
                <w:w w:val="94"/>
              </w:rPr>
              <w:t>Additions to credit losses on securities for which no previous OTTI was recognized</w:t>
            </w:r>
          </w:p>
        </w:tc>
        <w:tc>
          <w:tcPr>
            <w:tcW w:w="2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w w:val="96"/>
              </w:rPr>
              <w:t>Increases to credit losses on securities for which OTTI was previously recognized</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0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Balance at end of period</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1,844</w:t>
            </w:r>
          </w:p>
        </w:tc>
        <w:tc>
          <w:tcPr>
            <w:tcW w:w="220" w:type="dxa"/>
            <w:vAlign w:val="bottom"/>
          </w:tcPr>
          <w:p>
            <w:pPr>
              <w:spacing w:after="0"/>
              <w:rPr>
                <w:sz w:val="17"/>
                <w:szCs w:val="17"/>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1,844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1,844</w:t>
            </w:r>
          </w:p>
        </w:tc>
        <w:tc>
          <w:tcPr>
            <w:tcW w:w="360" w:type="dxa"/>
            <w:vAlign w:val="bottom"/>
          </w:tcPr>
          <w:p>
            <w:pPr>
              <w:jc w:val="right"/>
              <w:ind w:right="219"/>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1,844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7820" w:type="dxa"/>
            <w:vAlign w:val="bottom"/>
            <w:gridSpan w:val="6"/>
          </w:tcPr>
          <w:p>
            <w:pPr>
              <w:spacing w:after="0"/>
              <w:rPr>
                <w:sz w:val="20"/>
                <w:szCs w:val="20"/>
                <w:color w:val="auto"/>
              </w:rPr>
            </w:pPr>
            <w:r>
              <w:rPr>
                <w:rFonts w:ascii="Arial" w:cs="Arial" w:eastAsia="Arial" w:hAnsi="Arial"/>
                <w:sz w:val="17"/>
                <w:szCs w:val="17"/>
                <w:color w:val="auto"/>
                <w:w w:val="91"/>
              </w:rPr>
              <w:t>The amortized cost and fair value of securities available for sale at June 30, 2016, by contractual maturity, follow:</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7"/>
                <w:szCs w:val="17"/>
                <w:color w:val="auto"/>
                <w:w w:val="94"/>
              </w:rPr>
              <w:t>Amortized</w:t>
            </w:r>
          </w:p>
        </w:tc>
        <w:tc>
          <w:tcPr>
            <w:tcW w:w="360" w:type="dxa"/>
            <w:vAlign w:val="bottom"/>
          </w:tcPr>
          <w:p>
            <w:pPr>
              <w:spacing w:after="0"/>
              <w:rPr>
                <w:sz w:val="24"/>
                <w:szCs w:val="24"/>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7"/>
                <w:szCs w:val="17"/>
                <w:color w:val="auto"/>
                <w:w w:val="88"/>
              </w:rPr>
              <w:t>Fair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91"/>
              </w:rPr>
              <w:t>Cost</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295"/>
              <w:spacing w:after="0"/>
              <w:rPr>
                <w:sz w:val="20"/>
                <w:szCs w:val="20"/>
                <w:color w:val="auto"/>
              </w:rPr>
            </w:pPr>
            <w:r>
              <w:rPr>
                <w:rFonts w:ascii="Arial" w:cs="Arial" w:eastAsia="Arial" w:hAnsi="Arial"/>
                <w:sz w:val="17"/>
                <w:szCs w:val="17"/>
                <w:color w:val="auto"/>
                <w:w w:val="87"/>
              </w:rPr>
              <w:t>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95"/>
              <w:spacing w:after="0"/>
              <w:rPr>
                <w:sz w:val="20"/>
                <w:szCs w:val="20"/>
                <w:color w:val="auto"/>
              </w:rPr>
            </w:pPr>
            <w:r>
              <w:rPr>
                <w:rFonts w:ascii="Arial" w:cs="Arial" w:eastAsia="Arial" w:hAnsi="Arial"/>
                <w:sz w:val="17"/>
                <w:szCs w:val="17"/>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73"/>
              </w:rPr>
              <w:t>thousands)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Maturing within one year</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jc w:val="right"/>
              <w:ind w:right="1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27,502</w:t>
            </w:r>
          </w:p>
        </w:tc>
        <w:tc>
          <w:tcPr>
            <w:tcW w:w="24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jc w:val="right"/>
              <w:ind w:right="23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27,533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Maturing after one year but within five years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79,845</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80,614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Maturing after five years but within ten years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66,708</w:t>
            </w:r>
          </w:p>
        </w:tc>
        <w:tc>
          <w:tcPr>
            <w:tcW w:w="24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67,656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Maturing after ten years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67,487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67,801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241,542</w:t>
            </w:r>
          </w:p>
        </w:tc>
        <w:tc>
          <w:tcPr>
            <w:tcW w:w="240" w:type="dxa"/>
            <w:vAlign w:val="bottom"/>
            <w:tcBorders>
              <w:right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243,604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U.S. agency residential mortgage-backed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180,415</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182,063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U.S. agency commercial mortgage-backed</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7,832</w:t>
            </w:r>
          </w:p>
        </w:tc>
        <w:tc>
          <w:tcPr>
            <w:tcW w:w="24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Private label residential mortgage-backed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26,202</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26,246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asset backed</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139,895</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139,846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60" w:type="dxa"/>
            <w:vAlign w:val="bottom"/>
          </w:tcPr>
          <w:p>
            <w:pPr>
              <w:ind w:left="140"/>
              <w:spacing w:after="0"/>
              <w:rPr>
                <w:sz w:val="20"/>
                <w:szCs w:val="20"/>
                <w:color w:val="auto"/>
              </w:rPr>
            </w:pPr>
            <w:r>
              <w:rPr>
                <w:rFonts w:ascii="Arial" w:cs="Arial" w:eastAsia="Arial" w:hAnsi="Arial"/>
                <w:sz w:val="17"/>
                <w:szCs w:val="17"/>
                <w:color w:val="auto"/>
              </w:rPr>
              <w:t>Total</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jc w:val="right"/>
              <w:ind w:right="1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595,886</w:t>
            </w:r>
          </w:p>
        </w:tc>
        <w:tc>
          <w:tcPr>
            <w:tcW w:w="240" w:type="dxa"/>
            <w:vAlign w:val="bottom"/>
          </w:tcPr>
          <w:p>
            <w:pPr>
              <w:spacing w:after="0"/>
              <w:rPr>
                <w:sz w:val="17"/>
                <w:szCs w:val="17"/>
                <w:color w:val="auto"/>
              </w:rPr>
            </w:pPr>
          </w:p>
        </w:tc>
        <w:tc>
          <w:tcPr>
            <w:tcW w:w="360" w:type="dxa"/>
            <w:vAlign w:val="bottom"/>
            <w:tcBorders>
              <w:bottom w:val="single" w:sz="8" w:color="auto"/>
            </w:tcBorders>
          </w:tcPr>
          <w:p>
            <w:pPr>
              <w:jc w:val="right"/>
              <w:ind w:right="23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599,755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actual maturity may differ from the contractual maturity because issuers may have the right to call or prepay obligations with or without call or prepayment penalties.</w:t>
      </w:r>
    </w:p>
    <w:p>
      <w:pPr>
        <w:spacing w:after="0" w:line="1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Gains and losses realized on the sale of securities available for sale are determined using the specific identification method and are recognized on a trade-date basis. A summary of proceeds from the sale of securities available for sale and gains and losses for the six month periods ending June 30,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7"/>
                <w:szCs w:val="17"/>
                <w:color w:val="auto"/>
                <w:w w:val="87"/>
              </w:rPr>
              <w:t>Realized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7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7"/>
                <w:szCs w:val="17"/>
                <w:color w:val="auto"/>
                <w:w w:val="94"/>
              </w:rPr>
              <w:t>Proceeds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7"/>
                <w:szCs w:val="17"/>
                <w:color w:val="auto"/>
                <w:w w:val="85"/>
              </w:rPr>
              <w:t>Gains</w:t>
            </w:r>
          </w:p>
        </w:tc>
        <w:tc>
          <w:tcPr>
            <w:tcW w:w="200" w:type="dxa"/>
            <w:vAlign w:val="bottom"/>
          </w:tcPr>
          <w:p>
            <w:pPr>
              <w:spacing w:after="0"/>
              <w:rPr>
                <w:sz w:val="19"/>
                <w:szCs w:val="19"/>
                <w:color w:val="auto"/>
              </w:rPr>
            </w:pPr>
          </w:p>
        </w:tc>
        <w:tc>
          <w:tcPr>
            <w:tcW w:w="920" w:type="dxa"/>
            <w:vAlign w:val="bottom"/>
          </w:tcPr>
          <w:p>
            <w:pPr>
              <w:jc w:val="right"/>
              <w:ind w:right="255"/>
              <w:spacing w:after="0"/>
              <w:rPr>
                <w:sz w:val="20"/>
                <w:szCs w:val="20"/>
                <w:color w:val="auto"/>
              </w:rPr>
            </w:pPr>
            <w:r>
              <w:rPr>
                <w:rFonts w:ascii="Arial" w:cs="Arial" w:eastAsia="Arial" w:hAnsi="Arial"/>
                <w:sz w:val="17"/>
                <w:szCs w:val="17"/>
                <w:color w:val="auto"/>
              </w:rPr>
              <w:t>Losses</w:t>
            </w:r>
          </w:p>
        </w:tc>
        <w:tc>
          <w:tcPr>
            <w:tcW w:w="100" w:type="dxa"/>
            <w:vAlign w:val="bottom"/>
          </w:tcPr>
          <w:p>
            <w:pPr>
              <w:spacing w:after="0"/>
              <w:rPr>
                <w:sz w:val="19"/>
                <w:szCs w:val="19"/>
                <w:color w:val="auto"/>
              </w:rPr>
            </w:pPr>
          </w:p>
        </w:tc>
      </w:tr>
      <w:tr>
        <w:trPr>
          <w:trHeight w:val="204"/>
        </w:trPr>
        <w:tc>
          <w:tcPr>
            <w:tcW w:w="74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7"/>
                <w:szCs w:val="17"/>
                <w:color w:val="auto"/>
                <w:w w:val="90"/>
              </w:rPr>
              <w:t>(In thousands)</w:t>
            </w: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7440" w:type="dxa"/>
            <w:vAlign w:val="bottom"/>
            <w:shd w:val="clear" w:color="auto" w:fill="CCEEFF"/>
          </w:tcPr>
          <w:p>
            <w:pPr>
              <w:jc w:val="right"/>
              <w:ind w:right="7015"/>
              <w:spacing w:after="0"/>
              <w:rPr>
                <w:sz w:val="20"/>
                <w:szCs w:val="20"/>
                <w:color w:val="auto"/>
              </w:rPr>
            </w:pPr>
            <w:r>
              <w:rPr>
                <w:rFonts w:ascii="Arial" w:cs="Arial" w:eastAsia="Arial" w:hAnsi="Arial"/>
                <w:sz w:val="17"/>
                <w:szCs w:val="17"/>
                <w:color w:val="auto"/>
                <w:w w:val="84"/>
              </w:rPr>
              <w:t>2016</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55,362</w:t>
            </w:r>
          </w:p>
        </w:tc>
        <w:tc>
          <w:tcPr>
            <w:tcW w:w="30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336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7"/>
                <w:szCs w:val="17"/>
                <w:color w:val="auto"/>
              </w:rPr>
            </w:pPr>
          </w:p>
        </w:tc>
      </w:tr>
      <w:tr>
        <w:trPr>
          <w:trHeight w:val="215"/>
        </w:trPr>
        <w:tc>
          <w:tcPr>
            <w:tcW w:w="7440" w:type="dxa"/>
            <w:vAlign w:val="bottom"/>
          </w:tcPr>
          <w:p>
            <w:pPr>
              <w:jc w:val="right"/>
              <w:ind w:right="7015"/>
              <w:spacing w:after="0"/>
              <w:rPr>
                <w:sz w:val="20"/>
                <w:szCs w:val="20"/>
                <w:color w:val="auto"/>
              </w:rPr>
            </w:pPr>
            <w:r>
              <w:rPr>
                <w:rFonts w:ascii="Arial" w:cs="Arial" w:eastAsia="Arial" w:hAnsi="Arial"/>
                <w:sz w:val="17"/>
                <w:szCs w:val="17"/>
                <w:color w:val="auto"/>
                <w:w w:val="84"/>
              </w:rPr>
              <w:t>2015</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11,786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bl>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2016 and 2015, our trading securities consisted of various preferred stocks. During the first six months of 2016 and 2015, we recognized gains (losses) on trading securities of $0.064 million and $(0.023) million, respectively, that are included in net gains on securities in the Condensed Consolidated Statements of Operations. Both of these amounts relate to gains (losses) recognized on trading securities still held at each respective period end.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ind w:left="220" w:hanging="218"/>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Loans</w:t>
      </w:r>
    </w:p>
    <w:p>
      <w:pPr>
        <w:spacing w:after="0" w:line="238"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Our assessment of the allowance for loan losses is based on an evaluation of the loan portfolio, recent loss experience, current economic conditions and other pertinent factors.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An analysis of the allowance for loan losses by portfolio segment for the three months ended June 30,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7"/>
                <w:szCs w:val="17"/>
                <w:color w:val="auto"/>
                <w:w w:val="89"/>
              </w:rPr>
              <w:t>Payment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7"/>
                <w:szCs w:val="17"/>
                <w:color w:val="auto"/>
                <w:w w:val="88"/>
              </w:rPr>
              <w:t>Plan</w:t>
            </w:r>
          </w:p>
        </w:tc>
        <w:tc>
          <w:tcPr>
            <w:tcW w:w="160" w:type="dxa"/>
            <w:vAlign w:val="bottom"/>
          </w:tcPr>
          <w:p>
            <w:pPr>
              <w:spacing w:after="0"/>
              <w:rPr>
                <w:sz w:val="17"/>
                <w:szCs w:val="17"/>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7"/>
                <w:szCs w:val="17"/>
                <w:color w:val="auto"/>
                <w:w w:val="96"/>
              </w:rPr>
              <w:t>Subjective</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94"/>
              </w:rPr>
              <w:t>Commercial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Mortgage</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97"/>
              </w:rPr>
              <w:t>Installment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8"/>
              </w:rPr>
              <w:t>Receivables</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Allocation</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20" w:type="dxa"/>
            <w:vAlign w:val="bottom"/>
            <w:gridSpan w:val="2"/>
            <w:vMerge w:val="restart"/>
          </w:tcPr>
          <w:p>
            <w:pPr>
              <w:jc w:val="right"/>
              <w:ind w:right="2895"/>
              <w:spacing w:after="0"/>
              <w:rPr>
                <w:sz w:val="20"/>
                <w:szCs w:val="20"/>
                <w:color w:val="auto"/>
              </w:rPr>
            </w:pPr>
            <w:r>
              <w:rPr>
                <w:rFonts w:ascii="Arial" w:cs="Arial" w:eastAsia="Arial" w:hAnsi="Arial"/>
                <w:sz w:val="17"/>
                <w:szCs w:val="17"/>
                <w:color w:val="auto"/>
                <w:w w:val="84"/>
              </w:rPr>
              <w:t>2016</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95"/>
              <w:spacing w:after="0"/>
              <w:rPr>
                <w:sz w:val="20"/>
                <w:szCs w:val="20"/>
                <w:color w:val="auto"/>
              </w:rPr>
            </w:pPr>
            <w:r>
              <w:rPr>
                <w:rFonts w:ascii="Arial" w:cs="Arial" w:eastAsia="Arial" w:hAnsi="Arial"/>
                <w:sz w:val="17"/>
                <w:szCs w:val="17"/>
                <w:color w:val="auto"/>
              </w:rPr>
              <w:t>(In</w:t>
            </w:r>
          </w:p>
        </w:tc>
        <w:tc>
          <w:tcPr>
            <w:tcW w:w="1380" w:type="dxa"/>
            <w:vAlign w:val="bottom"/>
            <w:gridSpan w:val="4"/>
          </w:tcPr>
          <w:p>
            <w:pPr>
              <w:jc w:val="right"/>
              <w:ind w:right="695"/>
              <w:spacing w:after="0"/>
              <w:rPr>
                <w:sz w:val="20"/>
                <w:szCs w:val="20"/>
                <w:color w:val="auto"/>
              </w:rPr>
            </w:pPr>
            <w:r>
              <w:rPr>
                <w:rFonts w:ascii="Arial" w:cs="Arial" w:eastAsia="Arial" w:hAnsi="Arial"/>
                <w:sz w:val="16"/>
                <w:szCs w:val="16"/>
                <w:color w:val="auto"/>
                <w:w w:val="73"/>
              </w:rPr>
              <w:t>thousands)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5,622</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10,296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1,161</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5,363</w:t>
            </w: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22,495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Additions (deductions)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Provision for loan losses</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(359)</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(734)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Recoveries credited to allowance</w:t>
            </w: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1,114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294</w:t>
            </w:r>
          </w:p>
        </w:tc>
        <w:tc>
          <w:tcPr>
            <w:tcW w:w="14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351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Loans charged against the allowance</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(275)</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(808)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Balance at end of period</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6,039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9,956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1,139</w:t>
            </w:r>
          </w:p>
        </w:tc>
        <w:tc>
          <w:tcPr>
            <w:tcW w:w="14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52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5,526</w:t>
            </w:r>
          </w:p>
        </w:tc>
        <w:tc>
          <w:tcPr>
            <w:tcW w:w="14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22,712</w:t>
            </w:r>
          </w:p>
        </w:tc>
        <w:tc>
          <w:tcPr>
            <w:tcW w:w="0" w:type="dxa"/>
            <w:vAlign w:val="bottom"/>
          </w:tcPr>
          <w:p>
            <w:pPr>
              <w:spacing w:after="0"/>
              <w:rPr>
                <w:sz w:val="1"/>
                <w:szCs w:val="1"/>
                <w:color w:val="auto"/>
              </w:rPr>
            </w:pPr>
          </w:p>
        </w:tc>
      </w:tr>
      <w:tr>
        <w:trPr>
          <w:trHeight w:val="20"/>
        </w:trPr>
        <w:tc>
          <w:tcPr>
            <w:tcW w:w="33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3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2015</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5,916</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12,081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1,564</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5,056</w:t>
            </w: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24,679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Additions (deductions)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Provision for loan losses</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(101)</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Recoveries credited to allowance</w:t>
            </w: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652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319</w:t>
            </w:r>
          </w:p>
        </w:tc>
        <w:tc>
          <w:tcPr>
            <w:tcW w:w="14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284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Loans charged against the allowance</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(834)</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(1,214)</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Balance at end of period</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6,707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11,465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1,461</w:t>
            </w:r>
          </w:p>
        </w:tc>
        <w:tc>
          <w:tcPr>
            <w:tcW w:w="14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65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4,888</w:t>
            </w:r>
          </w:p>
        </w:tc>
        <w:tc>
          <w:tcPr>
            <w:tcW w:w="14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24,586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An analysis of the allowance for loan losses by portfolio segment for the six months ended June 30,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7"/>
                <w:szCs w:val="17"/>
                <w:color w:val="auto"/>
                <w:w w:val="89"/>
              </w:rPr>
              <w:t>Payment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7"/>
                <w:szCs w:val="17"/>
                <w:color w:val="auto"/>
                <w:w w:val="88"/>
              </w:rPr>
              <w:t>Plan</w:t>
            </w:r>
          </w:p>
        </w:tc>
        <w:tc>
          <w:tcPr>
            <w:tcW w:w="160" w:type="dxa"/>
            <w:vAlign w:val="bottom"/>
          </w:tcPr>
          <w:p>
            <w:pPr>
              <w:spacing w:after="0"/>
              <w:rPr>
                <w:sz w:val="17"/>
                <w:szCs w:val="17"/>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7"/>
                <w:szCs w:val="17"/>
                <w:color w:val="auto"/>
                <w:w w:val="96"/>
              </w:rPr>
              <w:t>Subjective</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94"/>
              </w:rPr>
              <w:t>Commercial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Mortgage</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97"/>
              </w:rPr>
              <w:t>Installment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8"/>
              </w:rPr>
              <w:t>Receivables</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Allocation</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20" w:type="dxa"/>
            <w:vAlign w:val="bottom"/>
            <w:gridSpan w:val="2"/>
            <w:vMerge w:val="restart"/>
          </w:tcPr>
          <w:p>
            <w:pPr>
              <w:jc w:val="right"/>
              <w:ind w:right="2895"/>
              <w:spacing w:after="0"/>
              <w:rPr>
                <w:sz w:val="20"/>
                <w:szCs w:val="20"/>
                <w:color w:val="auto"/>
              </w:rPr>
            </w:pPr>
            <w:r>
              <w:rPr>
                <w:rFonts w:ascii="Arial" w:cs="Arial" w:eastAsia="Arial" w:hAnsi="Arial"/>
                <w:sz w:val="17"/>
                <w:szCs w:val="17"/>
                <w:color w:val="auto"/>
                <w:w w:val="84"/>
              </w:rPr>
              <w:t>2016</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95"/>
              <w:spacing w:after="0"/>
              <w:rPr>
                <w:sz w:val="20"/>
                <w:szCs w:val="20"/>
                <w:color w:val="auto"/>
              </w:rPr>
            </w:pPr>
            <w:r>
              <w:rPr>
                <w:rFonts w:ascii="Arial" w:cs="Arial" w:eastAsia="Arial" w:hAnsi="Arial"/>
                <w:sz w:val="17"/>
                <w:szCs w:val="17"/>
                <w:color w:val="auto"/>
              </w:rPr>
              <w:t>(In</w:t>
            </w:r>
          </w:p>
        </w:tc>
        <w:tc>
          <w:tcPr>
            <w:tcW w:w="1380" w:type="dxa"/>
            <w:vAlign w:val="bottom"/>
            <w:gridSpan w:val="4"/>
          </w:tcPr>
          <w:p>
            <w:pPr>
              <w:jc w:val="right"/>
              <w:ind w:right="695"/>
              <w:spacing w:after="0"/>
              <w:rPr>
                <w:sz w:val="20"/>
                <w:szCs w:val="20"/>
                <w:color w:val="auto"/>
              </w:rPr>
            </w:pPr>
            <w:r>
              <w:rPr>
                <w:rFonts w:ascii="Arial" w:cs="Arial" w:eastAsia="Arial" w:hAnsi="Arial"/>
                <w:sz w:val="16"/>
                <w:szCs w:val="16"/>
                <w:color w:val="auto"/>
                <w:w w:val="73"/>
              </w:rPr>
              <w:t>thousands)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5,670</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10,391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1,181</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5,272</w:t>
            </w: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22,570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Additions (deductions)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Provision for loan losses</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(638)</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(1,264)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Recoveries credited to allowance</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1,470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676</w:t>
            </w:r>
          </w:p>
        </w:tc>
        <w:tc>
          <w:tcPr>
            <w:tcW w:w="14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572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Loans charged against the allowance</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(473)</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(1,312)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Balance at end of period</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6,039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9,956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1,139</w:t>
            </w:r>
          </w:p>
        </w:tc>
        <w:tc>
          <w:tcPr>
            <w:tcW w:w="14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52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5,526</w:t>
            </w:r>
          </w:p>
        </w:tc>
        <w:tc>
          <w:tcPr>
            <w:tcW w:w="14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22,712</w:t>
            </w:r>
          </w:p>
        </w:tc>
        <w:tc>
          <w:tcPr>
            <w:tcW w:w="0" w:type="dxa"/>
            <w:vAlign w:val="bottom"/>
          </w:tcPr>
          <w:p>
            <w:pPr>
              <w:spacing w:after="0"/>
              <w:rPr>
                <w:sz w:val="1"/>
                <w:szCs w:val="1"/>
                <w:color w:val="auto"/>
              </w:rPr>
            </w:pPr>
          </w:p>
        </w:tc>
      </w:tr>
      <w:tr>
        <w:trPr>
          <w:trHeight w:val="20"/>
        </w:trPr>
        <w:tc>
          <w:tcPr>
            <w:tcW w:w="33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3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2015</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5,445</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13,444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1,814</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5,223</w:t>
            </w: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25,990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Additions (deductions)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Provision for loan losses</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(834)</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(793)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Recoveries credited to allowance</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1,085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557</w:t>
            </w:r>
          </w:p>
        </w:tc>
        <w:tc>
          <w:tcPr>
            <w:tcW w:w="14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603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Loans charged against the allowance</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(1,702)</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(2,856)</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Balance at end of period</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6,707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11,465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1,461</w:t>
            </w:r>
          </w:p>
        </w:tc>
        <w:tc>
          <w:tcPr>
            <w:tcW w:w="14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65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4,888</w:t>
            </w:r>
          </w:p>
        </w:tc>
        <w:tc>
          <w:tcPr>
            <w:tcW w:w="14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24,586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Allowance for loan losses and recorded investment in loans by portfolio segment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7"/>
                <w:szCs w:val="17"/>
                <w:color w:val="auto"/>
                <w:w w:val="89"/>
              </w:rPr>
              <w:t>Payment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7"/>
                <w:szCs w:val="17"/>
                <w:color w:val="auto"/>
                <w:w w:val="88"/>
              </w:rPr>
              <w:t>Plan</w:t>
            </w:r>
          </w:p>
        </w:tc>
        <w:tc>
          <w:tcPr>
            <w:tcW w:w="160" w:type="dxa"/>
            <w:vAlign w:val="bottom"/>
          </w:tcPr>
          <w:p>
            <w:pPr>
              <w:spacing w:after="0"/>
              <w:rPr>
                <w:sz w:val="17"/>
                <w:szCs w:val="17"/>
                <w:color w:val="auto"/>
              </w:rPr>
            </w:pPr>
          </w:p>
        </w:tc>
        <w:tc>
          <w:tcPr>
            <w:tcW w:w="1000" w:type="dxa"/>
            <w:vAlign w:val="bottom"/>
          </w:tcPr>
          <w:p>
            <w:pPr>
              <w:jc w:val="right"/>
              <w:ind w:right="135"/>
              <w:spacing w:after="0"/>
              <w:rPr>
                <w:sz w:val="20"/>
                <w:szCs w:val="20"/>
                <w:color w:val="auto"/>
              </w:rPr>
            </w:pPr>
            <w:r>
              <w:rPr>
                <w:rFonts w:ascii="Arial" w:cs="Arial" w:eastAsia="Arial" w:hAnsi="Arial"/>
                <w:sz w:val="17"/>
                <w:szCs w:val="17"/>
                <w:color w:val="auto"/>
                <w:w w:val="96"/>
              </w:rPr>
              <w:t>Subjective</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94"/>
              </w:rPr>
              <w:t>Commercial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Mortgage</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97"/>
              </w:rPr>
              <w:t>Installment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8"/>
              </w:rPr>
              <w:t>Receivables</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Allocation</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20" w:type="dxa"/>
            <w:vAlign w:val="bottom"/>
            <w:gridSpan w:val="2"/>
            <w:vMerge w:val="restart"/>
          </w:tcPr>
          <w:p>
            <w:pPr>
              <w:spacing w:after="0"/>
              <w:rPr>
                <w:sz w:val="20"/>
                <w:szCs w:val="20"/>
                <w:color w:val="auto"/>
              </w:rPr>
            </w:pPr>
            <w:r>
              <w:rPr>
                <w:rFonts w:ascii="Arial" w:cs="Arial" w:eastAsia="Arial" w:hAnsi="Arial"/>
                <w:sz w:val="17"/>
                <w:szCs w:val="17"/>
                <w:color w:val="auto"/>
              </w:rPr>
              <w:t>June 30, 2016</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95"/>
              <w:spacing w:after="0"/>
              <w:rPr>
                <w:sz w:val="20"/>
                <w:szCs w:val="20"/>
                <w:color w:val="auto"/>
              </w:rPr>
            </w:pPr>
            <w:r>
              <w:rPr>
                <w:rFonts w:ascii="Arial" w:cs="Arial" w:eastAsia="Arial" w:hAnsi="Arial"/>
                <w:sz w:val="17"/>
                <w:szCs w:val="17"/>
                <w:color w:val="auto"/>
              </w:rPr>
              <w:t>(In</w:t>
            </w:r>
          </w:p>
        </w:tc>
        <w:tc>
          <w:tcPr>
            <w:tcW w:w="1380" w:type="dxa"/>
            <w:vAlign w:val="bottom"/>
            <w:gridSpan w:val="4"/>
          </w:tcPr>
          <w:p>
            <w:pPr>
              <w:jc w:val="right"/>
              <w:ind w:right="695"/>
              <w:spacing w:after="0"/>
              <w:rPr>
                <w:sz w:val="20"/>
                <w:szCs w:val="20"/>
                <w:color w:val="auto"/>
              </w:rPr>
            </w:pPr>
            <w:r>
              <w:rPr>
                <w:rFonts w:ascii="Arial" w:cs="Arial" w:eastAsia="Arial" w:hAnsi="Arial"/>
                <w:sz w:val="16"/>
                <w:szCs w:val="16"/>
                <w:color w:val="auto"/>
                <w:w w:val="73"/>
              </w:rPr>
              <w:t>thousands)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3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Allowance for loan losses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Individually evaluated for impairment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3,271</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7,262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86"/>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10,941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Collectively evaluated for impairment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2,694</w:t>
            </w: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731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52</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5,526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ending allowance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9,956</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5,526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22,712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Loans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Individually evaluated for impairment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17,802</w:t>
            </w:r>
          </w:p>
        </w:tc>
        <w:tc>
          <w:tcPr>
            <w:tcW w:w="28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63,430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5,427</w:t>
            </w:r>
          </w:p>
        </w:tc>
        <w:tc>
          <w:tcPr>
            <w:tcW w:w="12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gridSpan w:val="2"/>
          </w:tcPr>
          <w:p>
            <w:pPr>
              <w:jc w:val="right"/>
              <w:ind w:right="86"/>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86,659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Collectively evaluated for impairment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775,794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444,865</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247,973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31,389</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Total loans recorded investment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793,596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508,295</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253,400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31,389</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1,586,680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00" w:type="dxa"/>
            <w:vAlign w:val="bottom"/>
            <w:shd w:val="clear" w:color="auto" w:fill="CCEEFF"/>
          </w:tcPr>
          <w:p>
            <w:pPr>
              <w:ind w:left="140"/>
              <w:spacing w:after="0" w:line="191" w:lineRule="exact"/>
              <w:rPr>
                <w:sz w:val="20"/>
                <w:szCs w:val="20"/>
                <w:color w:val="auto"/>
              </w:rPr>
            </w:pPr>
            <w:r>
              <w:rPr>
                <w:rFonts w:ascii="Arial" w:cs="Arial" w:eastAsia="Arial" w:hAnsi="Arial"/>
                <w:sz w:val="17"/>
                <w:szCs w:val="17"/>
                <w:color w:val="auto"/>
              </w:rPr>
              <w:t>Accrued interest included in recorded</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investment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2,274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Total loans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792,000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506,021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252,712</w:t>
            </w:r>
          </w:p>
        </w:tc>
        <w:tc>
          <w:tcPr>
            <w:tcW w:w="12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31,389</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gridSpan w:val="2"/>
          </w:tcPr>
          <w:p>
            <w:pPr>
              <w:jc w:val="right"/>
              <w:ind w:right="86"/>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1,582,122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3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December 31, 2015</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Allowance for loan losses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Individually evaluated for impairment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2,708</w:t>
            </w:r>
          </w:p>
        </w:tc>
        <w:tc>
          <w:tcPr>
            <w:tcW w:w="100" w:type="dxa"/>
            <w:vAlign w:val="bottom"/>
          </w:tcPr>
          <w:p>
            <w:pPr>
              <w:spacing w:after="0"/>
              <w:rPr>
                <w:sz w:val="17"/>
                <w:szCs w:val="17"/>
                <w:color w:val="auto"/>
              </w:rPr>
            </w:pPr>
          </w:p>
        </w:tc>
        <w:tc>
          <w:tcPr>
            <w:tcW w:w="28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7,818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457</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86"/>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10,983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Collectively evaluated for impairment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2,573</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56</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Total ending allowance balance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5,670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10,391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1,181</w:t>
            </w:r>
          </w:p>
        </w:tc>
        <w:tc>
          <w:tcPr>
            <w:tcW w:w="12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56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5,272</w:t>
            </w:r>
          </w:p>
        </w:tc>
        <w:tc>
          <w:tcPr>
            <w:tcW w:w="460" w:type="dxa"/>
            <w:vAlign w:val="bottom"/>
            <w:gridSpan w:val="2"/>
          </w:tcPr>
          <w:p>
            <w:pPr>
              <w:jc w:val="right"/>
              <w:ind w:right="86"/>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22,570</w:t>
            </w:r>
          </w:p>
        </w:tc>
        <w:tc>
          <w:tcPr>
            <w:tcW w:w="0" w:type="dxa"/>
            <w:vAlign w:val="bottom"/>
          </w:tcPr>
          <w:p>
            <w:pPr>
              <w:spacing w:after="0"/>
              <w:rPr>
                <w:sz w:val="1"/>
                <w:szCs w:val="1"/>
                <w:color w:val="auto"/>
              </w:rPr>
            </w:pPr>
          </w:p>
        </w:tc>
      </w:tr>
      <w:tr>
        <w:trPr>
          <w:trHeight w:val="20"/>
        </w:trPr>
        <w:tc>
          <w:tcPr>
            <w:tcW w:w="33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3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Loans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Individually evaluated for impairment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16,868</w:t>
            </w:r>
          </w:p>
        </w:tc>
        <w:tc>
          <w:tcPr>
            <w:tcW w:w="28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66,375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5,888</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86"/>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89,131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Collectively evaluated for impairment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733,399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436,349</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226,409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34,599</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1,430,756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loans recorded investment</w:t>
            </w: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750,267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502,724</w:t>
            </w: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232,297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34,599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1,519,887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00" w:type="dxa"/>
            <w:vAlign w:val="bottom"/>
          </w:tcPr>
          <w:p>
            <w:pPr>
              <w:ind w:left="140"/>
              <w:spacing w:after="0" w:line="191" w:lineRule="exact"/>
              <w:rPr>
                <w:sz w:val="20"/>
                <w:szCs w:val="20"/>
                <w:color w:val="auto"/>
              </w:rPr>
            </w:pPr>
            <w:r>
              <w:rPr>
                <w:rFonts w:ascii="Arial" w:cs="Arial" w:eastAsia="Arial" w:hAnsi="Arial"/>
                <w:sz w:val="17"/>
                <w:szCs w:val="17"/>
                <w:color w:val="auto"/>
              </w:rPr>
              <w:t>Accrued interest included in recorded</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ind w:left="260"/>
              <w:spacing w:after="0"/>
              <w:rPr>
                <w:sz w:val="20"/>
                <w:szCs w:val="20"/>
                <w:color w:val="auto"/>
              </w:rPr>
            </w:pPr>
            <w:r>
              <w:rPr>
                <w:rFonts w:ascii="Arial" w:cs="Arial" w:eastAsia="Arial" w:hAnsi="Arial"/>
                <w:sz w:val="17"/>
                <w:szCs w:val="17"/>
                <w:color w:val="auto"/>
              </w:rPr>
              <w:t>investment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2,270</w:t>
            </w:r>
          </w:p>
        </w:tc>
        <w:tc>
          <w:tcPr>
            <w:tcW w:w="1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698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loans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748,398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500,454</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231,599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34,599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1,515,050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53"/>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Loans on non-accrual status and past due more than 90 days (“Non-performing Loans”) follow: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900" w:type="dxa"/>
            <w:vAlign w:val="bottom"/>
          </w:tcPr>
          <w:p>
            <w:pPr>
              <w:jc w:val="center"/>
              <w:ind w:left="159"/>
              <w:spacing w:after="0"/>
              <w:rPr>
                <w:sz w:val="20"/>
                <w:szCs w:val="20"/>
                <w:color w:val="auto"/>
              </w:rPr>
            </w:pPr>
            <w:r>
              <w:rPr>
                <w:rFonts w:ascii="Arial" w:cs="Arial" w:eastAsia="Arial" w:hAnsi="Arial"/>
                <w:sz w:val="17"/>
                <w:szCs w:val="17"/>
                <w:color w:val="auto"/>
                <w:w w:val="87"/>
              </w:rPr>
              <w:t>90+ and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color w:val="auto"/>
                <w:w w:val="93"/>
              </w:rPr>
              <w:t>Total Non-</w:t>
            </w:r>
          </w:p>
        </w:tc>
        <w:tc>
          <w:tcPr>
            <w:tcW w:w="0" w:type="dxa"/>
            <w:vAlign w:val="bottom"/>
          </w:tcPr>
          <w:p>
            <w:pPr>
              <w:spacing w:after="0"/>
              <w:rPr>
                <w:sz w:val="1"/>
                <w:szCs w:val="1"/>
                <w:color w:val="auto"/>
              </w:rPr>
            </w:pPr>
          </w:p>
        </w:tc>
      </w:tr>
      <w:tr>
        <w:trPr>
          <w:trHeight w:val="204"/>
        </w:trPr>
        <w:tc>
          <w:tcPr>
            <w:tcW w:w="48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900" w:type="dxa"/>
            <w:vAlign w:val="bottom"/>
          </w:tcPr>
          <w:p>
            <w:pPr>
              <w:jc w:val="center"/>
              <w:ind w:left="179"/>
              <w:spacing w:after="0"/>
              <w:rPr>
                <w:sz w:val="20"/>
                <w:szCs w:val="20"/>
                <w:color w:val="auto"/>
              </w:rPr>
            </w:pPr>
            <w:r>
              <w:rPr>
                <w:rFonts w:ascii="Arial" w:cs="Arial" w:eastAsia="Arial" w:hAnsi="Arial"/>
                <w:sz w:val="17"/>
                <w:szCs w:val="17"/>
                <w:color w:val="auto"/>
              </w:rPr>
              <w:t>Still</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7"/>
                <w:szCs w:val="17"/>
                <w:color w:val="auto"/>
                <w:w w:val="92"/>
              </w:rPr>
              <w:t>Non-</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color w:val="auto"/>
                <w:w w:val="91"/>
              </w:rPr>
              <w:t>Performing</w:t>
            </w:r>
          </w:p>
        </w:tc>
        <w:tc>
          <w:tcPr>
            <w:tcW w:w="0" w:type="dxa"/>
            <w:vAlign w:val="bottom"/>
          </w:tcPr>
          <w:p>
            <w:pPr>
              <w:spacing w:after="0"/>
              <w:rPr>
                <w:sz w:val="1"/>
                <w:szCs w:val="1"/>
                <w:color w:val="auto"/>
              </w:rPr>
            </w:pPr>
          </w:p>
        </w:tc>
      </w:tr>
      <w:tr>
        <w:trPr>
          <w:trHeight w:val="222"/>
        </w:trPr>
        <w:tc>
          <w:tcPr>
            <w:tcW w:w="48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900" w:type="dxa"/>
            <w:vAlign w:val="bottom"/>
          </w:tcPr>
          <w:p>
            <w:pPr>
              <w:jc w:val="center"/>
              <w:ind w:left="159"/>
              <w:spacing w:after="0"/>
              <w:rPr>
                <w:sz w:val="20"/>
                <w:szCs w:val="20"/>
                <w:color w:val="auto"/>
              </w:rPr>
            </w:pPr>
            <w:r>
              <w:rPr>
                <w:rFonts w:ascii="Arial" w:cs="Arial" w:eastAsia="Arial" w:hAnsi="Arial"/>
                <w:sz w:val="17"/>
                <w:szCs w:val="17"/>
                <w:color w:val="auto"/>
                <w:w w:val="93"/>
              </w:rPr>
              <w:t>Accruing</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7"/>
                <w:szCs w:val="17"/>
                <w:color w:val="auto"/>
                <w:w w:val="95"/>
              </w:rPr>
              <w:t>Accrual</w:t>
            </w:r>
          </w:p>
        </w:tc>
        <w:tc>
          <w:tcPr>
            <w:tcW w:w="12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color w:val="auto"/>
                <w:w w:val="86"/>
              </w:rPr>
              <w:t>Loans</w:t>
            </w:r>
          </w:p>
        </w:tc>
        <w:tc>
          <w:tcPr>
            <w:tcW w:w="0" w:type="dxa"/>
            <w:vAlign w:val="bottom"/>
          </w:tcPr>
          <w:p>
            <w:pPr>
              <w:spacing w:after="0"/>
              <w:rPr>
                <w:sz w:val="1"/>
                <w:szCs w:val="1"/>
                <w:color w:val="auto"/>
              </w:rPr>
            </w:pPr>
          </w:p>
        </w:tc>
      </w:tr>
      <w:tr>
        <w:trPr>
          <w:trHeight w:val="215"/>
        </w:trPr>
        <w:tc>
          <w:tcPr>
            <w:tcW w:w="4800" w:type="dxa"/>
            <w:vAlign w:val="bottom"/>
            <w:vMerge w:val="restart"/>
          </w:tcPr>
          <w:p>
            <w:pPr>
              <w:spacing w:after="0"/>
              <w:rPr>
                <w:sz w:val="20"/>
                <w:szCs w:val="20"/>
                <w:color w:val="auto"/>
              </w:rPr>
            </w:pPr>
            <w:r>
              <w:rPr>
                <w:rFonts w:ascii="Arial" w:cs="Arial" w:eastAsia="Arial" w:hAnsi="Arial"/>
                <w:sz w:val="17"/>
                <w:szCs w:val="17"/>
                <w:color w:val="auto"/>
              </w:rPr>
              <w:t>June 30, 2016</w:t>
            </w:r>
          </w:p>
        </w:tc>
        <w:tc>
          <w:tcPr>
            <w:tcW w:w="26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7"/>
                <w:szCs w:val="17"/>
                <w:color w:val="auto"/>
                <w:w w:val="90"/>
              </w:rPr>
              <w:t>(In thousands)</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800" w:type="dxa"/>
            <w:vAlign w:val="bottom"/>
            <w:vMerge w:val="continue"/>
          </w:tcPr>
          <w:p>
            <w:pPr>
              <w:spacing w:after="0"/>
              <w:rPr>
                <w:sz w:val="15"/>
                <w:szCs w:val="15"/>
                <w:color w:val="auto"/>
              </w:rPr>
            </w:pPr>
          </w:p>
        </w:tc>
        <w:tc>
          <w:tcPr>
            <w:tcW w:w="2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60"/>
              <w:spacing w:after="0"/>
              <w:rPr>
                <w:sz w:val="20"/>
                <w:szCs w:val="20"/>
                <w:color w:val="auto"/>
              </w:rPr>
            </w:pPr>
            <w:r>
              <w:rPr>
                <w:rFonts w:ascii="Arial" w:cs="Arial" w:eastAsia="Arial" w:hAnsi="Arial"/>
                <w:sz w:val="17"/>
                <w:szCs w:val="17"/>
                <w:color w:val="auto"/>
              </w:rPr>
              <w:t>Commercial</w:t>
            </w: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Income producing - real estate</w:t>
            </w:r>
          </w:p>
        </w:tc>
        <w:tc>
          <w:tcPr>
            <w:tcW w:w="3540" w:type="dxa"/>
            <w:vAlign w:val="bottom"/>
            <w:gridSpan w:val="2"/>
            <w:shd w:val="clear" w:color="auto" w:fill="CCEEFF"/>
          </w:tcPr>
          <w:p>
            <w:pPr>
              <w:jc w:val="right"/>
              <w:ind w:right="739"/>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950</w:t>
            </w:r>
          </w:p>
        </w:tc>
        <w:tc>
          <w:tcPr>
            <w:tcW w:w="0" w:type="dxa"/>
            <w:vAlign w:val="bottom"/>
          </w:tcPr>
          <w:p>
            <w:pPr>
              <w:spacing w:after="0"/>
              <w:rPr>
                <w:sz w:val="1"/>
                <w:szCs w:val="1"/>
                <w:color w:val="auto"/>
              </w:rPr>
            </w:pPr>
          </w:p>
        </w:tc>
      </w:tr>
      <w:tr>
        <w:trPr>
          <w:trHeight w:val="204"/>
        </w:trPr>
        <w:tc>
          <w:tcPr>
            <w:tcW w:w="4800" w:type="dxa"/>
            <w:vAlign w:val="bottom"/>
          </w:tcPr>
          <w:p>
            <w:pPr>
              <w:ind w:left="300"/>
              <w:spacing w:after="0"/>
              <w:rPr>
                <w:sz w:val="20"/>
                <w:szCs w:val="20"/>
                <w:color w:val="auto"/>
              </w:rPr>
            </w:pPr>
            <w:r>
              <w:rPr>
                <w:rFonts w:ascii="Arial" w:cs="Arial" w:eastAsia="Arial" w:hAnsi="Arial"/>
                <w:sz w:val="17"/>
                <w:szCs w:val="17"/>
                <w:color w:val="auto"/>
              </w:rPr>
              <w:t>Land, land development and construction - real estate</w:t>
            </w:r>
          </w:p>
        </w:tc>
        <w:tc>
          <w:tcPr>
            <w:tcW w:w="2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133</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Commercial and industrial</w:t>
            </w:r>
          </w:p>
        </w:tc>
        <w:tc>
          <w:tcPr>
            <w:tcW w:w="2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2,533</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160"/>
              <w:spacing w:after="0"/>
              <w:rPr>
                <w:sz w:val="20"/>
                <w:szCs w:val="20"/>
                <w:color w:val="auto"/>
              </w:rPr>
            </w:pPr>
            <w:r>
              <w:rPr>
                <w:rFonts w:ascii="Arial" w:cs="Arial" w:eastAsia="Arial" w:hAnsi="Arial"/>
                <w:sz w:val="17"/>
                <w:szCs w:val="17"/>
                <w:color w:val="auto"/>
              </w:rPr>
              <w:t>Mortgage</w:t>
            </w:r>
          </w:p>
        </w:tc>
        <w:tc>
          <w:tcPr>
            <w:tcW w:w="2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1-4 family</w:t>
            </w:r>
          </w:p>
        </w:tc>
        <w:tc>
          <w:tcPr>
            <w:tcW w:w="2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5,013</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300"/>
              <w:spacing w:after="0"/>
              <w:rPr>
                <w:sz w:val="20"/>
                <w:szCs w:val="20"/>
                <w:color w:val="auto"/>
              </w:rPr>
            </w:pPr>
            <w:r>
              <w:rPr>
                <w:rFonts w:ascii="Arial" w:cs="Arial" w:eastAsia="Arial" w:hAnsi="Arial"/>
                <w:sz w:val="17"/>
                <w:szCs w:val="17"/>
                <w:color w:val="auto"/>
              </w:rPr>
              <w:t>Resort lending</w:t>
            </w:r>
          </w:p>
        </w:tc>
        <w:tc>
          <w:tcPr>
            <w:tcW w:w="2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803</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803</w:t>
            </w: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Home equity - 1st lien</w:t>
            </w:r>
          </w:p>
        </w:tc>
        <w:tc>
          <w:tcPr>
            <w:tcW w:w="2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180</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04"/>
        </w:trPr>
        <w:tc>
          <w:tcPr>
            <w:tcW w:w="4800" w:type="dxa"/>
            <w:vAlign w:val="bottom"/>
          </w:tcPr>
          <w:p>
            <w:pPr>
              <w:ind w:left="300"/>
              <w:spacing w:after="0"/>
              <w:rPr>
                <w:sz w:val="20"/>
                <w:szCs w:val="20"/>
                <w:color w:val="auto"/>
              </w:rPr>
            </w:pPr>
            <w:r>
              <w:rPr>
                <w:rFonts w:ascii="Arial" w:cs="Arial" w:eastAsia="Arial" w:hAnsi="Arial"/>
                <w:sz w:val="17"/>
                <w:szCs w:val="17"/>
                <w:color w:val="auto"/>
              </w:rPr>
              <w:t>Home equity - 2nd lien</w:t>
            </w:r>
          </w:p>
        </w:tc>
        <w:tc>
          <w:tcPr>
            <w:tcW w:w="2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262</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Purchased loans</w:t>
            </w:r>
          </w:p>
        </w:tc>
        <w:tc>
          <w:tcPr>
            <w:tcW w:w="2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4"/>
        </w:trPr>
        <w:tc>
          <w:tcPr>
            <w:tcW w:w="4800" w:type="dxa"/>
            <w:vAlign w:val="bottom"/>
          </w:tcPr>
          <w:p>
            <w:pPr>
              <w:ind w:left="160"/>
              <w:spacing w:after="0"/>
              <w:rPr>
                <w:sz w:val="20"/>
                <w:szCs w:val="20"/>
                <w:color w:val="auto"/>
              </w:rPr>
            </w:pPr>
            <w:r>
              <w:rPr>
                <w:rFonts w:ascii="Arial" w:cs="Arial" w:eastAsia="Arial" w:hAnsi="Arial"/>
                <w:sz w:val="17"/>
                <w:szCs w:val="17"/>
                <w:color w:val="auto"/>
              </w:rPr>
              <w:t>Installment</w:t>
            </w:r>
          </w:p>
        </w:tc>
        <w:tc>
          <w:tcPr>
            <w:tcW w:w="2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Home equity - 1st lien</w:t>
            </w:r>
          </w:p>
        </w:tc>
        <w:tc>
          <w:tcPr>
            <w:tcW w:w="2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181</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204"/>
        </w:trPr>
        <w:tc>
          <w:tcPr>
            <w:tcW w:w="4800" w:type="dxa"/>
            <w:vAlign w:val="bottom"/>
          </w:tcPr>
          <w:p>
            <w:pPr>
              <w:ind w:left="300"/>
              <w:spacing w:after="0"/>
              <w:rPr>
                <w:sz w:val="20"/>
                <w:szCs w:val="20"/>
                <w:color w:val="auto"/>
              </w:rPr>
            </w:pPr>
            <w:r>
              <w:rPr>
                <w:rFonts w:ascii="Arial" w:cs="Arial" w:eastAsia="Arial" w:hAnsi="Arial"/>
                <w:sz w:val="17"/>
                <w:szCs w:val="17"/>
                <w:color w:val="auto"/>
              </w:rPr>
              <w:t>Home equity - 2nd lien</w:t>
            </w:r>
          </w:p>
        </w:tc>
        <w:tc>
          <w:tcPr>
            <w:tcW w:w="2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327</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Loans not secured by real estate</w:t>
            </w:r>
          </w:p>
        </w:tc>
        <w:tc>
          <w:tcPr>
            <w:tcW w:w="2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382</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382</w:t>
            </w:r>
          </w:p>
        </w:tc>
        <w:tc>
          <w:tcPr>
            <w:tcW w:w="0" w:type="dxa"/>
            <w:vAlign w:val="bottom"/>
          </w:tcPr>
          <w:p>
            <w:pPr>
              <w:spacing w:after="0"/>
              <w:rPr>
                <w:sz w:val="1"/>
                <w:szCs w:val="1"/>
                <w:color w:val="auto"/>
              </w:rPr>
            </w:pPr>
          </w:p>
        </w:tc>
      </w:tr>
      <w:tr>
        <w:trPr>
          <w:trHeight w:val="204"/>
        </w:trPr>
        <w:tc>
          <w:tcPr>
            <w:tcW w:w="4800" w:type="dxa"/>
            <w:vAlign w:val="bottom"/>
          </w:tcPr>
          <w:p>
            <w:pPr>
              <w:ind w:left="300"/>
              <w:spacing w:after="0"/>
              <w:rPr>
                <w:sz w:val="20"/>
                <w:szCs w:val="20"/>
                <w:color w:val="auto"/>
              </w:rPr>
            </w:pPr>
            <w:r>
              <w:rPr>
                <w:rFonts w:ascii="Arial" w:cs="Arial" w:eastAsia="Arial" w:hAnsi="Arial"/>
                <w:sz w:val="17"/>
                <w:szCs w:val="17"/>
                <w:color w:val="auto"/>
              </w:rPr>
              <w:t>Other</w:t>
            </w:r>
          </w:p>
        </w:tc>
        <w:tc>
          <w:tcPr>
            <w:tcW w:w="2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Payment plan receivables</w:t>
            </w:r>
          </w:p>
        </w:tc>
        <w:tc>
          <w:tcPr>
            <w:tcW w:w="2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300"/>
              <w:spacing w:after="0"/>
              <w:rPr>
                <w:sz w:val="20"/>
                <w:szCs w:val="20"/>
                <w:color w:val="auto"/>
              </w:rPr>
            </w:pPr>
            <w:r>
              <w:rPr>
                <w:rFonts w:ascii="Arial" w:cs="Arial" w:eastAsia="Arial" w:hAnsi="Arial"/>
                <w:sz w:val="17"/>
                <w:szCs w:val="17"/>
                <w:color w:val="auto"/>
              </w:rPr>
              <w:t>Full refund</w:t>
            </w:r>
          </w:p>
        </w:tc>
        <w:tc>
          <w:tcPr>
            <w:tcW w:w="2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Partial refund</w:t>
            </w:r>
          </w:p>
        </w:tc>
        <w:tc>
          <w:tcPr>
            <w:tcW w:w="2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00" w:type="dxa"/>
            <w:vAlign w:val="bottom"/>
          </w:tcPr>
          <w:p>
            <w:pPr>
              <w:ind w:left="300"/>
              <w:spacing w:after="0"/>
              <w:rPr>
                <w:sz w:val="20"/>
                <w:szCs w:val="20"/>
                <w:color w:val="auto"/>
              </w:rPr>
            </w:pPr>
            <w:r>
              <w:rPr>
                <w:rFonts w:ascii="Arial" w:cs="Arial" w:eastAsia="Arial" w:hAnsi="Arial"/>
                <w:sz w:val="17"/>
                <w:szCs w:val="17"/>
                <w:color w:val="auto"/>
              </w:rPr>
              <w:t>Other</w:t>
            </w: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 recorded investment</w:t>
            </w:r>
          </w:p>
        </w:tc>
        <w:tc>
          <w:tcPr>
            <w:tcW w:w="2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10,803</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10,898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800" w:type="dxa"/>
            <w:vAlign w:val="bottom"/>
          </w:tcPr>
          <w:p>
            <w:pPr>
              <w:ind w:left="160"/>
              <w:spacing w:after="0"/>
              <w:rPr>
                <w:sz w:val="20"/>
                <w:szCs w:val="20"/>
                <w:color w:val="auto"/>
              </w:rPr>
            </w:pPr>
            <w:r>
              <w:rPr>
                <w:rFonts w:ascii="Arial" w:cs="Arial" w:eastAsia="Arial" w:hAnsi="Arial"/>
                <w:sz w:val="17"/>
                <w:szCs w:val="17"/>
                <w:color w:val="auto"/>
              </w:rPr>
              <w:t>Accrued interest included in recorded investment</w:t>
            </w:r>
          </w:p>
        </w:tc>
        <w:tc>
          <w:tcPr>
            <w:tcW w:w="3540" w:type="dxa"/>
            <w:vAlign w:val="bottom"/>
            <w:gridSpan w:val="2"/>
          </w:tcPr>
          <w:p>
            <w:pPr>
              <w:jc w:val="right"/>
              <w:ind w:right="739"/>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6"/>
                <w:szCs w:val="16"/>
                <w:color w:val="auto"/>
              </w:rPr>
            </w:pPr>
          </w:p>
        </w:tc>
        <w:tc>
          <w:tcPr>
            <w:tcW w:w="300" w:type="dxa"/>
            <w:vAlign w:val="bottom"/>
            <w:gridSpan w:val="2"/>
          </w:tcPr>
          <w:p>
            <w:pPr>
              <w:jc w:val="right"/>
              <w:ind w:right="22"/>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2015</w:t>
            </w:r>
          </w:p>
        </w:tc>
        <w:tc>
          <w:tcPr>
            <w:tcW w:w="26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160"/>
              <w:spacing w:after="0"/>
              <w:rPr>
                <w:sz w:val="20"/>
                <w:szCs w:val="20"/>
                <w:color w:val="auto"/>
              </w:rPr>
            </w:pPr>
            <w:r>
              <w:rPr>
                <w:rFonts w:ascii="Arial" w:cs="Arial" w:eastAsia="Arial" w:hAnsi="Arial"/>
                <w:sz w:val="17"/>
                <w:szCs w:val="17"/>
                <w:color w:val="auto"/>
              </w:rPr>
              <w:t>Commercial</w:t>
            </w:r>
          </w:p>
        </w:tc>
        <w:tc>
          <w:tcPr>
            <w:tcW w:w="2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Income producing - real estate</w:t>
            </w:r>
          </w:p>
        </w:tc>
        <w:tc>
          <w:tcPr>
            <w:tcW w:w="3540" w:type="dxa"/>
            <w:vAlign w:val="bottom"/>
            <w:gridSpan w:val="2"/>
            <w:shd w:val="clear" w:color="auto" w:fill="CCEEFF"/>
          </w:tcPr>
          <w:p>
            <w:pPr>
              <w:jc w:val="right"/>
              <w:ind w:right="739"/>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1,027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300"/>
              <w:spacing w:after="0"/>
              <w:rPr>
                <w:sz w:val="20"/>
                <w:szCs w:val="20"/>
                <w:color w:val="auto"/>
              </w:rPr>
            </w:pPr>
            <w:r>
              <w:rPr>
                <w:rFonts w:ascii="Arial" w:cs="Arial" w:eastAsia="Arial" w:hAnsi="Arial"/>
                <w:sz w:val="17"/>
                <w:szCs w:val="17"/>
                <w:color w:val="auto"/>
              </w:rPr>
              <w:t>Land, land development and construction - real estate</w:t>
            </w:r>
          </w:p>
        </w:tc>
        <w:tc>
          <w:tcPr>
            <w:tcW w:w="2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401</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Commercial and industrial</w:t>
            </w:r>
          </w:p>
        </w:tc>
        <w:tc>
          <w:tcPr>
            <w:tcW w:w="2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2,028</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160"/>
              <w:spacing w:after="0"/>
              <w:rPr>
                <w:sz w:val="20"/>
                <w:szCs w:val="20"/>
                <w:color w:val="auto"/>
              </w:rPr>
            </w:pPr>
            <w:r>
              <w:rPr>
                <w:rFonts w:ascii="Arial" w:cs="Arial" w:eastAsia="Arial" w:hAnsi="Arial"/>
                <w:sz w:val="17"/>
                <w:szCs w:val="17"/>
                <w:color w:val="auto"/>
              </w:rPr>
              <w:t>Mortgage</w:t>
            </w:r>
          </w:p>
        </w:tc>
        <w:tc>
          <w:tcPr>
            <w:tcW w:w="2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1-4 family</w:t>
            </w:r>
          </w:p>
        </w:tc>
        <w:tc>
          <w:tcPr>
            <w:tcW w:w="2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4,744</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300"/>
              <w:spacing w:after="0"/>
              <w:rPr>
                <w:sz w:val="20"/>
                <w:szCs w:val="20"/>
                <w:color w:val="auto"/>
              </w:rPr>
            </w:pPr>
            <w:r>
              <w:rPr>
                <w:rFonts w:ascii="Arial" w:cs="Arial" w:eastAsia="Arial" w:hAnsi="Arial"/>
                <w:sz w:val="17"/>
                <w:szCs w:val="17"/>
                <w:color w:val="auto"/>
              </w:rPr>
              <w:t>Resort lending</w:t>
            </w:r>
          </w:p>
        </w:tc>
        <w:tc>
          <w:tcPr>
            <w:tcW w:w="2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1,094</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Home equity - 1st lien</w:t>
            </w:r>
          </w:p>
        </w:tc>
        <w:tc>
          <w:tcPr>
            <w:tcW w:w="2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187</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04"/>
        </w:trPr>
        <w:tc>
          <w:tcPr>
            <w:tcW w:w="4800" w:type="dxa"/>
            <w:vAlign w:val="bottom"/>
          </w:tcPr>
          <w:p>
            <w:pPr>
              <w:ind w:left="300"/>
              <w:spacing w:after="0"/>
              <w:rPr>
                <w:sz w:val="20"/>
                <w:szCs w:val="20"/>
                <w:color w:val="auto"/>
              </w:rPr>
            </w:pPr>
            <w:r>
              <w:rPr>
                <w:rFonts w:ascii="Arial" w:cs="Arial" w:eastAsia="Arial" w:hAnsi="Arial"/>
                <w:sz w:val="17"/>
                <w:szCs w:val="17"/>
                <w:color w:val="auto"/>
              </w:rPr>
              <w:t>Home equity - 2nd lien</w:t>
            </w:r>
          </w:p>
        </w:tc>
        <w:tc>
          <w:tcPr>
            <w:tcW w:w="2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147</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Purchased loans</w:t>
            </w:r>
          </w:p>
        </w:tc>
        <w:tc>
          <w:tcPr>
            <w:tcW w:w="2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4"/>
        </w:trPr>
        <w:tc>
          <w:tcPr>
            <w:tcW w:w="4800" w:type="dxa"/>
            <w:vAlign w:val="bottom"/>
          </w:tcPr>
          <w:p>
            <w:pPr>
              <w:ind w:left="160"/>
              <w:spacing w:after="0"/>
              <w:rPr>
                <w:sz w:val="20"/>
                <w:szCs w:val="20"/>
                <w:color w:val="auto"/>
              </w:rPr>
            </w:pPr>
            <w:r>
              <w:rPr>
                <w:rFonts w:ascii="Arial" w:cs="Arial" w:eastAsia="Arial" w:hAnsi="Arial"/>
                <w:sz w:val="17"/>
                <w:szCs w:val="17"/>
                <w:color w:val="auto"/>
              </w:rPr>
              <w:t>Installment</w:t>
            </w:r>
          </w:p>
        </w:tc>
        <w:tc>
          <w:tcPr>
            <w:tcW w:w="2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Home equity - 1st lien</w:t>
            </w:r>
          </w:p>
        </w:tc>
        <w:tc>
          <w:tcPr>
            <w:tcW w:w="2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106</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04"/>
        </w:trPr>
        <w:tc>
          <w:tcPr>
            <w:tcW w:w="4800" w:type="dxa"/>
            <w:vAlign w:val="bottom"/>
          </w:tcPr>
          <w:p>
            <w:pPr>
              <w:ind w:left="300"/>
              <w:spacing w:after="0"/>
              <w:rPr>
                <w:sz w:val="20"/>
                <w:szCs w:val="20"/>
                <w:color w:val="auto"/>
              </w:rPr>
            </w:pPr>
            <w:r>
              <w:rPr>
                <w:rFonts w:ascii="Arial" w:cs="Arial" w:eastAsia="Arial" w:hAnsi="Arial"/>
                <w:sz w:val="17"/>
                <w:szCs w:val="17"/>
                <w:color w:val="auto"/>
              </w:rPr>
              <w:t>Home equity - 2nd lien</w:t>
            </w:r>
          </w:p>
        </w:tc>
        <w:tc>
          <w:tcPr>
            <w:tcW w:w="2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443</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443</w:t>
            </w: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Loans not secured by real estate</w:t>
            </w:r>
          </w:p>
        </w:tc>
        <w:tc>
          <w:tcPr>
            <w:tcW w:w="2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421</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204"/>
        </w:trPr>
        <w:tc>
          <w:tcPr>
            <w:tcW w:w="4800" w:type="dxa"/>
            <w:vAlign w:val="bottom"/>
          </w:tcPr>
          <w:p>
            <w:pPr>
              <w:ind w:left="300"/>
              <w:spacing w:after="0"/>
              <w:rPr>
                <w:sz w:val="20"/>
                <w:szCs w:val="20"/>
                <w:color w:val="auto"/>
              </w:rPr>
            </w:pPr>
            <w:r>
              <w:rPr>
                <w:rFonts w:ascii="Arial" w:cs="Arial" w:eastAsia="Arial" w:hAnsi="Arial"/>
                <w:sz w:val="17"/>
                <w:szCs w:val="17"/>
                <w:color w:val="auto"/>
              </w:rPr>
              <w:t>Other</w:t>
            </w:r>
          </w:p>
        </w:tc>
        <w:tc>
          <w:tcPr>
            <w:tcW w:w="2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Payment plan receivables</w:t>
            </w:r>
          </w:p>
        </w:tc>
        <w:tc>
          <w:tcPr>
            <w:tcW w:w="2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300"/>
              <w:spacing w:after="0"/>
              <w:rPr>
                <w:sz w:val="20"/>
                <w:szCs w:val="20"/>
                <w:color w:val="auto"/>
              </w:rPr>
            </w:pPr>
            <w:r>
              <w:rPr>
                <w:rFonts w:ascii="Arial" w:cs="Arial" w:eastAsia="Arial" w:hAnsi="Arial"/>
                <w:sz w:val="17"/>
                <w:szCs w:val="17"/>
                <w:color w:val="auto"/>
              </w:rPr>
              <w:t>Full refund</w:t>
            </w:r>
          </w:p>
        </w:tc>
        <w:tc>
          <w:tcPr>
            <w:tcW w:w="2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Partial refund</w:t>
            </w:r>
          </w:p>
        </w:tc>
        <w:tc>
          <w:tcPr>
            <w:tcW w:w="2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9"/>
        </w:trPr>
        <w:tc>
          <w:tcPr>
            <w:tcW w:w="4800" w:type="dxa"/>
            <w:vAlign w:val="bottom"/>
          </w:tcPr>
          <w:p>
            <w:pPr>
              <w:ind w:left="300"/>
              <w:spacing w:after="0"/>
              <w:rPr>
                <w:sz w:val="20"/>
                <w:szCs w:val="20"/>
                <w:color w:val="auto"/>
              </w:rPr>
            </w:pPr>
            <w:r>
              <w:rPr>
                <w:rFonts w:ascii="Arial" w:cs="Arial" w:eastAsia="Arial" w:hAnsi="Arial"/>
                <w:sz w:val="17"/>
                <w:szCs w:val="17"/>
                <w:color w:val="auto"/>
              </w:rPr>
              <w:t>Other</w:t>
            </w: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 recorded investment</w:t>
            </w:r>
          </w:p>
        </w:tc>
        <w:tc>
          <w:tcPr>
            <w:tcW w:w="2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77"/>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10,607</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10,725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800" w:type="dxa"/>
            <w:vAlign w:val="bottom"/>
          </w:tcPr>
          <w:p>
            <w:pPr>
              <w:ind w:left="160"/>
              <w:spacing w:after="0"/>
              <w:rPr>
                <w:sz w:val="20"/>
                <w:szCs w:val="20"/>
                <w:color w:val="auto"/>
              </w:rPr>
            </w:pPr>
            <w:r>
              <w:rPr>
                <w:rFonts w:ascii="Arial" w:cs="Arial" w:eastAsia="Arial" w:hAnsi="Arial"/>
                <w:sz w:val="17"/>
                <w:szCs w:val="17"/>
                <w:color w:val="auto"/>
              </w:rPr>
              <w:t>Accrued interest included in recorded investment</w:t>
            </w:r>
          </w:p>
        </w:tc>
        <w:tc>
          <w:tcPr>
            <w:tcW w:w="3540" w:type="dxa"/>
            <w:vAlign w:val="bottom"/>
            <w:gridSpan w:val="2"/>
          </w:tcPr>
          <w:p>
            <w:pPr>
              <w:jc w:val="right"/>
              <w:ind w:right="739"/>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6"/>
                <w:szCs w:val="16"/>
                <w:color w:val="auto"/>
              </w:rPr>
            </w:pPr>
          </w:p>
        </w:tc>
        <w:tc>
          <w:tcPr>
            <w:tcW w:w="300" w:type="dxa"/>
            <w:vAlign w:val="bottom"/>
            <w:gridSpan w:val="2"/>
          </w:tcPr>
          <w:p>
            <w:pPr>
              <w:jc w:val="right"/>
              <w:ind w:right="22"/>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640" w:type="dxa"/>
            <w:vAlign w:val="bottom"/>
            <w:vMerge w:val="restart"/>
          </w:tcPr>
          <w:p>
            <w:pPr>
              <w:jc w:val="right"/>
              <w:ind w:right="1579"/>
              <w:spacing w:after="0"/>
              <w:rPr>
                <w:sz w:val="20"/>
                <w:szCs w:val="20"/>
                <w:color w:val="auto"/>
              </w:rPr>
            </w:pPr>
            <w:r>
              <w:rPr>
                <w:rFonts w:ascii="Arial" w:cs="Arial" w:eastAsia="Arial" w:hAnsi="Arial"/>
                <w:sz w:val="14"/>
                <w:szCs w:val="14"/>
                <w:color w:val="auto"/>
              </w:rPr>
              <w:t>18</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480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80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rPr>
              <w:t>An aging analysis of loans by class follows: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7"/>
                <w:szCs w:val="17"/>
                <w:color w:val="auto"/>
              </w:rPr>
              <w:t>Loans Past Due</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7"/>
                <w:szCs w:val="17"/>
                <w:color w:val="auto"/>
                <w:w w:val="91"/>
              </w:rPr>
              <w:t>Loans not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7"/>
                <w:szCs w:val="17"/>
                <w:color w:val="auto"/>
              </w:rPr>
              <w:t>30-59 days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7"/>
                <w:szCs w:val="17"/>
                <w:color w:val="auto"/>
                <w:w w:val="92"/>
              </w:rPr>
              <w:t>60-89 days</w:t>
            </w: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7"/>
                <w:szCs w:val="17"/>
                <w:color w:val="auto"/>
                <w:w w:val="97"/>
              </w:rPr>
              <w:t>90+ days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315"/>
              <w:spacing w:after="0"/>
              <w:rPr>
                <w:sz w:val="20"/>
                <w:szCs w:val="20"/>
                <w:color w:val="auto"/>
              </w:rPr>
            </w:pPr>
            <w:r>
              <w:rPr>
                <w:rFonts w:ascii="Arial" w:cs="Arial" w:eastAsia="Arial" w:hAnsi="Arial"/>
                <w:sz w:val="17"/>
                <w:szCs w:val="17"/>
                <w:color w:val="auto"/>
                <w:w w:val="89"/>
              </w:rPr>
              <w:t>Total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7"/>
                <w:szCs w:val="17"/>
                <w:color w:val="auto"/>
                <w:w w:val="85"/>
              </w:rPr>
              <w:t>Past Due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rPr>
              <w:t>Loans</w:t>
            </w:r>
          </w:p>
        </w:tc>
        <w:tc>
          <w:tcPr>
            <w:tcW w:w="0" w:type="dxa"/>
            <w:vAlign w:val="bottom"/>
          </w:tcPr>
          <w:p>
            <w:pPr>
              <w:spacing w:after="0"/>
              <w:rPr>
                <w:sz w:val="1"/>
                <w:szCs w:val="1"/>
                <w:color w:val="auto"/>
              </w:rPr>
            </w:pPr>
          </w:p>
        </w:tc>
      </w:tr>
      <w:tr>
        <w:trPr>
          <w:trHeight w:val="215"/>
        </w:trPr>
        <w:tc>
          <w:tcPr>
            <w:tcW w:w="3320" w:type="dxa"/>
            <w:vAlign w:val="bottom"/>
            <w:gridSpan w:val="2"/>
            <w:vMerge w:val="restart"/>
          </w:tcPr>
          <w:p>
            <w:pPr>
              <w:spacing w:after="0"/>
              <w:rPr>
                <w:sz w:val="20"/>
                <w:szCs w:val="20"/>
                <w:color w:val="auto"/>
              </w:rPr>
            </w:pPr>
            <w:r>
              <w:rPr>
                <w:rFonts w:ascii="Arial" w:cs="Arial" w:eastAsia="Arial" w:hAnsi="Arial"/>
                <w:sz w:val="17"/>
                <w:szCs w:val="17"/>
                <w:color w:val="auto"/>
              </w:rPr>
              <w:t>June 30, 2016</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4"/>
          </w:tcPr>
          <w:p>
            <w:pPr>
              <w:jc w:val="right"/>
              <w:spacing w:after="0"/>
              <w:rPr>
                <w:sz w:val="20"/>
                <w:szCs w:val="20"/>
                <w:color w:val="auto"/>
              </w:rPr>
            </w:pPr>
            <w:r>
              <w:rPr>
                <w:rFonts w:ascii="Arial" w:cs="Arial" w:eastAsia="Arial" w:hAnsi="Arial"/>
                <w:sz w:val="17"/>
                <w:szCs w:val="17"/>
                <w:color w:val="auto"/>
              </w:rPr>
              <w:t>(In thousands)</w:t>
            </w: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Commercial</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Income producing -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176</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774</w:t>
            </w:r>
          </w:p>
        </w:tc>
        <w:tc>
          <w:tcPr>
            <w:tcW w:w="500" w:type="dxa"/>
            <w:vAlign w:val="bottom"/>
            <w:gridSpan w:val="2"/>
            <w:shd w:val="clear" w:color="auto" w:fill="CCEEFF"/>
          </w:tcPr>
          <w:p>
            <w:pPr>
              <w:jc w:val="right"/>
              <w:ind w:right="226"/>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980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306,698</w:t>
            </w:r>
          </w:p>
        </w:tc>
        <w:tc>
          <w:tcPr>
            <w:tcW w:w="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307,678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00" w:type="dxa"/>
            <w:vAlign w:val="bottom"/>
          </w:tcPr>
          <w:p>
            <w:pPr>
              <w:ind w:left="280"/>
              <w:spacing w:after="0" w:line="191" w:lineRule="exact"/>
              <w:rPr>
                <w:sz w:val="20"/>
                <w:szCs w:val="20"/>
                <w:color w:val="auto"/>
              </w:rPr>
            </w:pPr>
            <w:r>
              <w:rPr>
                <w:rFonts w:ascii="Arial" w:cs="Arial" w:eastAsia="Arial" w:hAnsi="Arial"/>
                <w:sz w:val="17"/>
                <w:szCs w:val="17"/>
                <w:color w:val="auto"/>
                <w:w w:val="96"/>
              </w:rPr>
              <w:t>Land, land development and construction</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400"/>
              <w:spacing w:after="0"/>
              <w:rPr>
                <w:sz w:val="20"/>
                <w:szCs w:val="20"/>
                <w:color w:val="auto"/>
              </w:rPr>
            </w:pPr>
            <w:r>
              <w:rPr>
                <w:rFonts w:ascii="Arial" w:cs="Arial" w:eastAsia="Arial" w:hAnsi="Arial"/>
                <w:sz w:val="17"/>
                <w:szCs w:val="17"/>
                <w:color w:val="auto"/>
              </w:rPr>
              <w:t>- real estate</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114</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133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256</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48,189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48,445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Commercial and industrial</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194</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516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915</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436,558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437,473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Mortgage</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1-4 family</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687</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7,842</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281,979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289,821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Resort lending</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328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78</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803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1,209</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107,824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109,033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Home equity - 1st lien</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35</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443</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26,988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27,431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Home equity - 2nd lien</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494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152</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262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908</w:t>
            </w:r>
          </w:p>
        </w:tc>
        <w:tc>
          <w:tcPr>
            <w:tcW w:w="1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51,461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52,369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Purchased loans</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29,629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29,641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Installment</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Home equity - 1st lien</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37</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486</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14,430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14,916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Home equity - 2nd lien</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121</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327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658</w:t>
            </w:r>
          </w:p>
        </w:tc>
        <w:tc>
          <w:tcPr>
            <w:tcW w:w="1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16,612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17,270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Loans not secured by real estate</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128</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749</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218,181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218,930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Other</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28</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 plan receivables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Full refund</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377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137</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516</w:t>
            </w:r>
          </w:p>
        </w:tc>
        <w:tc>
          <w:tcPr>
            <w:tcW w:w="1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12,683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13,199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Partial refund</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116</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526</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10,572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Other</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68</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301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6,791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7,092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recorded investment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2,044</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15,829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1,570,851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1,586,680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00" w:type="dxa"/>
            <w:vAlign w:val="bottom"/>
          </w:tcPr>
          <w:p>
            <w:pPr>
              <w:ind w:left="140"/>
              <w:spacing w:after="0" w:line="182" w:lineRule="exact"/>
              <w:rPr>
                <w:sz w:val="20"/>
                <w:szCs w:val="20"/>
                <w:color w:val="auto"/>
              </w:rPr>
            </w:pPr>
            <w:r>
              <w:rPr>
                <w:rFonts w:ascii="Arial" w:cs="Arial" w:eastAsia="Arial" w:hAnsi="Arial"/>
                <w:sz w:val="17"/>
                <w:szCs w:val="17"/>
                <w:color w:val="auto"/>
              </w:rPr>
              <w:t>Accrued interest included in recorded</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260"/>
              <w:spacing w:after="0"/>
              <w:rPr>
                <w:sz w:val="20"/>
                <w:szCs w:val="20"/>
                <w:color w:val="auto"/>
              </w:rPr>
            </w:pPr>
            <w:r>
              <w:rPr>
                <w:rFonts w:ascii="Arial" w:cs="Arial" w:eastAsia="Arial" w:hAnsi="Arial"/>
                <w:sz w:val="17"/>
                <w:szCs w:val="17"/>
                <w:color w:val="auto"/>
              </w:rPr>
              <w:t>investment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22</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500" w:type="dxa"/>
            <w:vAlign w:val="bottom"/>
            <w:gridSpan w:val="2"/>
          </w:tcPr>
          <w:p>
            <w:pPr>
              <w:jc w:val="right"/>
              <w:ind w:right="226"/>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67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4,491</w:t>
            </w:r>
          </w:p>
        </w:tc>
        <w:tc>
          <w:tcPr>
            <w:tcW w:w="100" w:type="dxa"/>
            <w:vAlign w:val="bottom"/>
          </w:tcPr>
          <w:p>
            <w:pPr>
              <w:spacing w:after="0"/>
              <w:rPr>
                <w:sz w:val="18"/>
                <w:szCs w:val="18"/>
                <w:color w:val="auto"/>
              </w:rPr>
            </w:pPr>
          </w:p>
        </w:tc>
        <w:tc>
          <w:tcPr>
            <w:tcW w:w="34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3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December 31, 2015</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Income producing - real estate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203</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209</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647</w:t>
            </w:r>
          </w:p>
        </w:tc>
        <w:tc>
          <w:tcPr>
            <w:tcW w:w="500" w:type="dxa"/>
            <w:vAlign w:val="bottom"/>
            <w:gridSpan w:val="2"/>
          </w:tcPr>
          <w:p>
            <w:pPr>
              <w:jc w:val="right"/>
              <w:ind w:right="226"/>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1,059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305,155</w:t>
            </w:r>
          </w:p>
        </w:tc>
        <w:tc>
          <w:tcPr>
            <w:tcW w:w="100" w:type="dxa"/>
            <w:vAlign w:val="bottom"/>
          </w:tcPr>
          <w:p>
            <w:pPr>
              <w:spacing w:after="0"/>
              <w:rPr>
                <w:sz w:val="17"/>
                <w:szCs w:val="17"/>
                <w:color w:val="auto"/>
              </w:rPr>
            </w:pPr>
          </w:p>
        </w:tc>
        <w:tc>
          <w:tcPr>
            <w:tcW w:w="34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306,214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00" w:type="dxa"/>
            <w:vAlign w:val="bottom"/>
            <w:shd w:val="clear" w:color="auto" w:fill="CCEEFF"/>
          </w:tcPr>
          <w:p>
            <w:pPr>
              <w:ind w:left="280"/>
              <w:spacing w:after="0" w:line="191" w:lineRule="exact"/>
              <w:rPr>
                <w:sz w:val="20"/>
                <w:szCs w:val="20"/>
                <w:color w:val="auto"/>
              </w:rPr>
            </w:pPr>
            <w:r>
              <w:rPr>
                <w:rFonts w:ascii="Arial" w:cs="Arial" w:eastAsia="Arial" w:hAnsi="Arial"/>
                <w:sz w:val="17"/>
                <w:szCs w:val="17"/>
                <w:color w:val="auto"/>
                <w:w w:val="96"/>
              </w:rPr>
              <w:t>Land, land development and construction</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 real estate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44,231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44,483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Commercial and industrial</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785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16</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151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952</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398,618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399,570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Mortgage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1-4 family</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640</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4,744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7,327</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272,298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279,625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Resort lending</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1,401</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114,619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116,020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Home equity - 1st lien</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187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237</w:t>
            </w:r>
          </w:p>
        </w:tc>
        <w:tc>
          <w:tcPr>
            <w:tcW w:w="1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22,327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22,564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Home equity - 2nd lien</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54</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640</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50,618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51,258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Purchased loans</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33,245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33,257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Installment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Home equity - 1st lien</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107</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528</w:t>
            </w:r>
          </w:p>
        </w:tc>
        <w:tc>
          <w:tcPr>
            <w:tcW w:w="1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16,707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17,235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Home equity - 2nd lien</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149</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443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823</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19,727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20,550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Loans not secured by real estate</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567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83</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421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1,071</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191,262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192,333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Payment plan receivables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Full refund</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62</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556</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21,294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21,850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Partial refund</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228</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645</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5,834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6,479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114</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440"/>
              <w:spacing w:after="0"/>
              <w:rPr>
                <w:sz w:val="20"/>
                <w:szCs w:val="20"/>
                <w:color w:val="auto"/>
              </w:rPr>
            </w:pPr>
            <w:r>
              <w:rPr>
                <w:rFonts w:ascii="Arial" w:cs="Arial" w:eastAsia="Arial" w:hAnsi="Arial"/>
                <w:sz w:val="17"/>
                <w:szCs w:val="17"/>
                <w:color w:val="auto"/>
              </w:rPr>
              <w:t>Total recorded investment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5,881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1,555</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8,201</w:t>
            </w:r>
          </w:p>
        </w:tc>
        <w:tc>
          <w:tcPr>
            <w:tcW w:w="120" w:type="dxa"/>
            <w:vAlign w:val="bottom"/>
          </w:tcPr>
          <w:p>
            <w:pPr>
              <w:spacing w:after="0"/>
              <w:rPr>
                <w:sz w:val="17"/>
                <w:szCs w:val="17"/>
                <w:color w:val="auto"/>
              </w:rPr>
            </w:pPr>
          </w:p>
        </w:tc>
        <w:tc>
          <w:tcPr>
            <w:tcW w:w="500" w:type="dxa"/>
            <w:vAlign w:val="bottom"/>
            <w:gridSpan w:val="2"/>
          </w:tcPr>
          <w:p>
            <w:pPr>
              <w:jc w:val="right"/>
              <w:ind w:right="226"/>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15,637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1,504,250</w:t>
            </w:r>
          </w:p>
        </w:tc>
        <w:tc>
          <w:tcPr>
            <w:tcW w:w="100" w:type="dxa"/>
            <w:vAlign w:val="bottom"/>
          </w:tcPr>
          <w:p>
            <w:pPr>
              <w:spacing w:after="0"/>
              <w:rPr>
                <w:sz w:val="17"/>
                <w:szCs w:val="17"/>
                <w:color w:val="auto"/>
              </w:rPr>
            </w:pPr>
          </w:p>
        </w:tc>
        <w:tc>
          <w:tcPr>
            <w:tcW w:w="34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1,519,887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300" w:type="dxa"/>
            <w:vAlign w:val="bottom"/>
            <w:shd w:val="clear" w:color="auto" w:fill="CCEEFF"/>
          </w:tcPr>
          <w:p>
            <w:pPr>
              <w:ind w:left="140"/>
              <w:spacing w:after="0" w:line="182" w:lineRule="exact"/>
              <w:rPr>
                <w:sz w:val="20"/>
                <w:szCs w:val="20"/>
                <w:color w:val="auto"/>
              </w:rPr>
            </w:pPr>
            <w:r>
              <w:rPr>
                <w:rFonts w:ascii="Arial" w:cs="Arial" w:eastAsia="Arial" w:hAnsi="Arial"/>
                <w:sz w:val="17"/>
                <w:szCs w:val="17"/>
                <w:color w:val="auto"/>
              </w:rPr>
              <w:t>Accrued interest included in recorded</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investment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500" w:type="dxa"/>
            <w:vAlign w:val="bottom"/>
            <w:gridSpan w:val="2"/>
            <w:shd w:val="clear" w:color="auto" w:fill="CCEEFF"/>
          </w:tcPr>
          <w:p>
            <w:pPr>
              <w:jc w:val="right"/>
              <w:ind w:right="226"/>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4,765</w:t>
            </w: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33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40" w:type="dxa"/>
            <w:vAlign w:val="bottom"/>
            <w:gridSpan w:val="2"/>
          </w:tcPr>
          <w:p>
            <w:pPr>
              <w:spacing w:after="0"/>
              <w:rPr>
                <w:sz w:val="20"/>
                <w:szCs w:val="20"/>
                <w:color w:val="auto"/>
              </w:rPr>
            </w:pPr>
            <w:r>
              <w:rPr>
                <w:rFonts w:ascii="Arial" w:cs="Arial" w:eastAsia="Arial" w:hAnsi="Arial"/>
                <w:sz w:val="17"/>
                <w:szCs w:val="17"/>
                <w:color w:val="auto"/>
              </w:rPr>
              <w:t>Impaired loans are as follows :</w:t>
            </w:r>
          </w:p>
        </w:tc>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435"/>
              <w:spacing w:after="0"/>
              <w:rPr>
                <w:sz w:val="20"/>
                <w:szCs w:val="20"/>
                <w:color w:val="auto"/>
              </w:rPr>
            </w:pPr>
            <w:r>
              <w:rPr>
                <w:rFonts w:ascii="Arial" w:cs="Arial" w:eastAsia="Arial" w:hAnsi="Arial"/>
                <w:sz w:val="17"/>
                <w:szCs w:val="17"/>
                <w:color w:val="auto"/>
                <w:w w:val="98"/>
              </w:rPr>
              <w:t>June 30,</w:t>
            </w:r>
          </w:p>
        </w:tc>
        <w:tc>
          <w:tcPr>
            <w:tcW w:w="8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w w:val="88"/>
              </w:rPr>
              <w:t>December 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2016</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840" w:type="dxa"/>
            <w:vAlign w:val="bottom"/>
            <w:gridSpan w:val="2"/>
          </w:tcPr>
          <w:p>
            <w:pPr>
              <w:spacing w:after="0"/>
              <w:rPr>
                <w:sz w:val="20"/>
                <w:szCs w:val="20"/>
                <w:color w:val="auto"/>
              </w:rPr>
            </w:pPr>
            <w:r>
              <w:rPr>
                <w:rFonts w:ascii="Arial" w:cs="Arial" w:eastAsia="Arial" w:hAnsi="Arial"/>
                <w:sz w:val="17"/>
                <w:szCs w:val="17"/>
                <w:color w:val="auto"/>
              </w:rPr>
              <w:t>Impaired loans with no allocated allowance</w:t>
            </w:r>
          </w:p>
        </w:tc>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(In</w:t>
            </w:r>
          </w:p>
        </w:tc>
        <w:tc>
          <w:tcPr>
            <w:tcW w:w="1380" w:type="dxa"/>
            <w:vAlign w:val="bottom"/>
            <w:gridSpan w:val="3"/>
          </w:tcPr>
          <w:p>
            <w:pPr>
              <w:jc w:val="right"/>
              <w:ind w:right="675"/>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TDR</w:t>
            </w:r>
          </w:p>
        </w:tc>
        <w:tc>
          <w:tcPr>
            <w:tcW w:w="416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20" w:type="dxa"/>
            <w:vAlign w:val="bottom"/>
          </w:tcPr>
          <w:p>
            <w:pPr>
              <w:ind w:left="140"/>
              <w:spacing w:after="0"/>
              <w:rPr>
                <w:sz w:val="20"/>
                <w:szCs w:val="20"/>
                <w:color w:val="auto"/>
              </w:rPr>
            </w:pPr>
            <w:r>
              <w:rPr>
                <w:rFonts w:ascii="Arial" w:cs="Arial" w:eastAsia="Arial" w:hAnsi="Arial"/>
                <w:sz w:val="17"/>
                <w:szCs w:val="17"/>
                <w:color w:val="auto"/>
              </w:rPr>
              <w:t>Non - TDR</w:t>
            </w:r>
          </w:p>
        </w:tc>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542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Impaired loans with an allocated allowance</w:t>
            </w:r>
          </w:p>
        </w:tc>
        <w:tc>
          <w:tcPr>
            <w:tcW w:w="3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20" w:type="dxa"/>
            <w:vAlign w:val="bottom"/>
          </w:tcPr>
          <w:p>
            <w:pPr>
              <w:ind w:left="140"/>
              <w:spacing w:after="0"/>
              <w:rPr>
                <w:sz w:val="20"/>
                <w:szCs w:val="20"/>
                <w:color w:val="auto"/>
              </w:rPr>
            </w:pPr>
            <w:r>
              <w:rPr>
                <w:rFonts w:ascii="Arial" w:cs="Arial" w:eastAsia="Arial" w:hAnsi="Arial"/>
                <w:sz w:val="17"/>
                <w:szCs w:val="17"/>
                <w:color w:val="auto"/>
              </w:rPr>
              <w:t>TDR - allowance based on collateral</w:t>
            </w:r>
          </w:p>
        </w:tc>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5,036</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4,810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TDR - allowance based on present value cash flow</w:t>
            </w:r>
          </w:p>
        </w:tc>
        <w:tc>
          <w:tcPr>
            <w:tcW w:w="3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80,205</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81,002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20" w:type="dxa"/>
            <w:vAlign w:val="bottom"/>
          </w:tcPr>
          <w:p>
            <w:pPr>
              <w:ind w:left="140"/>
              <w:spacing w:after="0"/>
              <w:rPr>
                <w:sz w:val="20"/>
                <w:szCs w:val="20"/>
                <w:color w:val="auto"/>
              </w:rPr>
            </w:pPr>
            <w:r>
              <w:rPr>
                <w:rFonts w:ascii="Arial" w:cs="Arial" w:eastAsia="Arial" w:hAnsi="Arial"/>
                <w:sz w:val="17"/>
                <w:szCs w:val="17"/>
                <w:color w:val="auto"/>
              </w:rPr>
              <w:t>Non - TDR - allowance based on collateral</w:t>
            </w:r>
          </w:p>
        </w:tc>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398</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Non - TDR - allowance based on present value cash flow</w:t>
            </w:r>
          </w:p>
        </w:tc>
        <w:tc>
          <w:tcPr>
            <w:tcW w:w="39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20" w:type="dxa"/>
            <w:vAlign w:val="bottom"/>
          </w:tcPr>
          <w:p>
            <w:pPr>
              <w:ind w:left="280"/>
              <w:spacing w:after="0"/>
              <w:rPr>
                <w:sz w:val="20"/>
                <w:szCs w:val="20"/>
                <w:color w:val="auto"/>
              </w:rPr>
            </w:pPr>
            <w:r>
              <w:rPr>
                <w:rFonts w:ascii="Arial" w:cs="Arial" w:eastAsia="Arial" w:hAnsi="Arial"/>
                <w:sz w:val="17"/>
                <w:szCs w:val="17"/>
                <w:color w:val="auto"/>
              </w:rPr>
              <w:t>Total impaired loans</w:t>
            </w:r>
          </w:p>
        </w:tc>
        <w:tc>
          <w:tcPr>
            <w:tcW w:w="4160" w:type="dxa"/>
            <w:vAlign w:val="bottom"/>
            <w:gridSpan w:val="2"/>
          </w:tcPr>
          <w:p>
            <w:pPr>
              <w:jc w:val="right"/>
              <w:ind w:right="46"/>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86,354</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88,793</w:t>
            </w:r>
          </w:p>
        </w:tc>
        <w:tc>
          <w:tcPr>
            <w:tcW w:w="0" w:type="dxa"/>
            <w:vAlign w:val="bottom"/>
          </w:tcPr>
          <w:p>
            <w:pPr>
              <w:spacing w:after="0"/>
              <w:rPr>
                <w:sz w:val="1"/>
                <w:szCs w:val="1"/>
                <w:color w:val="auto"/>
              </w:rPr>
            </w:pPr>
          </w:p>
        </w:tc>
      </w:tr>
      <w:tr>
        <w:trPr>
          <w:trHeight w:val="20"/>
        </w:trPr>
        <w:tc>
          <w:tcPr>
            <w:tcW w:w="4840" w:type="dxa"/>
            <w:vAlign w:val="bottom"/>
            <w:gridSpan w:val="2"/>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3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Amount of allowance for loan losses allocated</w:t>
            </w:r>
          </w:p>
        </w:tc>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TDR - allowance based on collateral</w:t>
            </w:r>
          </w:p>
        </w:tc>
        <w:tc>
          <w:tcPr>
            <w:tcW w:w="416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2,127</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20" w:type="dxa"/>
            <w:vAlign w:val="bottom"/>
          </w:tcPr>
          <w:p>
            <w:pPr>
              <w:ind w:left="140"/>
              <w:spacing w:after="0"/>
              <w:rPr>
                <w:sz w:val="20"/>
                <w:szCs w:val="20"/>
                <w:color w:val="auto"/>
              </w:rPr>
            </w:pPr>
            <w:r>
              <w:rPr>
                <w:rFonts w:ascii="Arial" w:cs="Arial" w:eastAsia="Arial" w:hAnsi="Arial"/>
                <w:sz w:val="17"/>
                <w:szCs w:val="17"/>
                <w:color w:val="auto"/>
              </w:rPr>
              <w:t>TDR - allowance based on present value cash flow</w:t>
            </w:r>
          </w:p>
        </w:tc>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8,603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8,471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Non - TDR - allowance based on collateral</w:t>
            </w:r>
          </w:p>
        </w:tc>
        <w:tc>
          <w:tcPr>
            <w:tcW w:w="3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211</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Arial" w:cs="Arial" w:eastAsia="Arial" w:hAnsi="Arial"/>
                <w:sz w:val="17"/>
                <w:szCs w:val="17"/>
                <w:color w:val="auto"/>
              </w:rPr>
              <w:t>Non - TDR - allowance based on present value cash flow</w:t>
            </w:r>
          </w:p>
        </w:tc>
        <w:tc>
          <w:tcPr>
            <w:tcW w:w="39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Total amount of allowance for loan losses allocated</w:t>
            </w:r>
          </w:p>
        </w:tc>
        <w:tc>
          <w:tcPr>
            <w:tcW w:w="3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10,941</w:t>
            </w: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10,983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53"/>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960" w:type="dxa"/>
            <w:vAlign w:val="bottom"/>
          </w:tcPr>
          <w:p>
            <w:pPr>
              <w:jc w:val="right"/>
              <w:ind w:right="2939"/>
              <w:spacing w:after="0"/>
              <w:rPr>
                <w:sz w:val="20"/>
                <w:szCs w:val="20"/>
                <w:color w:val="auto"/>
              </w:rPr>
            </w:pPr>
            <w:r>
              <w:rPr>
                <w:rFonts w:ascii="Arial" w:cs="Arial" w:eastAsia="Arial" w:hAnsi="Arial"/>
                <w:sz w:val="14"/>
                <w:szCs w:val="14"/>
                <w:color w:val="auto"/>
              </w:rPr>
              <w:t>20</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820" w:type="dxa"/>
            <w:vAlign w:val="bottom"/>
            <w:tcBorders>
              <w:bottom w:val="single" w:sz="8" w:color="auto"/>
            </w:tcBorders>
          </w:tcPr>
          <w:p>
            <w:pPr>
              <w:spacing w:after="0"/>
              <w:rPr>
                <w:sz w:val="3"/>
                <w:szCs w:val="3"/>
                <w:color w:val="auto"/>
              </w:rPr>
            </w:pPr>
          </w:p>
        </w:tc>
        <w:tc>
          <w:tcPr>
            <w:tcW w:w="3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rPr>
              <w:t>Impaired loans by class are as follows (1):</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7"/>
                <w:szCs w:val="17"/>
                <w:color w:val="auto"/>
                <w:w w:val="87"/>
              </w:rPr>
              <w:t>June 30, 2016</w:t>
            </w: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color w:val="auto"/>
                <w:w w:val="89"/>
              </w:rPr>
              <w:t>December 31, 2015</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40"/>
              <w:spacing w:after="0" w:line="191" w:lineRule="exact"/>
              <w:rPr>
                <w:sz w:val="20"/>
                <w:szCs w:val="20"/>
                <w:color w:val="auto"/>
              </w:rPr>
            </w:pPr>
            <w:r>
              <w:rPr>
                <w:rFonts w:ascii="Arial" w:cs="Arial" w:eastAsia="Arial" w:hAnsi="Arial"/>
                <w:sz w:val="17"/>
                <w:szCs w:val="17"/>
                <w:color w:val="auto"/>
                <w:w w:val="92"/>
              </w:rPr>
              <w:t>Unpaid</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300"/>
              <w:spacing w:after="0" w:line="191" w:lineRule="exact"/>
              <w:rPr>
                <w:sz w:val="20"/>
                <w:szCs w:val="20"/>
                <w:color w:val="auto"/>
              </w:rPr>
            </w:pPr>
            <w:r>
              <w:rPr>
                <w:rFonts w:ascii="Arial" w:cs="Arial" w:eastAsia="Arial" w:hAnsi="Arial"/>
                <w:sz w:val="17"/>
                <w:szCs w:val="17"/>
                <w:color w:val="auto"/>
                <w:w w:val="92"/>
              </w:rPr>
              <w:t>Unpaid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75"/>
              <w:spacing w:after="0"/>
              <w:rPr>
                <w:sz w:val="20"/>
                <w:szCs w:val="20"/>
                <w:color w:val="auto"/>
              </w:rPr>
            </w:pPr>
            <w:r>
              <w:rPr>
                <w:rFonts w:ascii="Arial" w:cs="Arial" w:eastAsia="Arial" w:hAnsi="Arial"/>
                <w:sz w:val="17"/>
                <w:szCs w:val="17"/>
                <w:color w:val="auto"/>
              </w:rPr>
              <w:t>Recorded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color w:val="auto"/>
                <w:w w:val="95"/>
              </w:rPr>
              <w:t>Principal</w:t>
            </w:r>
          </w:p>
        </w:tc>
        <w:tc>
          <w:tcPr>
            <w:tcW w:w="8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7"/>
                <w:szCs w:val="17"/>
                <w:color w:val="auto"/>
                <w:w w:val="85"/>
              </w:rPr>
              <w:t>Related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215"/>
              <w:spacing w:after="0"/>
              <w:rPr>
                <w:sz w:val="20"/>
                <w:szCs w:val="20"/>
                <w:color w:val="auto"/>
              </w:rPr>
            </w:pPr>
            <w:r>
              <w:rPr>
                <w:rFonts w:ascii="Arial" w:cs="Arial" w:eastAsia="Arial" w:hAnsi="Arial"/>
                <w:sz w:val="17"/>
                <w:szCs w:val="17"/>
                <w:color w:val="auto"/>
              </w:rPr>
              <w:t>Recorded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7"/>
                <w:szCs w:val="17"/>
                <w:color w:val="auto"/>
                <w:w w:val="91"/>
              </w:rPr>
              <w:t>Principal</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rPr>
              <w:t>Related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Arial" w:cs="Arial" w:eastAsia="Arial" w:hAnsi="Arial"/>
                <w:sz w:val="17"/>
                <w:szCs w:val="17"/>
                <w:color w:val="auto"/>
                <w:w w:val="96"/>
              </w:rPr>
              <w:t>Investment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color w:val="auto"/>
                <w:w w:val="87"/>
              </w:rPr>
              <w:t>Balance</w:t>
            </w:r>
          </w:p>
        </w:tc>
        <w:tc>
          <w:tcPr>
            <w:tcW w:w="8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7"/>
                <w:szCs w:val="17"/>
                <w:color w:val="auto"/>
                <w:w w:val="95"/>
              </w:rPr>
              <w:t>Allowance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75"/>
              <w:spacing w:after="0"/>
              <w:rPr>
                <w:sz w:val="20"/>
                <w:szCs w:val="20"/>
                <w:color w:val="auto"/>
              </w:rPr>
            </w:pPr>
            <w:r>
              <w:rPr>
                <w:rFonts w:ascii="Arial" w:cs="Arial" w:eastAsia="Arial" w:hAnsi="Arial"/>
                <w:sz w:val="17"/>
                <w:szCs w:val="17"/>
                <w:color w:val="auto"/>
                <w:w w:val="93"/>
              </w:rPr>
              <w:t>Investment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7"/>
                <w:szCs w:val="17"/>
                <w:color w:val="auto"/>
                <w:w w:val="91"/>
              </w:rPr>
              <w:t>Balance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Allowance</w:t>
            </w:r>
          </w:p>
        </w:tc>
        <w:tc>
          <w:tcPr>
            <w:tcW w:w="0" w:type="dxa"/>
            <w:vAlign w:val="bottom"/>
          </w:tcPr>
          <w:p>
            <w:pPr>
              <w:spacing w:after="0"/>
              <w:rPr>
                <w:sz w:val="1"/>
                <w:szCs w:val="1"/>
                <w:color w:val="auto"/>
              </w:rPr>
            </w:pPr>
          </w:p>
        </w:tc>
      </w:tr>
      <w:tr>
        <w:trPr>
          <w:trHeight w:val="191"/>
        </w:trPr>
        <w:tc>
          <w:tcPr>
            <w:tcW w:w="3320" w:type="dxa"/>
            <w:vAlign w:val="bottom"/>
            <w:gridSpan w:val="2"/>
          </w:tcPr>
          <w:p>
            <w:pPr>
              <w:spacing w:after="0" w:line="191" w:lineRule="exact"/>
              <w:rPr>
                <w:sz w:val="20"/>
                <w:szCs w:val="20"/>
                <w:color w:val="auto"/>
              </w:rPr>
            </w:pPr>
            <w:r>
              <w:rPr>
                <w:rFonts w:ascii="Arial" w:cs="Arial" w:eastAsia="Arial" w:hAnsi="Arial"/>
                <w:sz w:val="17"/>
                <w:szCs w:val="17"/>
                <w:b w:val="1"/>
                <w:bCs w:val="1"/>
                <w:color w:val="auto"/>
              </w:rPr>
              <w:t>With no related allowance recorded:</w:t>
            </w: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7"/>
                <w:szCs w:val="17"/>
                <w:color w:val="auto"/>
                <w:w w:val="90"/>
              </w:rPr>
              <w:t>(In thousands)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Commercial</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Income producing -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00" w:type="dxa"/>
            <w:vAlign w:val="bottom"/>
          </w:tcPr>
          <w:p>
            <w:pPr>
              <w:ind w:left="280"/>
              <w:spacing w:after="0" w:line="191" w:lineRule="exact"/>
              <w:rPr>
                <w:sz w:val="20"/>
                <w:szCs w:val="20"/>
                <w:color w:val="auto"/>
              </w:rPr>
            </w:pPr>
            <w:r>
              <w:rPr>
                <w:rFonts w:ascii="Arial" w:cs="Arial" w:eastAsia="Arial" w:hAnsi="Arial"/>
                <w:sz w:val="17"/>
                <w:szCs w:val="17"/>
                <w:color w:val="auto"/>
              </w:rPr>
              <w:t>Land, land development &amp; construction-</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400"/>
              <w:spacing w:after="0"/>
              <w:rPr>
                <w:sz w:val="20"/>
                <w:szCs w:val="20"/>
                <w:color w:val="auto"/>
              </w:rPr>
            </w:pPr>
            <w:r>
              <w:rPr>
                <w:rFonts w:ascii="Arial" w:cs="Arial" w:eastAsia="Arial" w:hAnsi="Arial"/>
                <w:sz w:val="17"/>
                <w:szCs w:val="17"/>
                <w:color w:val="auto"/>
              </w:rPr>
              <w:t>real estate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709</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818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Commercial and industrial</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1,245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Mortgage</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1-4 family</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348</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Resort lending</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Home equity - 1st lien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Home equity - 2nd lien</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Installment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Home equity - 1st lien</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43</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Home equity - 2nd lien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Loans not secured by real estate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1,906</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2,727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3,744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With an allowance recorded:</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Commercial</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Income producing - real estate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8,186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8,935</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663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8,377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00" w:type="dxa"/>
            <w:vAlign w:val="bottom"/>
          </w:tcPr>
          <w:p>
            <w:pPr>
              <w:ind w:left="280"/>
              <w:spacing w:after="0" w:line="191" w:lineRule="exact"/>
              <w:rPr>
                <w:sz w:val="20"/>
                <w:szCs w:val="20"/>
                <w:color w:val="auto"/>
              </w:rPr>
            </w:pPr>
            <w:r>
              <w:rPr>
                <w:rFonts w:ascii="Arial" w:cs="Arial" w:eastAsia="Arial" w:hAnsi="Arial"/>
                <w:sz w:val="17"/>
                <w:szCs w:val="17"/>
                <w:color w:val="auto"/>
              </w:rPr>
              <w:t>Land, land development &amp; construction-</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400"/>
              <w:spacing w:after="0"/>
              <w:rPr>
                <w:sz w:val="20"/>
                <w:szCs w:val="20"/>
                <w:color w:val="auto"/>
              </w:rPr>
            </w:pPr>
            <w:r>
              <w:rPr>
                <w:rFonts w:ascii="Arial" w:cs="Arial" w:eastAsia="Arial" w:hAnsi="Arial"/>
                <w:sz w:val="17"/>
                <w:szCs w:val="17"/>
                <w:color w:val="auto"/>
              </w:rPr>
              <w:t>real estate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1,843</w:t>
            </w: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1,690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296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Commercial and industrial</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7,359</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4,097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Mortgage</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1-4 family</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45,474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47,259</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47,792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49,808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Resort lending</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17,449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17,484</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18,148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18,319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Home equity - 1st lien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246</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Home equity - 2nd lien</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324</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Installment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Home equity - 1st lien</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2,172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2,315</w:t>
            </w: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2,364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Home equity - 2nd lien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2,725</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2,929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Loans not secured by real estate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575</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587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658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85,944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89,070</w:t>
            </w: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10,941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86,404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90,182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10,983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Commercial</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Income producing - real estate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9,741</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663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9,018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10,083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00" w:type="dxa"/>
            <w:vAlign w:val="bottom"/>
          </w:tcPr>
          <w:p>
            <w:pPr>
              <w:ind w:left="280"/>
              <w:spacing w:after="0" w:line="191" w:lineRule="exact"/>
              <w:rPr>
                <w:sz w:val="20"/>
                <w:szCs w:val="20"/>
                <w:color w:val="auto"/>
              </w:rPr>
            </w:pPr>
            <w:r>
              <w:rPr>
                <w:rFonts w:ascii="Arial" w:cs="Arial" w:eastAsia="Arial" w:hAnsi="Arial"/>
                <w:sz w:val="17"/>
                <w:szCs w:val="17"/>
                <w:color w:val="auto"/>
              </w:rPr>
              <w:t>Land, land development &amp; construction-</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400"/>
              <w:spacing w:after="0"/>
              <w:rPr>
                <w:sz w:val="20"/>
                <w:szCs w:val="20"/>
                <w:color w:val="auto"/>
              </w:rPr>
            </w:pPr>
            <w:r>
              <w:rPr>
                <w:rFonts w:ascii="Arial" w:cs="Arial" w:eastAsia="Arial" w:hAnsi="Arial"/>
                <w:sz w:val="17"/>
                <w:szCs w:val="17"/>
                <w:color w:val="auto"/>
              </w:rPr>
              <w:t>real estate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2,552</w:t>
            </w: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296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Commercial and industrial</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7,359</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5,342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Mortgage</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1-4 family</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45,496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47,607</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47,815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49,991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Resort lending</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17,449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17,484</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18,148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18,319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Home equity - 1st lien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246</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Home equity - 2nd lien</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324</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Installment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Home equity - 1st lien</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2,172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2,358</w:t>
            </w: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2,364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2,568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Home equity - 2nd lien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2,725</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2,929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rPr>
                <w:sz w:val="20"/>
                <w:szCs w:val="20"/>
                <w:color w:val="auto"/>
              </w:rPr>
            </w:pPr>
            <w:r>
              <w:rPr>
                <w:rFonts w:ascii="Arial" w:cs="Arial" w:eastAsia="Arial" w:hAnsi="Arial"/>
                <w:sz w:val="17"/>
                <w:szCs w:val="17"/>
                <w:color w:val="auto"/>
              </w:rPr>
              <w:t>Loans not secured by real estate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575</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587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658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440"/>
              <w:spacing w:after="0"/>
              <w:rPr>
                <w:sz w:val="20"/>
                <w:szCs w:val="20"/>
                <w:color w:val="auto"/>
              </w:rPr>
            </w:pPr>
            <w:r>
              <w:rPr>
                <w:rFonts w:ascii="Arial" w:cs="Arial" w:eastAsia="Arial" w:hAnsi="Arial"/>
                <w:sz w:val="17"/>
                <w:szCs w:val="17"/>
                <w:color w:val="auto"/>
              </w:rPr>
              <w:t>Total</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86,659</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90,976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10,941</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89,131</w:t>
            </w:r>
          </w:p>
        </w:tc>
        <w:tc>
          <w:tcPr>
            <w:tcW w:w="3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93,926</w:t>
            </w:r>
          </w:p>
        </w:tc>
        <w:tc>
          <w:tcPr>
            <w:tcW w:w="2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10,983</w:t>
            </w:r>
          </w:p>
        </w:tc>
        <w:tc>
          <w:tcPr>
            <w:tcW w:w="0" w:type="dxa"/>
            <w:vAlign w:val="bottom"/>
          </w:tcPr>
          <w:p>
            <w:pPr>
              <w:spacing w:after="0"/>
              <w:rPr>
                <w:sz w:val="1"/>
                <w:szCs w:val="1"/>
                <w:color w:val="auto"/>
              </w:rPr>
            </w:pPr>
          </w:p>
        </w:tc>
      </w:tr>
      <w:tr>
        <w:trPr>
          <w:trHeight w:val="20"/>
        </w:trPr>
        <w:tc>
          <w:tcPr>
            <w:tcW w:w="332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3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3300" w:type="dxa"/>
            <w:vAlign w:val="bottom"/>
          </w:tcPr>
          <w:p>
            <w:pPr>
              <w:spacing w:after="0" w:line="191" w:lineRule="exact"/>
              <w:rPr>
                <w:sz w:val="20"/>
                <w:szCs w:val="20"/>
                <w:color w:val="auto"/>
              </w:rPr>
            </w:pPr>
            <w:r>
              <w:rPr>
                <w:rFonts w:ascii="Arial" w:cs="Arial" w:eastAsia="Arial" w:hAnsi="Arial"/>
                <w:sz w:val="17"/>
                <w:szCs w:val="17"/>
                <w:color w:val="auto"/>
              </w:rPr>
              <w:t>Accrued interest included in recorded</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00"/>
              <w:spacing w:after="0"/>
              <w:rPr>
                <w:sz w:val="20"/>
                <w:szCs w:val="20"/>
                <w:color w:val="auto"/>
              </w:rPr>
            </w:pPr>
            <w:r>
              <w:rPr>
                <w:rFonts w:ascii="Arial" w:cs="Arial" w:eastAsia="Arial" w:hAnsi="Arial"/>
                <w:sz w:val="17"/>
                <w:szCs w:val="17"/>
                <w:color w:val="auto"/>
              </w:rPr>
              <w:t>investment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338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(1) There were no impaired payment plan receivables or purchased mortgage loans at June 30, 2016 or December 31, 2015.</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45085</wp:posOffset>
            </wp:positionV>
            <wp:extent cx="725424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Average recorded investment in and interest income earned on impaired loans by class for the three month periods ending June 30, follows (1):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2016</w:t>
            </w: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7"/>
                <w:szCs w:val="17"/>
                <w:color w:val="auto"/>
              </w:rPr>
              <w:t>2015</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60"/>
              <w:spacing w:after="0" w:line="191" w:lineRule="exact"/>
              <w:rPr>
                <w:sz w:val="20"/>
                <w:szCs w:val="20"/>
                <w:color w:val="auto"/>
              </w:rPr>
            </w:pPr>
            <w:r>
              <w:rPr>
                <w:rFonts w:ascii="Arial" w:cs="Arial" w:eastAsia="Arial" w:hAnsi="Arial"/>
                <w:sz w:val="17"/>
                <w:szCs w:val="17"/>
                <w:color w:val="auto"/>
                <w:w w:val="88"/>
              </w:rPr>
              <w:t>Average</w:t>
            </w:r>
          </w:p>
        </w:tc>
        <w:tc>
          <w:tcPr>
            <w:tcW w:w="120" w:type="dxa"/>
            <w:vAlign w:val="bottom"/>
          </w:tcPr>
          <w:p>
            <w:pPr>
              <w:spacing w:after="0"/>
              <w:rPr>
                <w:sz w:val="16"/>
                <w:szCs w:val="16"/>
                <w:color w:val="auto"/>
              </w:rPr>
            </w:pPr>
          </w:p>
        </w:tc>
        <w:tc>
          <w:tcPr>
            <w:tcW w:w="1020" w:type="dxa"/>
            <w:vAlign w:val="bottom"/>
          </w:tcPr>
          <w:p>
            <w:pPr>
              <w:jc w:val="center"/>
              <w:ind w:right="35"/>
              <w:spacing w:after="0" w:line="191" w:lineRule="exact"/>
              <w:rPr>
                <w:sz w:val="20"/>
                <w:szCs w:val="20"/>
                <w:color w:val="auto"/>
              </w:rPr>
            </w:pPr>
            <w:r>
              <w:rPr>
                <w:rFonts w:ascii="Arial" w:cs="Arial" w:eastAsia="Arial" w:hAnsi="Arial"/>
                <w:sz w:val="17"/>
                <w:szCs w:val="17"/>
                <w:color w:val="auto"/>
                <w:w w:val="88"/>
              </w:rPr>
              <w:t>Interest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400"/>
              <w:spacing w:after="0" w:line="191" w:lineRule="exact"/>
              <w:rPr>
                <w:sz w:val="20"/>
                <w:szCs w:val="20"/>
                <w:color w:val="auto"/>
              </w:rPr>
            </w:pPr>
            <w:r>
              <w:rPr>
                <w:rFonts w:ascii="Arial" w:cs="Arial" w:eastAsia="Arial" w:hAnsi="Arial"/>
                <w:sz w:val="17"/>
                <w:szCs w:val="17"/>
                <w:color w:val="auto"/>
                <w:w w:val="88"/>
              </w:rPr>
              <w:t>Average</w:t>
            </w:r>
          </w:p>
        </w:tc>
        <w:tc>
          <w:tcPr>
            <w:tcW w:w="120" w:type="dxa"/>
            <w:vAlign w:val="bottom"/>
          </w:tcPr>
          <w:p>
            <w:pPr>
              <w:spacing w:after="0"/>
              <w:rPr>
                <w:sz w:val="16"/>
                <w:szCs w:val="16"/>
                <w:color w:val="auto"/>
              </w:rPr>
            </w:pPr>
          </w:p>
        </w:tc>
        <w:tc>
          <w:tcPr>
            <w:tcW w:w="1000" w:type="dxa"/>
            <w:vAlign w:val="bottom"/>
          </w:tcPr>
          <w:p>
            <w:pPr>
              <w:jc w:val="center"/>
              <w:ind w:right="35"/>
              <w:spacing w:after="0" w:line="191" w:lineRule="exact"/>
              <w:rPr>
                <w:sz w:val="20"/>
                <w:szCs w:val="20"/>
                <w:color w:val="auto"/>
              </w:rPr>
            </w:pPr>
            <w:r>
              <w:rPr>
                <w:rFonts w:ascii="Arial" w:cs="Arial" w:eastAsia="Arial" w:hAnsi="Arial"/>
                <w:sz w:val="17"/>
                <w:szCs w:val="17"/>
                <w:color w:val="auto"/>
                <w:w w:val="91"/>
              </w:rPr>
              <w:t>Interest</w:t>
            </w:r>
          </w:p>
        </w:tc>
        <w:tc>
          <w:tcPr>
            <w:tcW w:w="100" w:type="dxa"/>
            <w:vAlign w:val="bottom"/>
          </w:tcPr>
          <w:p>
            <w:pPr>
              <w:spacing w:after="0"/>
              <w:rPr>
                <w:sz w:val="16"/>
                <w:szCs w:val="16"/>
                <w:color w:val="auto"/>
              </w:rPr>
            </w:pPr>
          </w:p>
        </w:tc>
      </w:tr>
      <w:tr>
        <w:trPr>
          <w:trHeight w:val="204"/>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7"/>
                <w:szCs w:val="17"/>
                <w:color w:val="auto"/>
                <w:w w:val="86"/>
              </w:rPr>
              <w:t>Recorded</w:t>
            </w:r>
          </w:p>
        </w:tc>
        <w:tc>
          <w:tcPr>
            <w:tcW w:w="12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7"/>
                <w:szCs w:val="17"/>
                <w:color w:val="auto"/>
                <w:w w:val="89"/>
              </w:rPr>
              <w:t>Income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color w:val="auto"/>
                <w:w w:val="89"/>
              </w:rPr>
              <w:t>Recorded</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color w:val="auto"/>
                <w:w w:val="93"/>
              </w:rPr>
              <w:t>Income</w:t>
            </w:r>
          </w:p>
        </w:tc>
      </w:tr>
      <w:tr>
        <w:trPr>
          <w:trHeight w:val="222"/>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91"/>
              </w:rPr>
              <w:t>Investment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89"/>
              </w:rPr>
              <w:t>Recognized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88"/>
              </w:rPr>
              <w:t>Investment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9"/>
              </w:rPr>
              <w:t>Recognized</w:t>
            </w:r>
          </w:p>
        </w:tc>
        <w:tc>
          <w:tcPr>
            <w:tcW w:w="100" w:type="dxa"/>
            <w:vAlign w:val="bottom"/>
          </w:tcPr>
          <w:p>
            <w:pPr>
              <w:spacing w:after="0"/>
              <w:rPr>
                <w:sz w:val="19"/>
                <w:szCs w:val="19"/>
                <w:color w:val="auto"/>
              </w:rPr>
            </w:pPr>
          </w:p>
        </w:tc>
      </w:tr>
      <w:tr>
        <w:trPr>
          <w:trHeight w:val="191"/>
        </w:trPr>
        <w:tc>
          <w:tcPr>
            <w:tcW w:w="6060" w:type="dxa"/>
            <w:vAlign w:val="bottom"/>
            <w:gridSpan w:val="2"/>
          </w:tcPr>
          <w:p>
            <w:pPr>
              <w:spacing w:after="0" w:line="191" w:lineRule="exact"/>
              <w:rPr>
                <w:sz w:val="20"/>
                <w:szCs w:val="20"/>
                <w:color w:val="auto"/>
              </w:rPr>
            </w:pPr>
            <w:r>
              <w:rPr>
                <w:rFonts w:ascii="Arial" w:cs="Arial" w:eastAsia="Arial" w:hAnsi="Arial"/>
                <w:sz w:val="17"/>
                <w:szCs w:val="17"/>
                <w:b w:val="1"/>
                <w:bCs w:val="1"/>
                <w:color w:val="auto"/>
              </w:rPr>
              <w:t>With no related allowance recorded:</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ind w:left="640"/>
              <w:spacing w:after="0" w:line="191" w:lineRule="exact"/>
              <w:rPr>
                <w:sz w:val="20"/>
                <w:szCs w:val="20"/>
                <w:color w:val="auto"/>
              </w:rPr>
            </w:pPr>
            <w:r>
              <w:rPr>
                <w:rFonts w:ascii="Arial" w:cs="Arial" w:eastAsia="Arial" w:hAnsi="Arial"/>
                <w:sz w:val="17"/>
                <w:szCs w:val="17"/>
                <w:color w:val="auto"/>
              </w:rPr>
              <w:t>(In</w:t>
            </w:r>
          </w:p>
        </w:tc>
        <w:tc>
          <w:tcPr>
            <w:tcW w:w="1380" w:type="dxa"/>
            <w:vAlign w:val="bottom"/>
            <w:gridSpan w:val="4"/>
          </w:tcPr>
          <w:p>
            <w:pPr>
              <w:jc w:val="right"/>
              <w:ind w:right="695"/>
              <w:spacing w:after="0"/>
              <w:rPr>
                <w:sz w:val="20"/>
                <w:szCs w:val="20"/>
                <w:color w:val="auto"/>
              </w:rPr>
            </w:pPr>
            <w:r>
              <w:rPr>
                <w:rFonts w:ascii="Arial" w:cs="Arial" w:eastAsia="Arial" w:hAnsi="Arial"/>
                <w:sz w:val="16"/>
                <w:szCs w:val="16"/>
                <w:color w:val="auto"/>
                <w:w w:val="73"/>
              </w:rPr>
              <w:t>thousands)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Commercial</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Income producing -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5,658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Land, land development &amp; construction-real estate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1,021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Commercial and industrial</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2,855</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Mortgage</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1-4 family</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Resort lending</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Home equity - 1st lien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Home equity - 2nd lien</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Installment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Home equity - 1st lien</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Home equity - 2nd lien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Loans not secured by real estate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5"/>
        </w:trPr>
        <w:tc>
          <w:tcPr>
            <w:tcW w:w="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1,636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9,566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105</w:t>
            </w: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With an allowance recorded:</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Commercial</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Income producing - real estate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8,210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12,878</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163</w:t>
            </w: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Land, land development &amp; construction-real estate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1,664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1,943</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Commercial and industrial</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7,863</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Mortgage</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1-4 family</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46,041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475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50,931</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539</w:t>
            </w: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Resort lending</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17,689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18,482</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173</w:t>
            </w: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Home equity - 1st lien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160</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Home equity - 2nd lien</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185</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Installment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Home equity - 1st lien</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2,230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2,576</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Home equity - 2nd lien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3,101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Loans not secured by real estate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555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668</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w:t>
            </w: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5"/>
        </w:trPr>
        <w:tc>
          <w:tcPr>
            <w:tcW w:w="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85,773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905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98,798</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1,064</w:t>
            </w: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Commercial</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Income producing - real estate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18,536</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213</w:t>
            </w: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Land, land development &amp; construction-real estate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1,999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2,964</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Commercial and industrial</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10,718</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104</w:t>
            </w:r>
          </w:p>
        </w:tc>
      </w:tr>
      <w:tr>
        <w:trPr>
          <w:trHeight w:val="204"/>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Mortgage</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1-4 family</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46,052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50,956</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541</w:t>
            </w: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Resort lending</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17,689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18,489</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173</w:t>
            </w: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Home equity - 1st lien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160</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Home equity - 2nd lien</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185</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Installment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Home equity - 1st lien</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2,231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2,576</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Home equity - 2nd lien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3,101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Loans not secured by real estate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555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668</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w:t>
            </w: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5"/>
        </w:trPr>
        <w:tc>
          <w:tcPr>
            <w:tcW w:w="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440"/>
              <w:spacing w:after="0"/>
              <w:rPr>
                <w:sz w:val="20"/>
                <w:szCs w:val="20"/>
                <w:color w:val="auto"/>
              </w:rPr>
            </w:pPr>
            <w:r>
              <w:rPr>
                <w:rFonts w:ascii="Arial" w:cs="Arial" w:eastAsia="Arial" w:hAnsi="Arial"/>
                <w:sz w:val="17"/>
                <w:szCs w:val="17"/>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87,409</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910</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108,364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1,169</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(1) There were no impaired payment plan receivables or purchased mortgage loans during the three month periods ended June 30, 2016 and 2015,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Average recorded investment in and interest income earned on impaired loans by class for the six month periods ending June 30, follows (1):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2016</w:t>
            </w: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7"/>
                <w:szCs w:val="17"/>
                <w:color w:val="auto"/>
              </w:rPr>
              <w:t>2015</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60"/>
              <w:spacing w:after="0" w:line="191" w:lineRule="exact"/>
              <w:rPr>
                <w:sz w:val="20"/>
                <w:szCs w:val="20"/>
                <w:color w:val="auto"/>
              </w:rPr>
            </w:pPr>
            <w:r>
              <w:rPr>
                <w:rFonts w:ascii="Arial" w:cs="Arial" w:eastAsia="Arial" w:hAnsi="Arial"/>
                <w:sz w:val="17"/>
                <w:szCs w:val="17"/>
                <w:color w:val="auto"/>
                <w:w w:val="88"/>
              </w:rPr>
              <w:t>Average</w:t>
            </w:r>
          </w:p>
        </w:tc>
        <w:tc>
          <w:tcPr>
            <w:tcW w:w="120" w:type="dxa"/>
            <w:vAlign w:val="bottom"/>
          </w:tcPr>
          <w:p>
            <w:pPr>
              <w:spacing w:after="0"/>
              <w:rPr>
                <w:sz w:val="16"/>
                <w:szCs w:val="16"/>
                <w:color w:val="auto"/>
              </w:rPr>
            </w:pPr>
          </w:p>
        </w:tc>
        <w:tc>
          <w:tcPr>
            <w:tcW w:w="1020" w:type="dxa"/>
            <w:vAlign w:val="bottom"/>
          </w:tcPr>
          <w:p>
            <w:pPr>
              <w:jc w:val="center"/>
              <w:ind w:right="35"/>
              <w:spacing w:after="0" w:line="191" w:lineRule="exact"/>
              <w:rPr>
                <w:sz w:val="20"/>
                <w:szCs w:val="20"/>
                <w:color w:val="auto"/>
              </w:rPr>
            </w:pPr>
            <w:r>
              <w:rPr>
                <w:rFonts w:ascii="Arial" w:cs="Arial" w:eastAsia="Arial" w:hAnsi="Arial"/>
                <w:sz w:val="17"/>
                <w:szCs w:val="17"/>
                <w:color w:val="auto"/>
                <w:w w:val="88"/>
              </w:rPr>
              <w:t>Interest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400"/>
              <w:spacing w:after="0" w:line="191" w:lineRule="exact"/>
              <w:rPr>
                <w:sz w:val="20"/>
                <w:szCs w:val="20"/>
                <w:color w:val="auto"/>
              </w:rPr>
            </w:pPr>
            <w:r>
              <w:rPr>
                <w:rFonts w:ascii="Arial" w:cs="Arial" w:eastAsia="Arial" w:hAnsi="Arial"/>
                <w:sz w:val="17"/>
                <w:szCs w:val="17"/>
                <w:color w:val="auto"/>
                <w:w w:val="88"/>
              </w:rPr>
              <w:t>Average</w:t>
            </w:r>
          </w:p>
        </w:tc>
        <w:tc>
          <w:tcPr>
            <w:tcW w:w="120" w:type="dxa"/>
            <w:vAlign w:val="bottom"/>
          </w:tcPr>
          <w:p>
            <w:pPr>
              <w:spacing w:after="0"/>
              <w:rPr>
                <w:sz w:val="16"/>
                <w:szCs w:val="16"/>
                <w:color w:val="auto"/>
              </w:rPr>
            </w:pPr>
          </w:p>
        </w:tc>
        <w:tc>
          <w:tcPr>
            <w:tcW w:w="1000" w:type="dxa"/>
            <w:vAlign w:val="bottom"/>
          </w:tcPr>
          <w:p>
            <w:pPr>
              <w:jc w:val="center"/>
              <w:ind w:right="35"/>
              <w:spacing w:after="0" w:line="191" w:lineRule="exact"/>
              <w:rPr>
                <w:sz w:val="20"/>
                <w:szCs w:val="20"/>
                <w:color w:val="auto"/>
              </w:rPr>
            </w:pPr>
            <w:r>
              <w:rPr>
                <w:rFonts w:ascii="Arial" w:cs="Arial" w:eastAsia="Arial" w:hAnsi="Arial"/>
                <w:sz w:val="17"/>
                <w:szCs w:val="17"/>
                <w:color w:val="auto"/>
                <w:w w:val="91"/>
              </w:rPr>
              <w:t>Interest</w:t>
            </w:r>
          </w:p>
        </w:tc>
        <w:tc>
          <w:tcPr>
            <w:tcW w:w="100" w:type="dxa"/>
            <w:vAlign w:val="bottom"/>
          </w:tcPr>
          <w:p>
            <w:pPr>
              <w:spacing w:after="0"/>
              <w:rPr>
                <w:sz w:val="16"/>
                <w:szCs w:val="16"/>
                <w:color w:val="auto"/>
              </w:rPr>
            </w:pPr>
          </w:p>
        </w:tc>
      </w:tr>
      <w:tr>
        <w:trPr>
          <w:trHeight w:val="204"/>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7"/>
                <w:szCs w:val="17"/>
                <w:color w:val="auto"/>
                <w:w w:val="86"/>
              </w:rPr>
              <w:t>Recorded</w:t>
            </w:r>
          </w:p>
        </w:tc>
        <w:tc>
          <w:tcPr>
            <w:tcW w:w="12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7"/>
                <w:szCs w:val="17"/>
                <w:color w:val="auto"/>
                <w:w w:val="89"/>
              </w:rPr>
              <w:t>Income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color w:val="auto"/>
                <w:w w:val="89"/>
              </w:rPr>
              <w:t>Recorded</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color w:val="auto"/>
                <w:w w:val="93"/>
              </w:rPr>
              <w:t>Income</w:t>
            </w:r>
          </w:p>
        </w:tc>
      </w:tr>
      <w:tr>
        <w:trPr>
          <w:trHeight w:val="222"/>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91"/>
              </w:rPr>
              <w:t>Investment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89"/>
              </w:rPr>
              <w:t>Recognized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88"/>
              </w:rPr>
              <w:t>Investment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9"/>
              </w:rPr>
              <w:t>Recognized</w:t>
            </w:r>
          </w:p>
        </w:tc>
        <w:tc>
          <w:tcPr>
            <w:tcW w:w="100" w:type="dxa"/>
            <w:vAlign w:val="bottom"/>
          </w:tcPr>
          <w:p>
            <w:pPr>
              <w:spacing w:after="0"/>
              <w:rPr>
                <w:sz w:val="19"/>
                <w:szCs w:val="19"/>
                <w:color w:val="auto"/>
              </w:rPr>
            </w:pPr>
          </w:p>
        </w:tc>
      </w:tr>
      <w:tr>
        <w:trPr>
          <w:trHeight w:val="191"/>
        </w:trPr>
        <w:tc>
          <w:tcPr>
            <w:tcW w:w="6060" w:type="dxa"/>
            <w:vAlign w:val="bottom"/>
            <w:gridSpan w:val="2"/>
          </w:tcPr>
          <w:p>
            <w:pPr>
              <w:spacing w:after="0" w:line="191" w:lineRule="exact"/>
              <w:rPr>
                <w:sz w:val="20"/>
                <w:szCs w:val="20"/>
                <w:color w:val="auto"/>
              </w:rPr>
            </w:pPr>
            <w:r>
              <w:rPr>
                <w:rFonts w:ascii="Arial" w:cs="Arial" w:eastAsia="Arial" w:hAnsi="Arial"/>
                <w:sz w:val="17"/>
                <w:szCs w:val="17"/>
                <w:b w:val="1"/>
                <w:bCs w:val="1"/>
                <w:color w:val="auto"/>
              </w:rPr>
              <w:t>With no related allowance recorded:</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ind w:left="640"/>
              <w:spacing w:after="0" w:line="191" w:lineRule="exact"/>
              <w:rPr>
                <w:sz w:val="20"/>
                <w:szCs w:val="20"/>
                <w:color w:val="auto"/>
              </w:rPr>
            </w:pPr>
            <w:r>
              <w:rPr>
                <w:rFonts w:ascii="Arial" w:cs="Arial" w:eastAsia="Arial" w:hAnsi="Arial"/>
                <w:sz w:val="17"/>
                <w:szCs w:val="17"/>
                <w:color w:val="auto"/>
              </w:rPr>
              <w:t>(In</w:t>
            </w:r>
          </w:p>
        </w:tc>
        <w:tc>
          <w:tcPr>
            <w:tcW w:w="1380" w:type="dxa"/>
            <w:vAlign w:val="bottom"/>
            <w:gridSpan w:val="4"/>
          </w:tcPr>
          <w:p>
            <w:pPr>
              <w:jc w:val="right"/>
              <w:ind w:right="695"/>
              <w:spacing w:after="0"/>
              <w:rPr>
                <w:sz w:val="20"/>
                <w:szCs w:val="20"/>
                <w:color w:val="auto"/>
              </w:rPr>
            </w:pPr>
            <w:r>
              <w:rPr>
                <w:rFonts w:ascii="Arial" w:cs="Arial" w:eastAsia="Arial" w:hAnsi="Arial"/>
                <w:sz w:val="16"/>
                <w:szCs w:val="16"/>
                <w:color w:val="auto"/>
                <w:w w:val="73"/>
              </w:rPr>
              <w:t>thousands)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Commercial</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Income producing -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5,728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103</w:t>
            </w: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Land, land development &amp; construction-real estate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496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1,031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Commercial and industrial</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2,798</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Mortgage</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1-4 family</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Resort lending</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Home equity line of credit - 1st lien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Home equity line of credit - 2nd lien</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Installment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Home equity installment - 1st lien</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Home equity installment - 2nd lien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Loans not secured by real estate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5"/>
        </w:trPr>
        <w:tc>
          <w:tcPr>
            <w:tcW w:w="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9,594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229</w:t>
            </w: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With an allowance recorded:</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Commercial</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Income producing - real estate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12,864</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320</w:t>
            </w: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Land, land development &amp; construction-real estate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1,673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2,447</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Commercial and industrial</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7,992</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w:t>
            </w:r>
          </w:p>
        </w:tc>
      </w:tr>
      <w:tr>
        <w:trPr>
          <w:trHeight w:val="204"/>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Mortgage</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1-4 family</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46,625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977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51,689</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1,090</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Resort lending</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17,842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319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18,587</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344</w:t>
            </w: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Home equity line of credit - 1st lien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160</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Home equity line of credit - 2nd lien</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165</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Installment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Home equity installment - 1st lien</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2,274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84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2,632</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94</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Home equity installment - 2nd lien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3,138</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Loans not secured by real estate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566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682</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5"/>
        </w:trPr>
        <w:tc>
          <w:tcPr>
            <w:tcW w:w="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85,983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1,808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100,367</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2,138</w:t>
            </w: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Commercial</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Income producing - real estate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8,928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18,592</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423</w:t>
            </w: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Land, land development &amp; construction-real estate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2,169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3,478</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Commercial and industrial</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10,790</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207</w:t>
            </w:r>
          </w:p>
        </w:tc>
      </w:tr>
      <w:tr>
        <w:trPr>
          <w:trHeight w:val="204"/>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Mortgage</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1-4 family</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46,640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983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51,706</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1,092</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Resort lending</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17,842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319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18,607</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344</w:t>
            </w: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Home equity line of credit - 1st lien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160</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Home equity line of credit - 2nd lien</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165</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Installment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Home equity installment - 1st lien</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2,274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85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2,632</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Home equity installment - 2nd lien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3,138</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Loans not secured by real estate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566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682</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5"/>
        </w:trPr>
        <w:tc>
          <w:tcPr>
            <w:tcW w:w="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440"/>
              <w:spacing w:after="0"/>
              <w:rPr>
                <w:sz w:val="20"/>
                <w:szCs w:val="20"/>
                <w:color w:val="auto"/>
              </w:rPr>
            </w:pPr>
            <w:r>
              <w:rPr>
                <w:rFonts w:ascii="Arial" w:cs="Arial" w:eastAsia="Arial" w:hAnsi="Arial"/>
                <w:sz w:val="17"/>
                <w:szCs w:val="17"/>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87,982</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1,845</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109,961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2,367</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(1) There were no impaired payment plan receivables or purchased mortgage loans during the six month periods ended June 30, 2016 and 2015,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Our average investment in impaired loans was approximately $87.4 million and $108.4 million for the three-month periods ended June 30, 2016 and 2015, respectively and $88.0 million and $110.0 million for the six-month periods ended June 30, 2016 and 2015, respectively. Cash receipts on impaired loans on non-accrual status are generally applied to the principal balance. Interest income recognized on impaired loans during the three months ending June 30, 2016 and 2015, was approximately $0.9 million and $1.2 million, respectively and was approximately $1.8 million and $2.4 million during the six months ending June 30, 2016 and 2015, respectively.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20"/>
                <w:szCs w:val="20"/>
                <w:color w:val="auto"/>
              </w:rPr>
            </w:pPr>
            <w:r>
              <w:rPr>
                <w:rFonts w:ascii="Arial" w:cs="Arial" w:eastAsia="Arial" w:hAnsi="Arial"/>
                <w:sz w:val="17"/>
                <w:szCs w:val="17"/>
                <w:color w:val="auto"/>
              </w:rPr>
              <w:t>Troubled debt restructurings follow:</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39"/>
        </w:trPr>
        <w:tc>
          <w:tcPr>
            <w:tcW w:w="5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7"/>
                <w:szCs w:val="17"/>
                <w:color w:val="auto"/>
                <w:w w:val="87"/>
              </w:rPr>
              <w:t>June 30, 2016</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9"/>
        </w:trPr>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15"/>
              <w:spacing w:after="0"/>
              <w:rPr>
                <w:sz w:val="20"/>
                <w:szCs w:val="20"/>
                <w:color w:val="auto"/>
              </w:rPr>
            </w:pPr>
            <w:r>
              <w:rPr>
                <w:rFonts w:ascii="Arial" w:cs="Arial" w:eastAsia="Arial" w:hAnsi="Arial"/>
                <w:sz w:val="17"/>
                <w:szCs w:val="17"/>
                <w:color w:val="auto"/>
                <w:w w:val="90"/>
              </w:rPr>
              <w:t>Commercial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color w:val="auto"/>
                <w:w w:val="96"/>
              </w:rPr>
              <w:t>Retail</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15"/>
              <w:spacing w:after="0"/>
              <w:rPr>
                <w:sz w:val="20"/>
                <w:szCs w:val="20"/>
                <w:color w:val="auto"/>
              </w:rPr>
            </w:pPr>
            <w:r>
              <w:rPr>
                <w:rFonts w:ascii="Arial" w:cs="Arial" w:eastAsia="Arial" w:hAnsi="Arial"/>
                <w:sz w:val="17"/>
                <w:szCs w:val="17"/>
                <w:color w:val="auto"/>
              </w:rPr>
              <w:t>Total</w:t>
            </w:r>
          </w:p>
        </w:tc>
        <w:tc>
          <w:tcPr>
            <w:tcW w:w="120" w:type="dxa"/>
            <w:vAlign w:val="bottom"/>
          </w:tcPr>
          <w:p>
            <w:pPr>
              <w:spacing w:after="0"/>
              <w:rPr>
                <w:sz w:val="18"/>
                <w:szCs w:val="18"/>
                <w:color w:val="auto"/>
              </w:rPr>
            </w:pPr>
          </w:p>
        </w:tc>
      </w:tr>
      <w:tr>
        <w:trPr>
          <w:trHeight w:val="204"/>
        </w:trPr>
        <w:tc>
          <w:tcPr>
            <w:tcW w:w="50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(In thousands)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4"/>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Performing TDRs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64,818</w:t>
            </w:r>
          </w:p>
        </w:tc>
        <w:tc>
          <w:tcPr>
            <w:tcW w:w="320" w:type="dxa"/>
            <w:vAlign w:val="bottom"/>
            <w:gridSpan w:val="2"/>
            <w:shd w:val="clear" w:color="auto" w:fill="CCEEFF"/>
          </w:tcPr>
          <w:p>
            <w:pPr>
              <w:jc w:val="right"/>
              <w:ind w:right="86"/>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78,948</w:t>
            </w:r>
          </w:p>
        </w:tc>
      </w:tr>
      <w:tr>
        <w:trPr>
          <w:trHeight w:val="209"/>
        </w:trPr>
        <w:tc>
          <w:tcPr>
            <w:tcW w:w="5000" w:type="dxa"/>
            <w:vAlign w:val="bottom"/>
          </w:tcPr>
          <w:p>
            <w:pPr>
              <w:spacing w:after="0"/>
              <w:rPr>
                <w:sz w:val="20"/>
                <w:szCs w:val="20"/>
                <w:color w:val="auto"/>
              </w:rPr>
            </w:pPr>
            <w:r>
              <w:rPr>
                <w:rFonts w:ascii="Arial" w:cs="Arial" w:eastAsia="Arial" w:hAnsi="Arial"/>
                <w:sz w:val="17"/>
                <w:szCs w:val="17"/>
                <w:color w:val="auto"/>
              </w:rPr>
              <w:t>Non-performing TDRs(1)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3,788</w:t>
            </w:r>
            <w:r>
              <w:rPr>
                <w:rFonts w:ascii="Arial" w:cs="Arial" w:eastAsia="Arial" w:hAnsi="Arial"/>
                <w:sz w:val="14"/>
                <w:szCs w:val="14"/>
                <w:color w:val="auto"/>
              </w:rPr>
              <w:t>(2)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6,466</w:t>
            </w:r>
          </w:p>
        </w:tc>
      </w:tr>
      <w:tr>
        <w:trPr>
          <w:trHeight w:val="244"/>
        </w:trPr>
        <w:tc>
          <w:tcPr>
            <w:tcW w:w="5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16,808</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68,606</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85,414</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429"/>
        </w:trPr>
        <w:tc>
          <w:tcPr>
            <w:tcW w:w="5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color w:val="auto"/>
                <w:w w:val="89"/>
              </w:rPr>
              <w:t>December 31, 2015</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9"/>
        </w:trPr>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15"/>
              <w:spacing w:after="0"/>
              <w:rPr>
                <w:sz w:val="20"/>
                <w:szCs w:val="20"/>
                <w:color w:val="auto"/>
              </w:rPr>
            </w:pPr>
            <w:r>
              <w:rPr>
                <w:rFonts w:ascii="Arial" w:cs="Arial" w:eastAsia="Arial" w:hAnsi="Arial"/>
                <w:sz w:val="17"/>
                <w:szCs w:val="17"/>
                <w:color w:val="auto"/>
                <w:w w:val="90"/>
              </w:rPr>
              <w:t>Commercial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color w:val="auto"/>
                <w:w w:val="96"/>
              </w:rPr>
              <w:t>Retail</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15"/>
              <w:spacing w:after="0"/>
              <w:rPr>
                <w:sz w:val="20"/>
                <w:szCs w:val="20"/>
                <w:color w:val="auto"/>
              </w:rPr>
            </w:pPr>
            <w:r>
              <w:rPr>
                <w:rFonts w:ascii="Arial" w:cs="Arial" w:eastAsia="Arial" w:hAnsi="Arial"/>
                <w:sz w:val="17"/>
                <w:szCs w:val="17"/>
                <w:color w:val="auto"/>
              </w:rPr>
              <w:t>Total</w:t>
            </w:r>
          </w:p>
        </w:tc>
        <w:tc>
          <w:tcPr>
            <w:tcW w:w="120" w:type="dxa"/>
            <w:vAlign w:val="bottom"/>
          </w:tcPr>
          <w:p>
            <w:pPr>
              <w:spacing w:after="0"/>
              <w:rPr>
                <w:sz w:val="18"/>
                <w:szCs w:val="18"/>
                <w:color w:val="auto"/>
              </w:rPr>
            </w:pPr>
          </w:p>
        </w:tc>
      </w:tr>
      <w:tr>
        <w:trPr>
          <w:trHeight w:val="204"/>
        </w:trPr>
        <w:tc>
          <w:tcPr>
            <w:tcW w:w="50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(In thousands)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4"/>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Performing TDRs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68,194</w:t>
            </w:r>
          </w:p>
        </w:tc>
        <w:tc>
          <w:tcPr>
            <w:tcW w:w="320" w:type="dxa"/>
            <w:vAlign w:val="bottom"/>
            <w:gridSpan w:val="2"/>
            <w:shd w:val="clear" w:color="auto" w:fill="CCEEFF"/>
          </w:tcPr>
          <w:p>
            <w:pPr>
              <w:jc w:val="right"/>
              <w:ind w:right="86"/>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81,512</w:t>
            </w:r>
          </w:p>
        </w:tc>
      </w:tr>
      <w:tr>
        <w:trPr>
          <w:trHeight w:val="209"/>
        </w:trPr>
        <w:tc>
          <w:tcPr>
            <w:tcW w:w="5000" w:type="dxa"/>
            <w:vAlign w:val="bottom"/>
          </w:tcPr>
          <w:p>
            <w:pPr>
              <w:spacing w:after="0"/>
              <w:rPr>
                <w:sz w:val="20"/>
                <w:szCs w:val="20"/>
                <w:color w:val="auto"/>
              </w:rPr>
            </w:pPr>
            <w:r>
              <w:rPr>
                <w:rFonts w:ascii="Arial" w:cs="Arial" w:eastAsia="Arial" w:hAnsi="Arial"/>
                <w:sz w:val="17"/>
                <w:szCs w:val="17"/>
                <w:color w:val="auto"/>
              </w:rPr>
              <w:t>Non-performing TDRs(1)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3,777</w:t>
            </w:r>
            <w:r>
              <w:rPr>
                <w:rFonts w:ascii="Arial" w:cs="Arial" w:eastAsia="Arial" w:hAnsi="Arial"/>
                <w:sz w:val="14"/>
                <w:szCs w:val="14"/>
                <w:color w:val="auto"/>
              </w:rPr>
              <w:t>(2)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6,818</w:t>
            </w:r>
          </w:p>
        </w:tc>
      </w:tr>
      <w:tr>
        <w:trPr>
          <w:trHeight w:val="244"/>
        </w:trPr>
        <w:tc>
          <w:tcPr>
            <w:tcW w:w="5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16,359</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71,971</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88,330</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217" w:lineRule="exact"/>
        <w:rPr>
          <w:sz w:val="20"/>
          <w:szCs w:val="20"/>
          <w:color w:val="auto"/>
        </w:rPr>
      </w:pPr>
    </w:p>
    <w:p>
      <w:pPr>
        <w:ind w:left="300" w:hanging="298"/>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Included in non-performing loans table above.</w:t>
      </w:r>
    </w:p>
    <w:p>
      <w:pPr>
        <w:spacing w:after="0" w:line="19" w:lineRule="exact"/>
        <w:rPr>
          <w:rFonts w:ascii="Arial" w:cs="Arial" w:eastAsia="Arial" w:hAnsi="Arial"/>
          <w:sz w:val="17"/>
          <w:szCs w:val="17"/>
          <w:color w:val="auto"/>
        </w:rPr>
      </w:pPr>
    </w:p>
    <w:p>
      <w:pPr>
        <w:ind w:left="300" w:hanging="298"/>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Also includes loans on non-accrual at the time of modification until six payments are received on a timely basis.</w:t>
      </w:r>
    </w:p>
    <w:p>
      <w:pPr>
        <w:spacing w:after="0" w:line="22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allocated $10.7 million and $10.9 million of specific reserves to customers whose loan terms have been modified in troubled debt restructurings as of June 30, 2016 and December 31, 2015, respectively.</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six months ended June 30, 2016 and 2015, the terms of certain loans were modified as troubled debt restructurings. The modification of the terms of such loans generally included one or a combination of the following: a reduction of the stated interest rate of the loan; an extension of the maturity date at a stated rate of interest lower than the current market rate for new debt with similar risk; or a permanent reduction of the recorded investment in the loan.</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Modifications involving a reduction of the stated interest rate of the loan have generally been for periods ranging from 9 months to 36 months but have extended to as much as 480 months in certain circumstances. Modifications involving an extension of the maturity date have generally been for periods ranging from 1 month to 60 months but have extended to as much as 230 months in certain circumstances.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20" w:type="dxa"/>
            <w:vAlign w:val="bottom"/>
            <w:gridSpan w:val="3"/>
          </w:tcPr>
          <w:p>
            <w:pPr>
              <w:spacing w:after="0"/>
              <w:rPr>
                <w:sz w:val="20"/>
                <w:szCs w:val="20"/>
                <w:color w:val="auto"/>
              </w:rPr>
            </w:pPr>
            <w:r>
              <w:rPr>
                <w:rFonts w:ascii="Arial" w:cs="Arial" w:eastAsia="Arial" w:hAnsi="Arial"/>
                <w:sz w:val="17"/>
                <w:szCs w:val="17"/>
                <w:color w:val="auto"/>
                <w:w w:val="95"/>
              </w:rPr>
              <w:t>Loans that have been classified as troubled debt restructurings during the three-month periods ended June 30 follow:</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4"/>
          </w:tcPr>
          <w:p>
            <w:pPr>
              <w:ind w:left="200"/>
              <w:spacing w:after="0"/>
              <w:rPr>
                <w:sz w:val="20"/>
                <w:szCs w:val="20"/>
                <w:color w:val="auto"/>
              </w:rPr>
            </w:pPr>
            <w:r>
              <w:rPr>
                <w:rFonts w:ascii="Arial" w:cs="Arial" w:eastAsia="Arial" w:hAnsi="Arial"/>
                <w:sz w:val="17"/>
                <w:szCs w:val="17"/>
                <w:color w:val="auto"/>
              </w:rPr>
              <w:t>Pre-modification</w:t>
            </w:r>
          </w:p>
        </w:tc>
        <w:tc>
          <w:tcPr>
            <w:tcW w:w="1400" w:type="dxa"/>
            <w:vAlign w:val="bottom"/>
            <w:gridSpan w:val="4"/>
          </w:tcPr>
          <w:p>
            <w:pPr>
              <w:ind w:left="100"/>
              <w:spacing w:after="0"/>
              <w:rPr>
                <w:sz w:val="20"/>
                <w:szCs w:val="20"/>
                <w:color w:val="auto"/>
              </w:rPr>
            </w:pPr>
            <w:r>
              <w:rPr>
                <w:rFonts w:ascii="Arial" w:cs="Arial" w:eastAsia="Arial" w:hAnsi="Arial"/>
                <w:sz w:val="17"/>
                <w:szCs w:val="17"/>
                <w:color w:val="auto"/>
                <w:w w:val="98"/>
              </w:rPr>
              <w:t>Post-modification</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980" w:type="dxa"/>
            <w:vAlign w:val="bottom"/>
          </w:tcPr>
          <w:p>
            <w:pPr>
              <w:jc w:val="center"/>
              <w:ind w:left="75"/>
              <w:spacing w:after="0"/>
              <w:rPr>
                <w:sz w:val="20"/>
                <w:szCs w:val="20"/>
                <w:color w:val="auto"/>
              </w:rPr>
            </w:pPr>
            <w:r>
              <w:rPr>
                <w:rFonts w:ascii="Arial" w:cs="Arial" w:eastAsia="Arial" w:hAnsi="Arial"/>
                <w:sz w:val="17"/>
                <w:szCs w:val="17"/>
                <w:color w:val="auto"/>
                <w:w w:val="93"/>
              </w:rPr>
              <w:t>Number of</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Arial" w:cs="Arial" w:eastAsia="Arial" w:hAnsi="Arial"/>
                <w:sz w:val="17"/>
                <w:szCs w:val="17"/>
                <w:color w:val="auto"/>
              </w:rPr>
              <w:t>Recorded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w w:val="97"/>
              </w:rPr>
              <w:t>Recorded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980" w:type="dxa"/>
            <w:vAlign w:val="bottom"/>
            <w:tcBorders>
              <w:bottom w:val="single" w:sz="8" w:color="auto"/>
            </w:tcBorders>
          </w:tcPr>
          <w:p>
            <w:pPr>
              <w:jc w:val="center"/>
              <w:ind w:left="55"/>
              <w:spacing w:after="0"/>
              <w:rPr>
                <w:sz w:val="20"/>
                <w:szCs w:val="20"/>
                <w:color w:val="auto"/>
              </w:rPr>
            </w:pPr>
            <w:r>
              <w:rPr>
                <w:rFonts w:ascii="Arial" w:cs="Arial" w:eastAsia="Arial" w:hAnsi="Arial"/>
                <w:sz w:val="17"/>
                <w:szCs w:val="17"/>
                <w:color w:val="auto"/>
                <w:w w:val="87"/>
              </w:rPr>
              <w:t>Contracts</w:t>
            </w:r>
          </w:p>
        </w:tc>
        <w:tc>
          <w:tcPr>
            <w:tcW w:w="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Balance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Balance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40" w:type="dxa"/>
            <w:vAlign w:val="bottom"/>
            <w:gridSpan w:val="2"/>
            <w:vMerge w:val="restart"/>
          </w:tcPr>
          <w:p>
            <w:pPr>
              <w:spacing w:after="0"/>
              <w:rPr>
                <w:sz w:val="20"/>
                <w:szCs w:val="20"/>
                <w:color w:val="auto"/>
              </w:rPr>
            </w:pPr>
            <w:r>
              <w:rPr>
                <w:rFonts w:ascii="Arial" w:cs="Arial" w:eastAsia="Arial" w:hAnsi="Arial"/>
                <w:sz w:val="17"/>
                <w:szCs w:val="17"/>
                <w:color w:val="auto"/>
              </w:rPr>
              <w:t>2016</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Arial" w:cs="Arial" w:eastAsia="Arial" w:hAnsi="Arial"/>
                <w:sz w:val="17"/>
                <w:szCs w:val="17"/>
                <w:color w:val="auto"/>
                <w:w w:val="91"/>
              </w:rPr>
              <w:t>(Dollars in thousands)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440" w:type="dxa"/>
            <w:vAlign w:val="bottom"/>
            <w:gridSpan w:val="2"/>
            <w:vMerge w:val="continue"/>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140"/>
              <w:spacing w:after="0"/>
              <w:rPr>
                <w:sz w:val="20"/>
                <w:szCs w:val="20"/>
                <w:color w:val="auto"/>
              </w:rPr>
            </w:pPr>
            <w:r>
              <w:rPr>
                <w:rFonts w:ascii="Arial" w:cs="Arial" w:eastAsia="Arial" w:hAnsi="Arial"/>
                <w:sz w:val="17"/>
                <w:szCs w:val="17"/>
                <w:color w:val="auto"/>
              </w:rPr>
              <w:t>Commercial</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Income producing -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gridSpan w:val="2"/>
          </w:tcPr>
          <w:p>
            <w:pPr>
              <w:ind w:left="280"/>
              <w:spacing w:after="0"/>
              <w:rPr>
                <w:sz w:val="20"/>
                <w:szCs w:val="20"/>
                <w:color w:val="auto"/>
              </w:rPr>
            </w:pPr>
            <w:r>
              <w:rPr>
                <w:rFonts w:ascii="Arial" w:cs="Arial" w:eastAsia="Arial" w:hAnsi="Arial"/>
                <w:sz w:val="17"/>
                <w:szCs w:val="17"/>
                <w:color w:val="auto"/>
              </w:rPr>
              <w:t>Land, land development &amp; construction-real estate</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Commercial and industrial</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gridSpan w:val="2"/>
          </w:tcPr>
          <w:p>
            <w:pPr>
              <w:ind w:left="140"/>
              <w:spacing w:after="0"/>
              <w:rPr>
                <w:sz w:val="20"/>
                <w:szCs w:val="20"/>
                <w:color w:val="auto"/>
              </w:rPr>
            </w:pPr>
            <w:r>
              <w:rPr>
                <w:rFonts w:ascii="Arial" w:cs="Arial" w:eastAsia="Arial" w:hAnsi="Arial"/>
                <w:sz w:val="17"/>
                <w:szCs w:val="17"/>
                <w:color w:val="auto"/>
              </w:rPr>
              <w:t>Mortgage</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1-4 family</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gridSpan w:val="2"/>
          </w:tcPr>
          <w:p>
            <w:pPr>
              <w:ind w:left="280"/>
              <w:spacing w:after="0"/>
              <w:rPr>
                <w:sz w:val="20"/>
                <w:szCs w:val="20"/>
                <w:color w:val="auto"/>
              </w:rPr>
            </w:pPr>
            <w:r>
              <w:rPr>
                <w:rFonts w:ascii="Arial" w:cs="Arial" w:eastAsia="Arial" w:hAnsi="Arial"/>
                <w:sz w:val="17"/>
                <w:szCs w:val="17"/>
                <w:color w:val="auto"/>
              </w:rPr>
              <w:t>Resort lending</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Home equity - 1st lien</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gridSpan w:val="2"/>
          </w:tcPr>
          <w:p>
            <w:pPr>
              <w:ind w:left="280"/>
              <w:spacing w:after="0"/>
              <w:rPr>
                <w:sz w:val="20"/>
                <w:szCs w:val="20"/>
                <w:color w:val="auto"/>
              </w:rPr>
            </w:pPr>
            <w:r>
              <w:rPr>
                <w:rFonts w:ascii="Arial" w:cs="Arial" w:eastAsia="Arial" w:hAnsi="Arial"/>
                <w:sz w:val="17"/>
                <w:szCs w:val="17"/>
                <w:color w:val="auto"/>
              </w:rPr>
              <w:t>Home equity - 2nd lien</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Installment</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gridSpan w:val="2"/>
          </w:tcPr>
          <w:p>
            <w:pPr>
              <w:ind w:left="280"/>
              <w:spacing w:after="0"/>
              <w:rPr>
                <w:sz w:val="20"/>
                <w:szCs w:val="20"/>
                <w:color w:val="auto"/>
              </w:rPr>
            </w:pPr>
            <w:r>
              <w:rPr>
                <w:rFonts w:ascii="Arial" w:cs="Arial" w:eastAsia="Arial" w:hAnsi="Arial"/>
                <w:sz w:val="17"/>
                <w:szCs w:val="17"/>
                <w:color w:val="auto"/>
              </w:rPr>
              <w:t>Home equity - 1st lien</w:t>
            </w:r>
          </w:p>
        </w:tc>
        <w:tc>
          <w:tcPr>
            <w:tcW w:w="140" w:type="dxa"/>
            <w:vAlign w:val="bottom"/>
          </w:tcPr>
          <w:p>
            <w:pPr>
              <w:jc w:val="right"/>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Home equity - 2nd lien</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gridSpan w:val="2"/>
          </w:tcPr>
          <w:p>
            <w:pPr>
              <w:ind w:left="280"/>
              <w:spacing w:after="0"/>
              <w:rPr>
                <w:sz w:val="20"/>
                <w:szCs w:val="20"/>
                <w:color w:val="auto"/>
              </w:rPr>
            </w:pPr>
            <w:r>
              <w:rPr>
                <w:rFonts w:ascii="Arial" w:cs="Arial" w:eastAsia="Arial" w:hAnsi="Arial"/>
                <w:sz w:val="17"/>
                <w:szCs w:val="17"/>
                <w:color w:val="auto"/>
              </w:rPr>
              <w:t>Loans not secured by real estate</w:t>
            </w:r>
          </w:p>
        </w:tc>
        <w:tc>
          <w:tcPr>
            <w:tcW w:w="14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Other</w:t>
            </w:r>
          </w:p>
        </w:tc>
        <w:tc>
          <w:tcPr>
            <w:tcW w:w="9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gridSpan w:val="2"/>
          </w:tcPr>
          <w:p>
            <w:pPr>
              <w:ind w:left="440"/>
              <w:spacing w:after="0"/>
              <w:rPr>
                <w:sz w:val="20"/>
                <w:szCs w:val="20"/>
                <w:color w:val="auto"/>
              </w:rPr>
            </w:pPr>
            <w:r>
              <w:rPr>
                <w:rFonts w:ascii="Arial" w:cs="Arial" w:eastAsia="Arial" w:hAnsi="Arial"/>
                <w:sz w:val="17"/>
                <w:szCs w:val="17"/>
                <w:color w:val="auto"/>
              </w:rPr>
              <w:t>Total</w:t>
            </w:r>
          </w:p>
        </w:tc>
        <w:tc>
          <w:tcPr>
            <w:tcW w:w="140" w:type="dxa"/>
            <w:vAlign w:val="bottom"/>
          </w:tcPr>
          <w:p>
            <w:pPr>
              <w:jc w:val="right"/>
              <w:spacing w:after="0"/>
              <w:rPr>
                <w:sz w:val="20"/>
                <w:szCs w:val="20"/>
                <w:color w:val="auto"/>
              </w:rPr>
            </w:pPr>
            <w:r>
              <w:rPr>
                <w:rFonts w:ascii="Arial" w:cs="Arial" w:eastAsia="Arial" w:hAnsi="Arial"/>
                <w:sz w:val="17"/>
                <w:szCs w:val="17"/>
                <w:color w:val="auto"/>
              </w:rPr>
              <w:t>7</w:t>
            </w:r>
          </w:p>
        </w:tc>
        <w:tc>
          <w:tcPr>
            <w:tcW w:w="3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221</w:t>
            </w:r>
          </w:p>
        </w:tc>
        <w:tc>
          <w:tcPr>
            <w:tcW w:w="28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224</w:t>
            </w:r>
          </w:p>
        </w:tc>
        <w:tc>
          <w:tcPr>
            <w:tcW w:w="0" w:type="dxa"/>
            <w:vAlign w:val="bottom"/>
          </w:tcPr>
          <w:p>
            <w:pPr>
              <w:spacing w:after="0"/>
              <w:rPr>
                <w:sz w:val="1"/>
                <w:szCs w:val="1"/>
                <w:color w:val="auto"/>
              </w:rPr>
            </w:pPr>
          </w:p>
        </w:tc>
      </w:tr>
      <w:tr>
        <w:trPr>
          <w:trHeight w:val="20"/>
        </w:trPr>
        <w:tc>
          <w:tcPr>
            <w:tcW w:w="7440" w:type="dxa"/>
            <w:vAlign w:val="bottom"/>
            <w:gridSpan w:val="2"/>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74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7"/>
                <w:szCs w:val="17"/>
                <w:color w:val="auto"/>
              </w:rPr>
              <w:t>2015</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Commercial</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gridSpan w:val="2"/>
          </w:tcPr>
          <w:p>
            <w:pPr>
              <w:ind w:left="280"/>
              <w:spacing w:after="0"/>
              <w:rPr>
                <w:sz w:val="20"/>
                <w:szCs w:val="20"/>
                <w:color w:val="auto"/>
              </w:rPr>
            </w:pPr>
            <w:r>
              <w:rPr>
                <w:rFonts w:ascii="Arial" w:cs="Arial" w:eastAsia="Arial" w:hAnsi="Arial"/>
                <w:sz w:val="17"/>
                <w:szCs w:val="17"/>
                <w:color w:val="auto"/>
              </w:rPr>
              <w:t>Income producing - real estate</w:t>
            </w:r>
          </w:p>
        </w:tc>
        <w:tc>
          <w:tcPr>
            <w:tcW w:w="140" w:type="dxa"/>
            <w:vAlign w:val="bottom"/>
          </w:tcPr>
          <w:p>
            <w:pPr>
              <w:jc w:val="right"/>
              <w:spacing w:after="0"/>
              <w:rPr>
                <w:sz w:val="20"/>
                <w:szCs w:val="20"/>
                <w:color w:val="auto"/>
              </w:rPr>
            </w:pPr>
            <w:r>
              <w:rPr>
                <w:rFonts w:ascii="Arial" w:cs="Arial" w:eastAsia="Arial" w:hAnsi="Arial"/>
                <w:sz w:val="17"/>
                <w:szCs w:val="17"/>
                <w:color w:val="auto"/>
              </w:rPr>
              <w:t>1</w:t>
            </w:r>
          </w:p>
        </w:tc>
        <w:tc>
          <w:tcPr>
            <w:tcW w:w="3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73</w:t>
            </w:r>
          </w:p>
        </w:tc>
        <w:tc>
          <w:tcPr>
            <w:tcW w:w="28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Land, land development &amp; construction-real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gridSpan w:val="2"/>
          </w:tcPr>
          <w:p>
            <w:pPr>
              <w:ind w:left="280"/>
              <w:spacing w:after="0"/>
              <w:rPr>
                <w:sz w:val="20"/>
                <w:szCs w:val="20"/>
                <w:color w:val="auto"/>
              </w:rPr>
            </w:pPr>
            <w:r>
              <w:rPr>
                <w:rFonts w:ascii="Arial" w:cs="Arial" w:eastAsia="Arial" w:hAnsi="Arial"/>
                <w:sz w:val="17"/>
                <w:szCs w:val="17"/>
                <w:color w:val="auto"/>
              </w:rPr>
              <w:t>Commercial and industrial</w:t>
            </w:r>
          </w:p>
        </w:tc>
        <w:tc>
          <w:tcPr>
            <w:tcW w:w="14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Mortgage</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gridSpan w:val="2"/>
          </w:tcPr>
          <w:p>
            <w:pPr>
              <w:ind w:left="280"/>
              <w:spacing w:after="0"/>
              <w:rPr>
                <w:sz w:val="20"/>
                <w:szCs w:val="20"/>
                <w:color w:val="auto"/>
              </w:rPr>
            </w:pPr>
            <w:r>
              <w:rPr>
                <w:rFonts w:ascii="Arial" w:cs="Arial" w:eastAsia="Arial" w:hAnsi="Arial"/>
                <w:sz w:val="17"/>
                <w:szCs w:val="17"/>
                <w:color w:val="auto"/>
              </w:rPr>
              <w:t>1-4 family</w:t>
            </w:r>
          </w:p>
        </w:tc>
        <w:tc>
          <w:tcPr>
            <w:tcW w:w="14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Resort lending</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gridSpan w:val="2"/>
          </w:tcPr>
          <w:p>
            <w:pPr>
              <w:ind w:left="280"/>
              <w:spacing w:after="0"/>
              <w:rPr>
                <w:sz w:val="20"/>
                <w:szCs w:val="20"/>
                <w:color w:val="auto"/>
              </w:rPr>
            </w:pPr>
            <w:r>
              <w:rPr>
                <w:rFonts w:ascii="Arial" w:cs="Arial" w:eastAsia="Arial" w:hAnsi="Arial"/>
                <w:sz w:val="17"/>
                <w:szCs w:val="17"/>
                <w:color w:val="auto"/>
              </w:rPr>
              <w:t>Home equity - 1st lien</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Home equity - 2nd lien</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gridSpan w:val="2"/>
          </w:tcPr>
          <w:p>
            <w:pPr>
              <w:ind w:left="140"/>
              <w:spacing w:after="0"/>
              <w:rPr>
                <w:sz w:val="20"/>
                <w:szCs w:val="20"/>
                <w:color w:val="auto"/>
              </w:rPr>
            </w:pPr>
            <w:r>
              <w:rPr>
                <w:rFonts w:ascii="Arial" w:cs="Arial" w:eastAsia="Arial" w:hAnsi="Arial"/>
                <w:sz w:val="17"/>
                <w:szCs w:val="17"/>
                <w:color w:val="auto"/>
              </w:rPr>
              <w:t>Installment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Home equity - 1st lien</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gridSpan w:val="2"/>
          </w:tcPr>
          <w:p>
            <w:pPr>
              <w:ind w:left="280"/>
              <w:spacing w:after="0"/>
              <w:rPr>
                <w:sz w:val="20"/>
                <w:szCs w:val="20"/>
                <w:color w:val="auto"/>
              </w:rPr>
            </w:pPr>
            <w:r>
              <w:rPr>
                <w:rFonts w:ascii="Arial" w:cs="Arial" w:eastAsia="Arial" w:hAnsi="Arial"/>
                <w:sz w:val="17"/>
                <w:szCs w:val="17"/>
                <w:color w:val="auto"/>
              </w:rPr>
              <w:t>Home equity - 2nd lien</w:t>
            </w:r>
          </w:p>
        </w:tc>
        <w:tc>
          <w:tcPr>
            <w:tcW w:w="140" w:type="dxa"/>
            <w:vAlign w:val="bottom"/>
          </w:tcPr>
          <w:p>
            <w:pPr>
              <w:jc w:val="right"/>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Loans not secured by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0" w:type="dxa"/>
            <w:vAlign w:val="bottom"/>
            <w:gridSpan w:val="2"/>
          </w:tcPr>
          <w:p>
            <w:pPr>
              <w:ind w:left="280"/>
              <w:spacing w:after="0"/>
              <w:rPr>
                <w:sz w:val="20"/>
                <w:szCs w:val="20"/>
                <w:color w:val="auto"/>
              </w:rPr>
            </w:pPr>
            <w:r>
              <w:rPr>
                <w:rFonts w:ascii="Arial" w:cs="Arial" w:eastAsia="Arial" w:hAnsi="Arial"/>
                <w:sz w:val="17"/>
                <w:szCs w:val="17"/>
                <w:color w:val="auto"/>
              </w:rPr>
              <w:t>Other</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w:t>
            </w:r>
          </w:p>
        </w:tc>
        <w:tc>
          <w:tcPr>
            <w:tcW w:w="98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53"/>
        </w:trPr>
        <w:tc>
          <w:tcPr>
            <w:tcW w:w="7440" w:type="dxa"/>
            <w:vAlign w:val="bottom"/>
            <w:gridSpan w:val="2"/>
          </w:tcPr>
          <w:p>
            <w:pPr>
              <w:jc w:val="right"/>
              <w:ind w:right="1575"/>
              <w:spacing w:after="0"/>
              <w:rPr>
                <w:sz w:val="20"/>
                <w:szCs w:val="20"/>
                <w:color w:val="auto"/>
              </w:rPr>
            </w:pPr>
            <w:r>
              <w:rPr>
                <w:rFonts w:ascii="Arial" w:cs="Arial" w:eastAsia="Arial" w:hAnsi="Arial"/>
                <w:sz w:val="14"/>
                <w:szCs w:val="14"/>
                <w:color w:val="auto"/>
              </w:rPr>
              <w:t>25</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80" w:type="dxa"/>
            <w:vAlign w:val="bottom"/>
            <w:gridSpan w:val="3"/>
          </w:tcPr>
          <w:p>
            <w:pPr>
              <w:spacing w:after="0"/>
              <w:rPr>
                <w:sz w:val="20"/>
                <w:szCs w:val="20"/>
                <w:color w:val="auto"/>
              </w:rPr>
            </w:pPr>
            <w:r>
              <w:rPr>
                <w:rFonts w:ascii="Arial" w:cs="Arial" w:eastAsia="Arial" w:hAnsi="Arial"/>
                <w:sz w:val="17"/>
                <w:szCs w:val="17"/>
                <w:color w:val="auto"/>
                <w:w w:val="97"/>
              </w:rPr>
              <w:t>Loans that have been classified as troubled debt restructurings during the six-month periods ended June 30 follow:</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4"/>
          </w:tcPr>
          <w:p>
            <w:pPr>
              <w:ind w:left="200"/>
              <w:spacing w:after="0"/>
              <w:rPr>
                <w:sz w:val="20"/>
                <w:szCs w:val="20"/>
                <w:color w:val="auto"/>
              </w:rPr>
            </w:pPr>
            <w:r>
              <w:rPr>
                <w:rFonts w:ascii="Arial" w:cs="Arial" w:eastAsia="Arial" w:hAnsi="Arial"/>
                <w:sz w:val="17"/>
                <w:szCs w:val="17"/>
                <w:color w:val="auto"/>
              </w:rPr>
              <w:t>Pre-modification</w:t>
            </w:r>
          </w:p>
        </w:tc>
        <w:tc>
          <w:tcPr>
            <w:tcW w:w="1400" w:type="dxa"/>
            <w:vAlign w:val="bottom"/>
            <w:gridSpan w:val="4"/>
          </w:tcPr>
          <w:p>
            <w:pPr>
              <w:ind w:left="100"/>
              <w:spacing w:after="0"/>
              <w:rPr>
                <w:sz w:val="20"/>
                <w:szCs w:val="20"/>
                <w:color w:val="auto"/>
              </w:rPr>
            </w:pPr>
            <w:r>
              <w:rPr>
                <w:rFonts w:ascii="Arial" w:cs="Arial" w:eastAsia="Arial" w:hAnsi="Arial"/>
                <w:sz w:val="17"/>
                <w:szCs w:val="17"/>
                <w:color w:val="auto"/>
                <w:w w:val="98"/>
              </w:rPr>
              <w:t>Post-modification</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940" w:type="dxa"/>
            <w:vAlign w:val="bottom"/>
          </w:tcPr>
          <w:p>
            <w:pPr>
              <w:jc w:val="center"/>
              <w:ind w:left="115"/>
              <w:spacing w:after="0"/>
              <w:rPr>
                <w:sz w:val="20"/>
                <w:szCs w:val="20"/>
                <w:color w:val="auto"/>
              </w:rPr>
            </w:pPr>
            <w:r>
              <w:rPr>
                <w:rFonts w:ascii="Arial" w:cs="Arial" w:eastAsia="Arial" w:hAnsi="Arial"/>
                <w:sz w:val="17"/>
                <w:szCs w:val="17"/>
                <w:color w:val="auto"/>
                <w:w w:val="93"/>
              </w:rPr>
              <w:t>Number of</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Arial" w:cs="Arial" w:eastAsia="Arial" w:hAnsi="Arial"/>
                <w:sz w:val="17"/>
                <w:szCs w:val="17"/>
                <w:color w:val="auto"/>
              </w:rPr>
              <w:t>Recorded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7"/>
                <w:szCs w:val="17"/>
                <w:color w:val="auto"/>
                <w:w w:val="97"/>
              </w:rPr>
              <w:t>Recorded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940" w:type="dxa"/>
            <w:vAlign w:val="bottom"/>
            <w:tcBorders>
              <w:bottom w:val="single" w:sz="8" w:color="auto"/>
            </w:tcBorders>
          </w:tcPr>
          <w:p>
            <w:pPr>
              <w:jc w:val="center"/>
              <w:ind w:left="95"/>
              <w:spacing w:after="0"/>
              <w:rPr>
                <w:sz w:val="20"/>
                <w:szCs w:val="20"/>
                <w:color w:val="auto"/>
              </w:rPr>
            </w:pPr>
            <w:r>
              <w:rPr>
                <w:rFonts w:ascii="Arial" w:cs="Arial" w:eastAsia="Arial" w:hAnsi="Arial"/>
                <w:sz w:val="17"/>
                <w:szCs w:val="17"/>
                <w:color w:val="auto"/>
                <w:w w:val="87"/>
              </w:rPr>
              <w:t>Contracts</w:t>
            </w:r>
          </w:p>
        </w:tc>
        <w:tc>
          <w:tcPr>
            <w:tcW w:w="1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Balance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Balance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40" w:type="dxa"/>
            <w:vAlign w:val="bottom"/>
            <w:gridSpan w:val="2"/>
            <w:vMerge w:val="restart"/>
          </w:tcPr>
          <w:p>
            <w:pPr>
              <w:spacing w:after="0"/>
              <w:rPr>
                <w:sz w:val="20"/>
                <w:szCs w:val="20"/>
                <w:color w:val="auto"/>
              </w:rPr>
            </w:pPr>
            <w:r>
              <w:rPr>
                <w:rFonts w:ascii="Arial" w:cs="Arial" w:eastAsia="Arial" w:hAnsi="Arial"/>
                <w:sz w:val="17"/>
                <w:szCs w:val="17"/>
                <w:color w:val="auto"/>
              </w:rPr>
              <w:t>2016</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Arial" w:cs="Arial" w:eastAsia="Arial" w:hAnsi="Arial"/>
                <w:sz w:val="17"/>
                <w:szCs w:val="17"/>
                <w:color w:val="auto"/>
                <w:w w:val="91"/>
              </w:rPr>
              <w:t>(Dollars in thousands)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440" w:type="dxa"/>
            <w:vAlign w:val="bottom"/>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ind w:left="140"/>
              <w:spacing w:after="0"/>
              <w:rPr>
                <w:sz w:val="20"/>
                <w:szCs w:val="20"/>
                <w:color w:val="auto"/>
              </w:rPr>
            </w:pPr>
            <w:r>
              <w:rPr>
                <w:rFonts w:ascii="Arial" w:cs="Arial" w:eastAsia="Arial" w:hAnsi="Arial"/>
                <w:sz w:val="17"/>
                <w:szCs w:val="17"/>
                <w:color w:val="auto"/>
              </w:rPr>
              <w:t>Commercial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Income producing - 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60" w:type="dxa"/>
            <w:vAlign w:val="bottom"/>
            <w:gridSpan w:val="2"/>
          </w:tcPr>
          <w:p>
            <w:pPr>
              <w:ind w:left="280"/>
              <w:spacing w:after="0"/>
              <w:rPr>
                <w:sz w:val="20"/>
                <w:szCs w:val="20"/>
                <w:color w:val="auto"/>
              </w:rPr>
            </w:pPr>
            <w:r>
              <w:rPr>
                <w:rFonts w:ascii="Arial" w:cs="Arial" w:eastAsia="Arial" w:hAnsi="Arial"/>
                <w:sz w:val="17"/>
                <w:szCs w:val="17"/>
                <w:color w:val="auto"/>
              </w:rPr>
              <w:t>Land, land development &amp; construction-real estate</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Commercial and industrial</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60" w:type="dxa"/>
            <w:vAlign w:val="bottom"/>
            <w:gridSpan w:val="2"/>
          </w:tcPr>
          <w:p>
            <w:pPr>
              <w:ind w:left="140"/>
              <w:spacing w:after="0"/>
              <w:rPr>
                <w:sz w:val="20"/>
                <w:szCs w:val="20"/>
                <w:color w:val="auto"/>
              </w:rPr>
            </w:pPr>
            <w:r>
              <w:rPr>
                <w:rFonts w:ascii="Arial" w:cs="Arial" w:eastAsia="Arial" w:hAnsi="Arial"/>
                <w:sz w:val="17"/>
                <w:szCs w:val="17"/>
                <w:color w:val="auto"/>
              </w:rPr>
              <w:t>Mortgage</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1-4 family</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60" w:type="dxa"/>
            <w:vAlign w:val="bottom"/>
            <w:gridSpan w:val="2"/>
          </w:tcPr>
          <w:p>
            <w:pPr>
              <w:ind w:left="280"/>
              <w:spacing w:after="0"/>
              <w:rPr>
                <w:sz w:val="20"/>
                <w:szCs w:val="20"/>
                <w:color w:val="auto"/>
              </w:rPr>
            </w:pPr>
            <w:r>
              <w:rPr>
                <w:rFonts w:ascii="Arial" w:cs="Arial" w:eastAsia="Arial" w:hAnsi="Arial"/>
                <w:sz w:val="17"/>
                <w:szCs w:val="17"/>
                <w:color w:val="auto"/>
              </w:rPr>
              <w:t>Resort lending</w:t>
            </w:r>
          </w:p>
        </w:tc>
        <w:tc>
          <w:tcPr>
            <w:tcW w:w="18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Home equity - 1st lien</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60" w:type="dxa"/>
            <w:vAlign w:val="bottom"/>
            <w:gridSpan w:val="2"/>
          </w:tcPr>
          <w:p>
            <w:pPr>
              <w:ind w:left="280"/>
              <w:spacing w:after="0"/>
              <w:rPr>
                <w:sz w:val="20"/>
                <w:szCs w:val="20"/>
                <w:color w:val="auto"/>
              </w:rPr>
            </w:pPr>
            <w:r>
              <w:rPr>
                <w:rFonts w:ascii="Arial" w:cs="Arial" w:eastAsia="Arial" w:hAnsi="Arial"/>
                <w:sz w:val="17"/>
                <w:szCs w:val="17"/>
                <w:color w:val="auto"/>
              </w:rPr>
              <w:t>Home equity - 2nd lien</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Installment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60" w:type="dxa"/>
            <w:vAlign w:val="bottom"/>
            <w:gridSpan w:val="2"/>
          </w:tcPr>
          <w:p>
            <w:pPr>
              <w:ind w:left="280"/>
              <w:spacing w:after="0"/>
              <w:rPr>
                <w:sz w:val="20"/>
                <w:szCs w:val="20"/>
                <w:color w:val="auto"/>
              </w:rPr>
            </w:pPr>
            <w:r>
              <w:rPr>
                <w:rFonts w:ascii="Arial" w:cs="Arial" w:eastAsia="Arial" w:hAnsi="Arial"/>
                <w:sz w:val="17"/>
                <w:szCs w:val="17"/>
                <w:color w:val="auto"/>
              </w:rPr>
              <w:t>Home equity - 1st lien</w:t>
            </w:r>
          </w:p>
        </w:tc>
        <w:tc>
          <w:tcPr>
            <w:tcW w:w="180" w:type="dxa"/>
            <w:vAlign w:val="bottom"/>
          </w:tcPr>
          <w:p>
            <w:pPr>
              <w:jc w:val="right"/>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Home equity - 2nd lien</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60" w:type="dxa"/>
            <w:vAlign w:val="bottom"/>
            <w:gridSpan w:val="2"/>
          </w:tcPr>
          <w:p>
            <w:pPr>
              <w:ind w:left="280"/>
              <w:spacing w:after="0"/>
              <w:rPr>
                <w:sz w:val="20"/>
                <w:szCs w:val="20"/>
                <w:color w:val="auto"/>
              </w:rPr>
            </w:pPr>
            <w:r>
              <w:rPr>
                <w:rFonts w:ascii="Arial" w:cs="Arial" w:eastAsia="Arial" w:hAnsi="Arial"/>
                <w:sz w:val="17"/>
                <w:szCs w:val="17"/>
                <w:color w:val="auto"/>
              </w:rPr>
              <w:t>Loans not secured by real estate</w:t>
            </w:r>
          </w:p>
        </w:tc>
        <w:tc>
          <w:tcPr>
            <w:tcW w:w="18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Other</w:t>
            </w:r>
          </w:p>
        </w:tc>
        <w:tc>
          <w:tcPr>
            <w:tcW w:w="9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60" w:type="dxa"/>
            <w:vAlign w:val="bottom"/>
            <w:gridSpan w:val="2"/>
          </w:tcPr>
          <w:p>
            <w:pPr>
              <w:ind w:left="440"/>
              <w:spacing w:after="0"/>
              <w:rPr>
                <w:sz w:val="20"/>
                <w:szCs w:val="20"/>
                <w:color w:val="auto"/>
              </w:rPr>
            </w:pPr>
            <w:r>
              <w:rPr>
                <w:rFonts w:ascii="Arial" w:cs="Arial" w:eastAsia="Arial" w:hAnsi="Arial"/>
                <w:sz w:val="17"/>
                <w:szCs w:val="17"/>
                <w:color w:val="auto"/>
              </w:rPr>
              <w:t>Total</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20</w:t>
            </w:r>
          </w:p>
        </w:tc>
        <w:tc>
          <w:tcPr>
            <w:tcW w:w="3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2,480</w:t>
            </w:r>
          </w:p>
        </w:tc>
        <w:tc>
          <w:tcPr>
            <w:tcW w:w="28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2,527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74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7"/>
                <w:szCs w:val="17"/>
                <w:color w:val="auto"/>
              </w:rPr>
              <w:t>2015</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Commercial</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60" w:type="dxa"/>
            <w:vAlign w:val="bottom"/>
            <w:gridSpan w:val="2"/>
          </w:tcPr>
          <w:p>
            <w:pPr>
              <w:ind w:left="280"/>
              <w:spacing w:after="0"/>
              <w:rPr>
                <w:sz w:val="20"/>
                <w:szCs w:val="20"/>
                <w:color w:val="auto"/>
              </w:rPr>
            </w:pPr>
            <w:r>
              <w:rPr>
                <w:rFonts w:ascii="Arial" w:cs="Arial" w:eastAsia="Arial" w:hAnsi="Arial"/>
                <w:sz w:val="17"/>
                <w:szCs w:val="17"/>
                <w:color w:val="auto"/>
              </w:rPr>
              <w:t>Income producing - real estate</w:t>
            </w:r>
          </w:p>
        </w:tc>
        <w:tc>
          <w:tcPr>
            <w:tcW w:w="180" w:type="dxa"/>
            <w:vAlign w:val="bottom"/>
          </w:tcPr>
          <w:p>
            <w:pPr>
              <w:jc w:val="right"/>
              <w:spacing w:after="0"/>
              <w:rPr>
                <w:sz w:val="20"/>
                <w:szCs w:val="20"/>
                <w:color w:val="auto"/>
              </w:rPr>
            </w:pPr>
            <w:r>
              <w:rPr>
                <w:rFonts w:ascii="Arial" w:cs="Arial" w:eastAsia="Arial" w:hAnsi="Arial"/>
                <w:sz w:val="17"/>
                <w:szCs w:val="17"/>
                <w:color w:val="auto"/>
              </w:rPr>
              <w:t>2</w:t>
            </w:r>
          </w:p>
        </w:tc>
        <w:tc>
          <w:tcPr>
            <w:tcW w:w="3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229</w:t>
            </w:r>
          </w:p>
        </w:tc>
        <w:tc>
          <w:tcPr>
            <w:tcW w:w="28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Land, land development &amp; construction-real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60" w:type="dxa"/>
            <w:vAlign w:val="bottom"/>
            <w:gridSpan w:val="2"/>
          </w:tcPr>
          <w:p>
            <w:pPr>
              <w:ind w:left="280"/>
              <w:spacing w:after="0"/>
              <w:rPr>
                <w:sz w:val="20"/>
                <w:szCs w:val="20"/>
                <w:color w:val="auto"/>
              </w:rPr>
            </w:pPr>
            <w:r>
              <w:rPr>
                <w:rFonts w:ascii="Arial" w:cs="Arial" w:eastAsia="Arial" w:hAnsi="Arial"/>
                <w:sz w:val="17"/>
                <w:szCs w:val="17"/>
                <w:color w:val="auto"/>
              </w:rPr>
              <w:t>Commercial and industrial</w:t>
            </w:r>
          </w:p>
        </w:tc>
        <w:tc>
          <w:tcPr>
            <w:tcW w:w="180" w:type="dxa"/>
            <w:vAlign w:val="bottom"/>
          </w:tcPr>
          <w:p>
            <w:pPr>
              <w:jc w:val="right"/>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Mortgage</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60" w:type="dxa"/>
            <w:vAlign w:val="bottom"/>
            <w:gridSpan w:val="2"/>
          </w:tcPr>
          <w:p>
            <w:pPr>
              <w:ind w:left="280"/>
              <w:spacing w:after="0"/>
              <w:rPr>
                <w:sz w:val="20"/>
                <w:szCs w:val="20"/>
                <w:color w:val="auto"/>
              </w:rPr>
            </w:pPr>
            <w:r>
              <w:rPr>
                <w:rFonts w:ascii="Arial" w:cs="Arial" w:eastAsia="Arial" w:hAnsi="Arial"/>
                <w:sz w:val="17"/>
                <w:szCs w:val="17"/>
                <w:color w:val="auto"/>
              </w:rPr>
              <w:t>1-4 family</w:t>
            </w:r>
          </w:p>
        </w:tc>
        <w:tc>
          <w:tcPr>
            <w:tcW w:w="180" w:type="dxa"/>
            <w:vAlign w:val="bottom"/>
          </w:tcPr>
          <w:p>
            <w:pPr>
              <w:jc w:val="right"/>
              <w:spacing w:after="0"/>
              <w:rPr>
                <w:sz w:val="20"/>
                <w:szCs w:val="20"/>
                <w:color w:val="auto"/>
              </w:rPr>
            </w:pPr>
            <w:r>
              <w:rPr>
                <w:rFonts w:ascii="Arial" w:cs="Arial" w:eastAsia="Arial" w:hAnsi="Arial"/>
                <w:sz w:val="17"/>
                <w:szCs w:val="17"/>
                <w:color w:val="auto"/>
              </w:rPr>
              <w:t>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1,030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845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Resort lending</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60" w:type="dxa"/>
            <w:vAlign w:val="bottom"/>
            <w:gridSpan w:val="2"/>
          </w:tcPr>
          <w:p>
            <w:pPr>
              <w:ind w:left="280"/>
              <w:spacing w:after="0"/>
              <w:rPr>
                <w:sz w:val="20"/>
                <w:szCs w:val="20"/>
                <w:color w:val="auto"/>
              </w:rPr>
            </w:pPr>
            <w:r>
              <w:rPr>
                <w:rFonts w:ascii="Arial" w:cs="Arial" w:eastAsia="Arial" w:hAnsi="Arial"/>
                <w:sz w:val="17"/>
                <w:szCs w:val="17"/>
                <w:color w:val="auto"/>
              </w:rPr>
              <w:t>Home equity - 1st lien</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Home equity - 2nd lien</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60" w:type="dxa"/>
            <w:vAlign w:val="bottom"/>
            <w:gridSpan w:val="2"/>
          </w:tcPr>
          <w:p>
            <w:pPr>
              <w:ind w:left="140"/>
              <w:spacing w:after="0"/>
              <w:rPr>
                <w:sz w:val="20"/>
                <w:szCs w:val="20"/>
                <w:color w:val="auto"/>
              </w:rPr>
            </w:pPr>
            <w:r>
              <w:rPr>
                <w:rFonts w:ascii="Arial" w:cs="Arial" w:eastAsia="Arial" w:hAnsi="Arial"/>
                <w:sz w:val="17"/>
                <w:szCs w:val="17"/>
                <w:color w:val="auto"/>
              </w:rPr>
              <w:t>Installment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Home equity - 1st lien</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60" w:type="dxa"/>
            <w:vAlign w:val="bottom"/>
            <w:gridSpan w:val="2"/>
          </w:tcPr>
          <w:p>
            <w:pPr>
              <w:ind w:left="280"/>
              <w:spacing w:after="0"/>
              <w:rPr>
                <w:sz w:val="20"/>
                <w:szCs w:val="20"/>
                <w:color w:val="auto"/>
              </w:rPr>
            </w:pPr>
            <w:r>
              <w:rPr>
                <w:rFonts w:ascii="Arial" w:cs="Arial" w:eastAsia="Arial" w:hAnsi="Arial"/>
                <w:sz w:val="17"/>
                <w:szCs w:val="17"/>
                <w:color w:val="auto"/>
              </w:rPr>
              <w:t>Home equity - 2nd lien</w:t>
            </w:r>
          </w:p>
        </w:tc>
        <w:tc>
          <w:tcPr>
            <w:tcW w:w="180" w:type="dxa"/>
            <w:vAlign w:val="bottom"/>
          </w:tcPr>
          <w:p>
            <w:pPr>
              <w:jc w:val="right"/>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Loans not secured by 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60" w:type="dxa"/>
            <w:vAlign w:val="bottom"/>
            <w:gridSpan w:val="2"/>
          </w:tcPr>
          <w:p>
            <w:pPr>
              <w:ind w:left="280"/>
              <w:spacing w:after="0"/>
              <w:rPr>
                <w:sz w:val="20"/>
                <w:szCs w:val="20"/>
                <w:color w:val="auto"/>
              </w:rPr>
            </w:pPr>
            <w:r>
              <w:rPr>
                <w:rFonts w:ascii="Arial" w:cs="Arial" w:eastAsia="Arial" w:hAnsi="Arial"/>
                <w:sz w:val="17"/>
                <w:szCs w:val="17"/>
                <w:color w:val="auto"/>
              </w:rPr>
              <w:t>Other</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w:t>
            </w:r>
          </w:p>
        </w:tc>
        <w:tc>
          <w:tcPr>
            <w:tcW w:w="94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21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troubled debt restructurings described above for 2016 had no impact on the allowance for loan losses and resulted in zero charge offs during the three months ended June 30, 2016, and increased the allowance by $0.3 million and resulted in zero charge offs during the six months ended June 30, 2016.</w:t>
      </w:r>
    </w:p>
    <w:p>
      <w:pPr>
        <w:spacing w:after="0" w:line="16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troubled debt restructurings described above for 2015 increased the allowance for loan losses by $0.1 million and resulted in zero charge offs during the three months ended June 30, 2015, and increased the allowance by $0.1 million and resulted in zero charge offs during the six months ended June 30, 2015.</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Loans that have been classified as troubled debt restructurings during the past twelve months and that have subsequently defaulted during the three-month periods ended June 30 follow: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380" w:type="dxa"/>
            <w:vAlign w:val="bottom"/>
            <w:gridSpan w:val="2"/>
          </w:tcPr>
          <w:p>
            <w:pPr>
              <w:ind w:left="200"/>
              <w:spacing w:after="0"/>
              <w:rPr>
                <w:sz w:val="20"/>
                <w:szCs w:val="20"/>
                <w:color w:val="auto"/>
              </w:rPr>
            </w:pPr>
            <w:r>
              <w:rPr>
                <w:rFonts w:ascii="Arial" w:cs="Arial" w:eastAsia="Arial" w:hAnsi="Arial"/>
                <w:sz w:val="17"/>
                <w:szCs w:val="17"/>
                <w:color w:val="auto"/>
              </w:rPr>
              <w:t>Number of</w:t>
            </w:r>
          </w:p>
        </w:tc>
        <w:tc>
          <w:tcPr>
            <w:tcW w:w="16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w w:val="97"/>
              </w:rPr>
              <w:t>Recorded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1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Contracts</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Balance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00" w:type="dxa"/>
            <w:vAlign w:val="bottom"/>
            <w:gridSpan w:val="2"/>
            <w:vMerge w:val="restart"/>
          </w:tcPr>
          <w:p>
            <w:pPr>
              <w:jc w:val="right"/>
              <w:ind w:right="4275"/>
              <w:spacing w:after="0"/>
              <w:rPr>
                <w:sz w:val="20"/>
                <w:szCs w:val="20"/>
                <w:color w:val="auto"/>
              </w:rPr>
            </w:pPr>
            <w:r>
              <w:rPr>
                <w:rFonts w:ascii="Arial" w:cs="Arial" w:eastAsia="Arial" w:hAnsi="Arial"/>
                <w:sz w:val="17"/>
                <w:szCs w:val="17"/>
                <w:color w:val="auto"/>
                <w:w w:val="84"/>
              </w:rPr>
              <w:t>2016</w:t>
            </w:r>
          </w:p>
        </w:tc>
        <w:tc>
          <w:tcPr>
            <w:tcW w:w="4100" w:type="dxa"/>
            <w:vAlign w:val="bottom"/>
          </w:tcPr>
          <w:p>
            <w:pPr>
              <w:spacing w:after="0"/>
              <w:rPr>
                <w:sz w:val="18"/>
                <w:szCs w:val="18"/>
                <w:color w:val="auto"/>
              </w:rPr>
            </w:pPr>
          </w:p>
        </w:tc>
        <w:tc>
          <w:tcPr>
            <w:tcW w:w="2620" w:type="dxa"/>
            <w:vAlign w:val="bottom"/>
            <w:gridSpan w:val="5"/>
          </w:tcPr>
          <w:p>
            <w:pPr>
              <w:jc w:val="right"/>
              <w:ind w:right="600"/>
              <w:spacing w:after="0"/>
              <w:rPr>
                <w:sz w:val="20"/>
                <w:szCs w:val="20"/>
                <w:color w:val="auto"/>
              </w:rPr>
            </w:pPr>
            <w:r>
              <w:rPr>
                <w:rFonts w:ascii="Arial" w:cs="Arial" w:eastAsia="Arial" w:hAnsi="Arial"/>
                <w:sz w:val="17"/>
                <w:szCs w:val="17"/>
                <w:color w:val="auto"/>
              </w:rPr>
              <w:t>(Dollars in thousands)</w:t>
            </w:r>
          </w:p>
        </w:tc>
        <w:tc>
          <w:tcPr>
            <w:tcW w:w="0" w:type="dxa"/>
            <w:vAlign w:val="bottom"/>
          </w:tcPr>
          <w:p>
            <w:pPr>
              <w:spacing w:after="0"/>
              <w:rPr>
                <w:sz w:val="1"/>
                <w:szCs w:val="1"/>
                <w:color w:val="auto"/>
              </w:rPr>
            </w:pPr>
          </w:p>
        </w:tc>
      </w:tr>
      <w:tr>
        <w:trPr>
          <w:trHeight w:val="180"/>
        </w:trPr>
        <w:tc>
          <w:tcPr>
            <w:tcW w:w="4700" w:type="dxa"/>
            <w:vAlign w:val="bottom"/>
            <w:gridSpan w:val="2"/>
            <w:vMerge w:val="continue"/>
          </w:tcPr>
          <w:p>
            <w:pPr>
              <w:spacing w:after="0"/>
              <w:rPr>
                <w:sz w:val="15"/>
                <w:szCs w:val="15"/>
                <w:color w:val="auto"/>
              </w:rPr>
            </w:pPr>
          </w:p>
        </w:tc>
        <w:tc>
          <w:tcPr>
            <w:tcW w:w="4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7"/>
                <w:szCs w:val="17"/>
                <w:color w:val="auto"/>
              </w:rPr>
              <w:t>Commercial</w:t>
            </w:r>
          </w:p>
        </w:tc>
        <w:tc>
          <w:tcPr>
            <w:tcW w:w="4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Income producing - real estate</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80" w:type="dxa"/>
            <w:vAlign w:val="bottom"/>
          </w:tcPr>
          <w:p>
            <w:pPr>
              <w:ind w:left="280"/>
              <w:spacing w:after="0"/>
              <w:rPr>
                <w:sz w:val="20"/>
                <w:szCs w:val="20"/>
                <w:color w:val="auto"/>
              </w:rPr>
            </w:pPr>
            <w:r>
              <w:rPr>
                <w:rFonts w:ascii="Arial" w:cs="Arial" w:eastAsia="Arial" w:hAnsi="Arial"/>
                <w:sz w:val="17"/>
                <w:szCs w:val="17"/>
                <w:color w:val="auto"/>
              </w:rPr>
              <w:t>Land, land development &amp; construction-real estate</w:t>
            </w:r>
          </w:p>
        </w:tc>
        <w:tc>
          <w:tcPr>
            <w:tcW w:w="5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Commercial and industrial</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80" w:type="dxa"/>
            <w:vAlign w:val="bottom"/>
          </w:tcPr>
          <w:p>
            <w:pPr>
              <w:ind w:left="140"/>
              <w:spacing w:after="0"/>
              <w:rPr>
                <w:sz w:val="20"/>
                <w:szCs w:val="20"/>
                <w:color w:val="auto"/>
              </w:rPr>
            </w:pPr>
            <w:r>
              <w:rPr>
                <w:rFonts w:ascii="Arial" w:cs="Arial" w:eastAsia="Arial" w:hAnsi="Arial"/>
                <w:sz w:val="17"/>
                <w:szCs w:val="17"/>
                <w:color w:val="auto"/>
              </w:rPr>
              <w:t>Mortgage</w:t>
            </w:r>
          </w:p>
        </w:tc>
        <w:tc>
          <w:tcPr>
            <w:tcW w:w="4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1-4 family</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80" w:type="dxa"/>
            <w:vAlign w:val="bottom"/>
          </w:tcPr>
          <w:p>
            <w:pPr>
              <w:ind w:left="280"/>
              <w:spacing w:after="0"/>
              <w:rPr>
                <w:sz w:val="20"/>
                <w:szCs w:val="20"/>
                <w:color w:val="auto"/>
              </w:rPr>
            </w:pPr>
            <w:r>
              <w:rPr>
                <w:rFonts w:ascii="Arial" w:cs="Arial" w:eastAsia="Arial" w:hAnsi="Arial"/>
                <w:sz w:val="17"/>
                <w:szCs w:val="17"/>
                <w:color w:val="auto"/>
              </w:rPr>
              <w:t>Resort lending</w:t>
            </w:r>
          </w:p>
        </w:tc>
        <w:tc>
          <w:tcPr>
            <w:tcW w:w="5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Home equity - 1st lien</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80" w:type="dxa"/>
            <w:vAlign w:val="bottom"/>
          </w:tcPr>
          <w:p>
            <w:pPr>
              <w:ind w:left="280"/>
              <w:spacing w:after="0"/>
              <w:rPr>
                <w:sz w:val="20"/>
                <w:szCs w:val="20"/>
                <w:color w:val="auto"/>
              </w:rPr>
            </w:pPr>
            <w:r>
              <w:rPr>
                <w:rFonts w:ascii="Arial" w:cs="Arial" w:eastAsia="Arial" w:hAnsi="Arial"/>
                <w:sz w:val="17"/>
                <w:szCs w:val="17"/>
                <w:color w:val="auto"/>
              </w:rPr>
              <w:t>Home equity - 2nd lien</w:t>
            </w:r>
          </w:p>
        </w:tc>
        <w:tc>
          <w:tcPr>
            <w:tcW w:w="5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Installment</w:t>
            </w:r>
          </w:p>
        </w:tc>
        <w:tc>
          <w:tcPr>
            <w:tcW w:w="4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80" w:type="dxa"/>
            <w:vAlign w:val="bottom"/>
          </w:tcPr>
          <w:p>
            <w:pPr>
              <w:ind w:left="280"/>
              <w:spacing w:after="0"/>
              <w:rPr>
                <w:sz w:val="20"/>
                <w:szCs w:val="20"/>
                <w:color w:val="auto"/>
              </w:rPr>
            </w:pPr>
            <w:r>
              <w:rPr>
                <w:rFonts w:ascii="Arial" w:cs="Arial" w:eastAsia="Arial" w:hAnsi="Arial"/>
                <w:sz w:val="17"/>
                <w:szCs w:val="17"/>
                <w:color w:val="auto"/>
              </w:rPr>
              <w:t>Home equity - 1st lien</w:t>
            </w:r>
          </w:p>
        </w:tc>
        <w:tc>
          <w:tcPr>
            <w:tcW w:w="5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Home equity - 2nd lien</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80" w:type="dxa"/>
            <w:vAlign w:val="bottom"/>
          </w:tcPr>
          <w:p>
            <w:pPr>
              <w:ind w:left="280"/>
              <w:spacing w:after="0"/>
              <w:rPr>
                <w:sz w:val="20"/>
                <w:szCs w:val="20"/>
                <w:color w:val="auto"/>
              </w:rPr>
            </w:pPr>
            <w:r>
              <w:rPr>
                <w:rFonts w:ascii="Arial" w:cs="Arial" w:eastAsia="Arial" w:hAnsi="Arial"/>
                <w:sz w:val="17"/>
                <w:szCs w:val="17"/>
                <w:color w:val="auto"/>
              </w:rPr>
              <w:t>Loans not secured by real estate</w:t>
            </w:r>
          </w:p>
        </w:tc>
        <w:tc>
          <w:tcPr>
            <w:tcW w:w="5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Other</w:t>
            </w:r>
          </w:p>
        </w:tc>
        <w:tc>
          <w:tcPr>
            <w:tcW w:w="4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5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gridSpan w:val="2"/>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4680" w:type="dxa"/>
            <w:vAlign w:val="bottom"/>
            <w:shd w:val="clear" w:color="auto" w:fill="CCEEFF"/>
          </w:tcPr>
          <w:p>
            <w:pPr>
              <w:spacing w:after="0"/>
              <w:rPr>
                <w:sz w:val="16"/>
                <w:szCs w:val="16"/>
                <w:color w:val="auto"/>
              </w:rPr>
            </w:pPr>
          </w:p>
        </w:tc>
        <w:tc>
          <w:tcPr>
            <w:tcW w:w="4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2015</w:t>
            </w:r>
          </w:p>
        </w:tc>
        <w:tc>
          <w:tcPr>
            <w:tcW w:w="4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w:t>
            </w:r>
          </w:p>
        </w:tc>
        <w:tc>
          <w:tcPr>
            <w:tcW w:w="4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80" w:type="dxa"/>
            <w:vAlign w:val="bottom"/>
          </w:tcPr>
          <w:p>
            <w:pPr>
              <w:ind w:left="280"/>
              <w:spacing w:after="0"/>
              <w:rPr>
                <w:sz w:val="20"/>
                <w:szCs w:val="20"/>
                <w:color w:val="auto"/>
              </w:rPr>
            </w:pPr>
            <w:r>
              <w:rPr>
                <w:rFonts w:ascii="Arial" w:cs="Arial" w:eastAsia="Arial" w:hAnsi="Arial"/>
                <w:sz w:val="17"/>
                <w:szCs w:val="17"/>
                <w:color w:val="auto"/>
              </w:rPr>
              <w:t>Income producing - real estate</w:t>
            </w:r>
          </w:p>
        </w:tc>
        <w:tc>
          <w:tcPr>
            <w:tcW w:w="5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Land, land development &amp; construction-real estate</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80" w:type="dxa"/>
            <w:vAlign w:val="bottom"/>
          </w:tcPr>
          <w:p>
            <w:pPr>
              <w:ind w:left="280"/>
              <w:spacing w:after="0"/>
              <w:rPr>
                <w:sz w:val="20"/>
                <w:szCs w:val="20"/>
                <w:color w:val="auto"/>
              </w:rPr>
            </w:pPr>
            <w:r>
              <w:rPr>
                <w:rFonts w:ascii="Arial" w:cs="Arial" w:eastAsia="Arial" w:hAnsi="Arial"/>
                <w:sz w:val="17"/>
                <w:szCs w:val="17"/>
                <w:color w:val="auto"/>
              </w:rPr>
              <w:t>Commercial and industrial</w:t>
            </w:r>
          </w:p>
        </w:tc>
        <w:tc>
          <w:tcPr>
            <w:tcW w:w="524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Mortgage</w:t>
            </w:r>
          </w:p>
        </w:tc>
        <w:tc>
          <w:tcPr>
            <w:tcW w:w="4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80" w:type="dxa"/>
            <w:vAlign w:val="bottom"/>
          </w:tcPr>
          <w:p>
            <w:pPr>
              <w:ind w:left="280"/>
              <w:spacing w:after="0"/>
              <w:rPr>
                <w:sz w:val="20"/>
                <w:szCs w:val="20"/>
                <w:color w:val="auto"/>
              </w:rPr>
            </w:pPr>
            <w:r>
              <w:rPr>
                <w:rFonts w:ascii="Arial" w:cs="Arial" w:eastAsia="Arial" w:hAnsi="Arial"/>
                <w:sz w:val="17"/>
                <w:szCs w:val="17"/>
                <w:color w:val="auto"/>
              </w:rPr>
              <w:t>1-4 family</w:t>
            </w:r>
          </w:p>
        </w:tc>
        <w:tc>
          <w:tcPr>
            <w:tcW w:w="5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Resort lending</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80" w:type="dxa"/>
            <w:vAlign w:val="bottom"/>
          </w:tcPr>
          <w:p>
            <w:pPr>
              <w:ind w:left="280"/>
              <w:spacing w:after="0"/>
              <w:rPr>
                <w:sz w:val="20"/>
                <w:szCs w:val="20"/>
                <w:color w:val="auto"/>
              </w:rPr>
            </w:pPr>
            <w:r>
              <w:rPr>
                <w:rFonts w:ascii="Arial" w:cs="Arial" w:eastAsia="Arial" w:hAnsi="Arial"/>
                <w:sz w:val="17"/>
                <w:szCs w:val="17"/>
                <w:color w:val="auto"/>
              </w:rPr>
              <w:t>Home equity - 1st lien</w:t>
            </w:r>
          </w:p>
        </w:tc>
        <w:tc>
          <w:tcPr>
            <w:tcW w:w="5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Home equity - 2nd lien</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80" w:type="dxa"/>
            <w:vAlign w:val="bottom"/>
          </w:tcPr>
          <w:p>
            <w:pPr>
              <w:ind w:left="140"/>
              <w:spacing w:after="0"/>
              <w:rPr>
                <w:sz w:val="20"/>
                <w:szCs w:val="20"/>
                <w:color w:val="auto"/>
              </w:rPr>
            </w:pPr>
            <w:r>
              <w:rPr>
                <w:rFonts w:ascii="Arial" w:cs="Arial" w:eastAsia="Arial" w:hAnsi="Arial"/>
                <w:sz w:val="17"/>
                <w:szCs w:val="17"/>
                <w:color w:val="auto"/>
              </w:rPr>
              <w:t>Installment</w:t>
            </w:r>
          </w:p>
        </w:tc>
        <w:tc>
          <w:tcPr>
            <w:tcW w:w="4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Home equity - 1st lien</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80" w:type="dxa"/>
            <w:vAlign w:val="bottom"/>
          </w:tcPr>
          <w:p>
            <w:pPr>
              <w:ind w:left="280"/>
              <w:spacing w:after="0"/>
              <w:rPr>
                <w:sz w:val="20"/>
                <w:szCs w:val="20"/>
                <w:color w:val="auto"/>
              </w:rPr>
            </w:pPr>
            <w:r>
              <w:rPr>
                <w:rFonts w:ascii="Arial" w:cs="Arial" w:eastAsia="Arial" w:hAnsi="Arial"/>
                <w:sz w:val="17"/>
                <w:szCs w:val="17"/>
                <w:color w:val="auto"/>
              </w:rPr>
              <w:t>Home equity - 2nd lien</w:t>
            </w:r>
          </w:p>
        </w:tc>
        <w:tc>
          <w:tcPr>
            <w:tcW w:w="5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Loans not secured by real estate</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Pr>
          <w:p>
            <w:pPr>
              <w:ind w:left="280"/>
              <w:spacing w:after="0"/>
              <w:rPr>
                <w:sz w:val="20"/>
                <w:szCs w:val="20"/>
                <w:color w:val="auto"/>
              </w:rPr>
            </w:pPr>
            <w:r>
              <w:rPr>
                <w:rFonts w:ascii="Arial" w:cs="Arial" w:eastAsia="Arial" w:hAnsi="Arial"/>
                <w:sz w:val="17"/>
                <w:szCs w:val="17"/>
                <w:color w:val="auto"/>
              </w:rPr>
              <w:t>Other</w:t>
            </w:r>
          </w:p>
        </w:tc>
        <w:tc>
          <w:tcPr>
            <w:tcW w:w="5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53"/>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100" w:type="dxa"/>
            <w:vAlign w:val="bottom"/>
          </w:tcPr>
          <w:p>
            <w:pPr>
              <w:jc w:val="right"/>
              <w:ind w:right="2936"/>
              <w:spacing w:after="0"/>
              <w:rPr>
                <w:sz w:val="20"/>
                <w:szCs w:val="20"/>
                <w:color w:val="auto"/>
              </w:rPr>
            </w:pPr>
            <w:r>
              <w:rPr>
                <w:rFonts w:ascii="Arial" w:cs="Arial" w:eastAsia="Arial" w:hAnsi="Arial"/>
                <w:sz w:val="14"/>
                <w:szCs w:val="14"/>
                <w:color w:val="auto"/>
              </w:rPr>
              <w:t>27</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Loans that have been classified as troubled debt restructurings during the past twelve months and that have subsequently defaulted during the six-month periods ended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June 30 follow: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1380" w:type="dxa"/>
            <w:vAlign w:val="bottom"/>
            <w:gridSpan w:val="2"/>
          </w:tcPr>
          <w:p>
            <w:pPr>
              <w:ind w:left="200"/>
              <w:spacing w:after="0"/>
              <w:rPr>
                <w:sz w:val="20"/>
                <w:szCs w:val="20"/>
                <w:color w:val="auto"/>
              </w:rPr>
            </w:pPr>
            <w:r>
              <w:rPr>
                <w:rFonts w:ascii="Arial" w:cs="Arial" w:eastAsia="Arial" w:hAnsi="Arial"/>
                <w:sz w:val="17"/>
                <w:szCs w:val="17"/>
                <w:color w:val="auto"/>
              </w:rPr>
              <w:t>Number of</w:t>
            </w:r>
          </w:p>
        </w:tc>
        <w:tc>
          <w:tcPr>
            <w:tcW w:w="16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w w:val="97"/>
              </w:rPr>
              <w:t>Recorded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1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Contracts</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Balance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00" w:type="dxa"/>
            <w:vAlign w:val="bottom"/>
            <w:gridSpan w:val="2"/>
            <w:vMerge w:val="restart"/>
          </w:tcPr>
          <w:p>
            <w:pPr>
              <w:jc w:val="right"/>
              <w:ind w:right="8375"/>
              <w:spacing w:after="0"/>
              <w:rPr>
                <w:sz w:val="20"/>
                <w:szCs w:val="20"/>
                <w:color w:val="auto"/>
              </w:rPr>
            </w:pPr>
            <w:r>
              <w:rPr>
                <w:rFonts w:ascii="Arial" w:cs="Arial" w:eastAsia="Arial" w:hAnsi="Arial"/>
                <w:sz w:val="17"/>
                <w:szCs w:val="17"/>
                <w:color w:val="auto"/>
                <w:w w:val="84"/>
              </w:rPr>
              <w:t>2016</w:t>
            </w:r>
          </w:p>
        </w:tc>
        <w:tc>
          <w:tcPr>
            <w:tcW w:w="2620" w:type="dxa"/>
            <w:vAlign w:val="bottom"/>
            <w:gridSpan w:val="5"/>
          </w:tcPr>
          <w:p>
            <w:pPr>
              <w:jc w:val="right"/>
              <w:ind w:right="600"/>
              <w:spacing w:after="0"/>
              <w:rPr>
                <w:sz w:val="20"/>
                <w:szCs w:val="20"/>
                <w:color w:val="auto"/>
              </w:rPr>
            </w:pPr>
            <w:r>
              <w:rPr>
                <w:rFonts w:ascii="Arial" w:cs="Arial" w:eastAsia="Arial" w:hAnsi="Arial"/>
                <w:sz w:val="17"/>
                <w:szCs w:val="17"/>
                <w:color w:val="auto"/>
              </w:rPr>
              <w:t>(Dollars in thousands)</w:t>
            </w:r>
          </w:p>
        </w:tc>
        <w:tc>
          <w:tcPr>
            <w:tcW w:w="0" w:type="dxa"/>
            <w:vAlign w:val="bottom"/>
          </w:tcPr>
          <w:p>
            <w:pPr>
              <w:spacing w:after="0"/>
              <w:rPr>
                <w:sz w:val="1"/>
                <w:szCs w:val="1"/>
                <w:color w:val="auto"/>
              </w:rPr>
            </w:pPr>
          </w:p>
        </w:tc>
      </w:tr>
      <w:tr>
        <w:trPr>
          <w:trHeight w:val="180"/>
        </w:trPr>
        <w:tc>
          <w:tcPr>
            <w:tcW w:w="880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140"/>
              <w:spacing w:after="0"/>
              <w:rPr>
                <w:sz w:val="20"/>
                <w:szCs w:val="20"/>
                <w:color w:val="auto"/>
              </w:rPr>
            </w:pPr>
            <w:r>
              <w:rPr>
                <w:rFonts w:ascii="Arial" w:cs="Arial" w:eastAsia="Arial" w:hAnsi="Arial"/>
                <w:sz w:val="17"/>
                <w:szCs w:val="17"/>
                <w:color w:val="auto"/>
              </w:rPr>
              <w:t>Commercial</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Income producing - real estate</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780" w:type="dxa"/>
            <w:vAlign w:val="bottom"/>
          </w:tcPr>
          <w:p>
            <w:pPr>
              <w:ind w:left="280"/>
              <w:spacing w:after="0"/>
              <w:rPr>
                <w:sz w:val="20"/>
                <w:szCs w:val="20"/>
                <w:color w:val="auto"/>
              </w:rPr>
            </w:pPr>
            <w:r>
              <w:rPr>
                <w:rFonts w:ascii="Arial" w:cs="Arial" w:eastAsia="Arial" w:hAnsi="Arial"/>
                <w:sz w:val="17"/>
                <w:szCs w:val="17"/>
                <w:color w:val="auto"/>
              </w:rPr>
              <w:t>Land, land development &amp; construction-real estate</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Commercial and industrial</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780" w:type="dxa"/>
            <w:vAlign w:val="bottom"/>
          </w:tcPr>
          <w:p>
            <w:pPr>
              <w:ind w:left="140"/>
              <w:spacing w:after="0"/>
              <w:rPr>
                <w:sz w:val="20"/>
                <w:szCs w:val="20"/>
                <w:color w:val="auto"/>
              </w:rPr>
            </w:pPr>
            <w:r>
              <w:rPr>
                <w:rFonts w:ascii="Arial" w:cs="Arial" w:eastAsia="Arial" w:hAnsi="Arial"/>
                <w:sz w:val="17"/>
                <w:szCs w:val="17"/>
                <w:color w:val="auto"/>
              </w:rPr>
              <w:t>Mortgage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1-4 family</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780" w:type="dxa"/>
            <w:vAlign w:val="bottom"/>
          </w:tcPr>
          <w:p>
            <w:pPr>
              <w:ind w:left="280"/>
              <w:spacing w:after="0"/>
              <w:rPr>
                <w:sz w:val="20"/>
                <w:szCs w:val="20"/>
                <w:color w:val="auto"/>
              </w:rPr>
            </w:pPr>
            <w:r>
              <w:rPr>
                <w:rFonts w:ascii="Arial" w:cs="Arial" w:eastAsia="Arial" w:hAnsi="Arial"/>
                <w:sz w:val="17"/>
                <w:szCs w:val="17"/>
                <w:color w:val="auto"/>
              </w:rPr>
              <w:t>Resort lending</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Home equity - 1st lien</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780" w:type="dxa"/>
            <w:vAlign w:val="bottom"/>
          </w:tcPr>
          <w:p>
            <w:pPr>
              <w:ind w:left="280"/>
              <w:spacing w:after="0"/>
              <w:rPr>
                <w:sz w:val="20"/>
                <w:szCs w:val="20"/>
                <w:color w:val="auto"/>
              </w:rPr>
            </w:pPr>
            <w:r>
              <w:rPr>
                <w:rFonts w:ascii="Arial" w:cs="Arial" w:eastAsia="Arial" w:hAnsi="Arial"/>
                <w:sz w:val="17"/>
                <w:szCs w:val="17"/>
                <w:color w:val="auto"/>
              </w:rPr>
              <w:t>Home equity - 2nd lien</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Installment</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780" w:type="dxa"/>
            <w:vAlign w:val="bottom"/>
          </w:tcPr>
          <w:p>
            <w:pPr>
              <w:ind w:left="280"/>
              <w:spacing w:after="0"/>
              <w:rPr>
                <w:sz w:val="20"/>
                <w:szCs w:val="20"/>
                <w:color w:val="auto"/>
              </w:rPr>
            </w:pPr>
            <w:r>
              <w:rPr>
                <w:rFonts w:ascii="Arial" w:cs="Arial" w:eastAsia="Arial" w:hAnsi="Arial"/>
                <w:sz w:val="17"/>
                <w:szCs w:val="17"/>
                <w:color w:val="auto"/>
              </w:rPr>
              <w:t>Home equity - 1st lien</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Home equity - 2nd lien</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780" w:type="dxa"/>
            <w:vAlign w:val="bottom"/>
          </w:tcPr>
          <w:p>
            <w:pPr>
              <w:ind w:left="280"/>
              <w:spacing w:after="0"/>
              <w:rPr>
                <w:sz w:val="20"/>
                <w:szCs w:val="20"/>
                <w:color w:val="auto"/>
              </w:rPr>
            </w:pPr>
            <w:r>
              <w:rPr>
                <w:rFonts w:ascii="Arial" w:cs="Arial" w:eastAsia="Arial" w:hAnsi="Arial"/>
                <w:sz w:val="17"/>
                <w:szCs w:val="17"/>
                <w:color w:val="auto"/>
              </w:rPr>
              <w:t>Loans not secured by real estate</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Other</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0" w:type="dxa"/>
            <w:vAlign w:val="bottom"/>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87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2015</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780" w:type="dxa"/>
            <w:vAlign w:val="bottom"/>
          </w:tcPr>
          <w:p>
            <w:pPr>
              <w:ind w:left="280"/>
              <w:spacing w:after="0"/>
              <w:rPr>
                <w:sz w:val="20"/>
                <w:szCs w:val="20"/>
                <w:color w:val="auto"/>
              </w:rPr>
            </w:pPr>
            <w:r>
              <w:rPr>
                <w:rFonts w:ascii="Arial" w:cs="Arial" w:eastAsia="Arial" w:hAnsi="Arial"/>
                <w:sz w:val="17"/>
                <w:szCs w:val="17"/>
                <w:color w:val="auto"/>
              </w:rPr>
              <w:t>Income producing - real estate</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Land, land development &amp; construction-real estate</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780" w:type="dxa"/>
            <w:vAlign w:val="bottom"/>
          </w:tcPr>
          <w:p>
            <w:pPr>
              <w:ind w:left="280"/>
              <w:spacing w:after="0"/>
              <w:rPr>
                <w:sz w:val="20"/>
                <w:szCs w:val="20"/>
                <w:color w:val="auto"/>
              </w:rPr>
            </w:pPr>
            <w:r>
              <w:rPr>
                <w:rFonts w:ascii="Arial" w:cs="Arial" w:eastAsia="Arial" w:hAnsi="Arial"/>
                <w:sz w:val="17"/>
                <w:szCs w:val="17"/>
                <w:color w:val="auto"/>
              </w:rPr>
              <w:t>Commercial and industrial</w:t>
            </w:r>
          </w:p>
        </w:tc>
        <w:tc>
          <w:tcPr>
            <w:tcW w:w="1140" w:type="dxa"/>
            <w:vAlign w:val="bottom"/>
          </w:tcPr>
          <w:p>
            <w:pPr>
              <w:jc w:val="right"/>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Mortgage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780" w:type="dxa"/>
            <w:vAlign w:val="bottom"/>
          </w:tcPr>
          <w:p>
            <w:pPr>
              <w:ind w:left="280"/>
              <w:spacing w:after="0"/>
              <w:rPr>
                <w:sz w:val="20"/>
                <w:szCs w:val="20"/>
                <w:color w:val="auto"/>
              </w:rPr>
            </w:pPr>
            <w:r>
              <w:rPr>
                <w:rFonts w:ascii="Arial" w:cs="Arial" w:eastAsia="Arial" w:hAnsi="Arial"/>
                <w:sz w:val="17"/>
                <w:szCs w:val="17"/>
                <w:color w:val="auto"/>
              </w:rPr>
              <w:t>1-4 family</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Resort lending</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780" w:type="dxa"/>
            <w:vAlign w:val="bottom"/>
          </w:tcPr>
          <w:p>
            <w:pPr>
              <w:ind w:left="280"/>
              <w:spacing w:after="0"/>
              <w:rPr>
                <w:sz w:val="20"/>
                <w:szCs w:val="20"/>
                <w:color w:val="auto"/>
              </w:rPr>
            </w:pPr>
            <w:r>
              <w:rPr>
                <w:rFonts w:ascii="Arial" w:cs="Arial" w:eastAsia="Arial" w:hAnsi="Arial"/>
                <w:sz w:val="17"/>
                <w:szCs w:val="17"/>
                <w:color w:val="auto"/>
              </w:rPr>
              <w:t>Home equity - 1st lien</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Home equity - 2nd lien</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780" w:type="dxa"/>
            <w:vAlign w:val="bottom"/>
          </w:tcPr>
          <w:p>
            <w:pPr>
              <w:ind w:left="140"/>
              <w:spacing w:after="0"/>
              <w:rPr>
                <w:sz w:val="20"/>
                <w:szCs w:val="20"/>
                <w:color w:val="auto"/>
              </w:rPr>
            </w:pPr>
            <w:r>
              <w:rPr>
                <w:rFonts w:ascii="Arial" w:cs="Arial" w:eastAsia="Arial" w:hAnsi="Arial"/>
                <w:sz w:val="17"/>
                <w:szCs w:val="17"/>
                <w:color w:val="auto"/>
              </w:rPr>
              <w:t>Installment</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Home equity - 1st lien</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780" w:type="dxa"/>
            <w:vAlign w:val="bottom"/>
          </w:tcPr>
          <w:p>
            <w:pPr>
              <w:ind w:left="280"/>
              <w:spacing w:after="0"/>
              <w:rPr>
                <w:sz w:val="20"/>
                <w:szCs w:val="20"/>
                <w:color w:val="auto"/>
              </w:rPr>
            </w:pPr>
            <w:r>
              <w:rPr>
                <w:rFonts w:ascii="Arial" w:cs="Arial" w:eastAsia="Arial" w:hAnsi="Arial"/>
                <w:sz w:val="17"/>
                <w:szCs w:val="17"/>
                <w:color w:val="auto"/>
              </w:rPr>
              <w:t>Home equity - 2nd lien</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Loans not secured by real estate</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80" w:type="dxa"/>
            <w:vAlign w:val="bottom"/>
          </w:tcPr>
          <w:p>
            <w:pPr>
              <w:ind w:left="280"/>
              <w:spacing w:after="0"/>
              <w:rPr>
                <w:sz w:val="20"/>
                <w:szCs w:val="20"/>
                <w:color w:val="auto"/>
              </w:rPr>
            </w:pPr>
            <w:r>
              <w:rPr>
                <w:rFonts w:ascii="Arial" w:cs="Arial" w:eastAsia="Arial" w:hAnsi="Arial"/>
                <w:sz w:val="17"/>
                <w:szCs w:val="17"/>
                <w:color w:val="auto"/>
              </w:rPr>
              <w:t>Other</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7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A loan is considered to be in payment default generally once it is 90 days contractually past due under the modified terms.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There were no troubled debt restructurings that subsequently defaulted during the three and six months ended June 30, 2016.</w:t>
      </w:r>
    </w:p>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troubled debt restructurings that subsequently defaulted described above for 2015 had no impact on the allowance for loan losses and resulted in zero charge offs during the three months ended June 30, 2015 and decreased the allowance for loan losses by $0.01 million and resulted in zero charge offs during the six months ended June 30, 2015.</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18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 xml:space="preserve">Credit Quality Indicators </w:t>
      </w:r>
      <w:r>
        <w:rPr>
          <w:rFonts w:ascii="Arial" w:cs="Arial" w:eastAsia="Arial" w:hAnsi="Arial"/>
          <w:sz w:val="17"/>
          <w:szCs w:val="17"/>
          <w:color w:val="auto"/>
        </w:rPr>
        <w:t>– As part of our on on-going monitoring of the credit quality of our loan portfolios, we track certain credit quality indicators including (a)</w:t>
      </w:r>
      <w:r>
        <w:rPr>
          <w:rFonts w:ascii="Arial" w:cs="Arial" w:eastAsia="Arial" w:hAnsi="Arial"/>
          <w:sz w:val="17"/>
          <w:szCs w:val="17"/>
          <w:b w:val="1"/>
          <w:bCs w:val="1"/>
          <w:color w:val="auto"/>
        </w:rPr>
        <w:t xml:space="preserve"> </w:t>
      </w:r>
      <w:r>
        <w:rPr>
          <w:rFonts w:ascii="Arial" w:cs="Arial" w:eastAsia="Arial" w:hAnsi="Arial"/>
          <w:sz w:val="17"/>
          <w:szCs w:val="17"/>
          <w:color w:val="auto"/>
        </w:rPr>
        <w:t>weighted-average risk grade of commercial loans, (b) the level of classified commercial loans, (c) credit scores of mortgage and installment loan borrowers, (d) financial performance of certain counterparties for payment plan receivables and (e) delinquency history and non-performing loans.</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For commercial loans, we use a loan rating system that is similar to those employed by state and federal banking regulators. Loans are graded on a scale of 1 to 12. A description of the general characteristics of the ratings follows:</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Rating 1 through 6</w:t>
      </w:r>
      <w:r>
        <w:rPr>
          <w:rFonts w:ascii="Arial" w:cs="Arial" w:eastAsia="Arial" w:hAnsi="Arial"/>
          <w:sz w:val="17"/>
          <w:szCs w:val="17"/>
          <w:color w:val="auto"/>
        </w:rPr>
        <w:t>: These loans are generally referred to as our “non-watch” commercial credits that include very high or exceptional credit fundamentals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acceptable credit fundamentals.</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Rating 7 and 8</w:t>
      </w:r>
      <w:r>
        <w:rPr>
          <w:rFonts w:ascii="Arial" w:cs="Arial" w:eastAsia="Arial" w:hAnsi="Arial"/>
          <w:sz w:val="17"/>
          <w:szCs w:val="17"/>
          <w:color w:val="auto"/>
        </w:rPr>
        <w:t>: These loans are generally referred to as our “watch” commercial credits. This rating includes loans to borrowers that exhibit potential credit weakness</w:t>
      </w:r>
      <w:r>
        <w:rPr>
          <w:rFonts w:ascii="Arial" w:cs="Arial" w:eastAsia="Arial" w:hAnsi="Arial"/>
          <w:sz w:val="17"/>
          <w:szCs w:val="17"/>
          <w:i w:val="1"/>
          <w:iCs w:val="1"/>
          <w:color w:val="auto"/>
        </w:rPr>
        <w:t xml:space="preserve"> </w:t>
      </w:r>
      <w:r>
        <w:rPr>
          <w:rFonts w:ascii="Arial" w:cs="Arial" w:eastAsia="Arial" w:hAnsi="Arial"/>
          <w:sz w:val="17"/>
          <w:szCs w:val="17"/>
          <w:color w:val="auto"/>
        </w:rPr>
        <w:t>or downward trends. If not checked or cured these trends could weaken our asset or credit position. While potentially weak, no loss of principal or interest is envisioned with these ratings.</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Rating 9</w:t>
      </w:r>
      <w:r>
        <w:rPr>
          <w:rFonts w:ascii="Arial" w:cs="Arial" w:eastAsia="Arial" w:hAnsi="Arial"/>
          <w:sz w:val="17"/>
          <w:szCs w:val="17"/>
          <w:color w:val="auto"/>
        </w:rPr>
        <w:t>: These loans are generally referred to as our “substandard accruing” commercial credits. This rating includes loans to borrowers that exhibit a well-defined</w:t>
      </w:r>
      <w:r>
        <w:rPr>
          <w:rFonts w:ascii="Arial" w:cs="Arial" w:eastAsia="Arial" w:hAnsi="Arial"/>
          <w:sz w:val="17"/>
          <w:szCs w:val="17"/>
          <w:i w:val="1"/>
          <w:iCs w:val="1"/>
          <w:color w:val="auto"/>
        </w:rPr>
        <w:t xml:space="preserve"> </w:t>
      </w:r>
      <w:r>
        <w:rPr>
          <w:rFonts w:ascii="Arial" w:cs="Arial" w:eastAsia="Arial" w:hAnsi="Arial"/>
          <w:sz w:val="17"/>
          <w:szCs w:val="17"/>
          <w:color w:val="auto"/>
        </w:rPr>
        <w:t>weakness where payment default is probable and loss is possible if deficiencies are not corrected. Generally, loans with this rating are considered collectible as to both principal and interest primarily due to collateral coverage.</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Rating 10 and 11</w:t>
      </w:r>
      <w:r>
        <w:rPr>
          <w:rFonts w:ascii="Arial" w:cs="Arial" w:eastAsia="Arial" w:hAnsi="Arial"/>
          <w:sz w:val="17"/>
          <w:szCs w:val="17"/>
          <w:color w:val="auto"/>
        </w:rPr>
        <w:t>: These loans are generally referred to as our “substandard - non-accrual” and “doubtful” commercial credits. This rating includes loans to borrowers</w:t>
      </w:r>
      <w:r>
        <w:rPr>
          <w:rFonts w:ascii="Arial" w:cs="Arial" w:eastAsia="Arial" w:hAnsi="Arial"/>
          <w:sz w:val="17"/>
          <w:szCs w:val="17"/>
          <w:i w:val="1"/>
          <w:iCs w:val="1"/>
          <w:color w:val="auto"/>
        </w:rPr>
        <w:t xml:space="preserve"> </w:t>
      </w:r>
      <w:r>
        <w:rPr>
          <w:rFonts w:ascii="Arial" w:cs="Arial" w:eastAsia="Arial" w:hAnsi="Arial"/>
          <w:sz w:val="17"/>
          <w:szCs w:val="17"/>
          <w:color w:val="auto"/>
        </w:rPr>
        <w:t>with weaknesses that make collection of debt in full, on the basis of current facts, conditions and values at best questionable and at worst improbable. All of these loans are placed in non-accrual.</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Rating 12</w:t>
      </w:r>
      <w:r>
        <w:rPr>
          <w:rFonts w:ascii="Arial" w:cs="Arial" w:eastAsia="Arial" w:hAnsi="Arial"/>
          <w:sz w:val="17"/>
          <w:szCs w:val="17"/>
          <w:color w:val="auto"/>
        </w:rPr>
        <w:t>: These loans are generally referred to as our “loss” commercial credits. This rating includes loans to borrowers that are deemed incapable of repayment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are charged-off.</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loan ratings by loan class for our commercial loan segment: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7"/>
                <w:szCs w:val="17"/>
                <w:color w:val="auto"/>
                <w:w w:val="92"/>
              </w:rPr>
              <w:t>Commercial</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120"/>
              <w:spacing w:after="0" w:line="191" w:lineRule="exact"/>
              <w:rPr>
                <w:sz w:val="20"/>
                <w:szCs w:val="20"/>
                <w:color w:val="auto"/>
              </w:rPr>
            </w:pPr>
            <w:r>
              <w:rPr>
                <w:rFonts w:ascii="Arial" w:cs="Arial" w:eastAsia="Arial" w:hAnsi="Arial"/>
                <w:sz w:val="17"/>
                <w:szCs w:val="17"/>
                <w:color w:val="auto"/>
                <w:w w:val="85"/>
              </w:rPr>
              <w:t>Substandard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40"/>
              <w:spacing w:after="0" w:line="191" w:lineRule="exact"/>
              <w:rPr>
                <w:sz w:val="20"/>
                <w:szCs w:val="20"/>
                <w:color w:val="auto"/>
              </w:rPr>
            </w:pPr>
            <w:r>
              <w:rPr>
                <w:rFonts w:ascii="Arial" w:cs="Arial" w:eastAsia="Arial" w:hAnsi="Arial"/>
                <w:sz w:val="17"/>
                <w:szCs w:val="17"/>
                <w:color w:val="auto"/>
                <w:w w:val="92"/>
              </w:rPr>
              <w:t>Non-</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Arial" w:cs="Arial" w:eastAsia="Arial" w:hAnsi="Arial"/>
                <w:sz w:val="17"/>
                <w:szCs w:val="17"/>
                <w:color w:val="auto"/>
              </w:rPr>
              <w:t>Non-watch</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ind w:left="160"/>
              <w:spacing w:after="0"/>
              <w:rPr>
                <w:sz w:val="20"/>
                <w:szCs w:val="20"/>
                <w:color w:val="auto"/>
              </w:rPr>
            </w:pPr>
            <w:r>
              <w:rPr>
                <w:rFonts w:ascii="Arial" w:cs="Arial" w:eastAsia="Arial" w:hAnsi="Arial"/>
                <w:sz w:val="17"/>
                <w:szCs w:val="17"/>
                <w:color w:val="auto"/>
              </w:rPr>
              <w:t>Watch</w:t>
            </w: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Accrual</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7"/>
                <w:szCs w:val="17"/>
                <w:color w:val="auto"/>
                <w:w w:val="95"/>
              </w:rPr>
              <w:t>Accrual</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15"/>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35"/>
              <w:spacing w:after="0"/>
              <w:rPr>
                <w:sz w:val="20"/>
                <w:szCs w:val="20"/>
                <w:color w:val="auto"/>
              </w:rPr>
            </w:pPr>
            <w:r>
              <w:rPr>
                <w:rFonts w:ascii="Arial" w:cs="Arial" w:eastAsia="Arial" w:hAnsi="Arial"/>
                <w:sz w:val="17"/>
                <w:szCs w:val="17"/>
                <w:color w:val="auto"/>
              </w:rPr>
              <w:t>7-8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ind w:right="15"/>
              <w:spacing w:after="0"/>
              <w:rPr>
                <w:sz w:val="20"/>
                <w:szCs w:val="20"/>
                <w:color w:val="auto"/>
              </w:rPr>
            </w:pPr>
            <w:r>
              <w:rPr>
                <w:rFonts w:ascii="Arial" w:cs="Arial" w:eastAsia="Arial" w:hAnsi="Arial"/>
                <w:sz w:val="17"/>
                <w:szCs w:val="17"/>
                <w:color w:val="auto"/>
                <w:w w:val="87"/>
              </w:rPr>
              <w:t>10-11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15"/>
        </w:trPr>
        <w:tc>
          <w:tcPr>
            <w:tcW w:w="4680" w:type="dxa"/>
            <w:vAlign w:val="bottom"/>
            <w:gridSpan w:val="2"/>
            <w:vMerge w:val="restart"/>
          </w:tcPr>
          <w:p>
            <w:pPr>
              <w:spacing w:after="0"/>
              <w:rPr>
                <w:sz w:val="20"/>
                <w:szCs w:val="20"/>
                <w:color w:val="auto"/>
              </w:rPr>
            </w:pPr>
            <w:r>
              <w:rPr>
                <w:rFonts w:ascii="Arial" w:cs="Arial" w:eastAsia="Arial" w:hAnsi="Arial"/>
                <w:sz w:val="17"/>
                <w:szCs w:val="17"/>
                <w:color w:val="auto"/>
              </w:rPr>
              <w:t>June 30, 2016</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(In thousands)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6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producing - 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300,344</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06"/>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5,334</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1,050</w:t>
            </w:r>
          </w:p>
        </w:tc>
        <w:tc>
          <w:tcPr>
            <w:tcW w:w="34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950</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307,678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140"/>
              <w:spacing w:after="0"/>
              <w:rPr>
                <w:sz w:val="20"/>
                <w:szCs w:val="20"/>
                <w:color w:val="auto"/>
              </w:rPr>
            </w:pPr>
            <w:r>
              <w:rPr>
                <w:rFonts w:ascii="Arial" w:cs="Arial" w:eastAsia="Arial" w:hAnsi="Arial"/>
                <w:sz w:val="17"/>
                <w:szCs w:val="17"/>
                <w:color w:val="auto"/>
              </w:rPr>
              <w:t>Land, land development and construction - real estate</w:t>
            </w: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46,529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1,669</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114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133</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48,445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and industrial</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416,102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12,516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6,322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2,533</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437,473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280"/>
              <w:spacing w:after="0"/>
              <w:rPr>
                <w:sz w:val="20"/>
                <w:szCs w:val="20"/>
                <w:color w:val="auto"/>
              </w:rPr>
            </w:pPr>
            <w:r>
              <w:rPr>
                <w:rFonts w:ascii="Arial" w:cs="Arial" w:eastAsia="Arial" w:hAnsi="Arial"/>
                <w:sz w:val="17"/>
                <w:szCs w:val="17"/>
                <w:color w:val="auto"/>
              </w:rPr>
              <w:t>Total</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762,975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19,519</w:t>
            </w:r>
          </w:p>
        </w:tc>
        <w:tc>
          <w:tcPr>
            <w:tcW w:w="2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7,486</w:t>
            </w:r>
          </w:p>
        </w:tc>
        <w:tc>
          <w:tcPr>
            <w:tcW w:w="34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3,616</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793,596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Accrued interest included in 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2015</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140"/>
              <w:spacing w:after="0"/>
              <w:rPr>
                <w:sz w:val="20"/>
                <w:szCs w:val="20"/>
                <w:color w:val="auto"/>
              </w:rPr>
            </w:pPr>
            <w:r>
              <w:rPr>
                <w:rFonts w:ascii="Arial" w:cs="Arial" w:eastAsia="Arial" w:hAnsi="Arial"/>
                <w:sz w:val="17"/>
                <w:szCs w:val="17"/>
                <w:color w:val="auto"/>
              </w:rPr>
              <w:t>Income producing - real estate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296,898</w:t>
            </w:r>
          </w:p>
        </w:tc>
        <w:tc>
          <w:tcPr>
            <w:tcW w:w="100" w:type="dxa"/>
            <w:vAlign w:val="bottom"/>
          </w:tcPr>
          <w:p>
            <w:pPr>
              <w:spacing w:after="0"/>
              <w:rPr>
                <w:sz w:val="17"/>
                <w:szCs w:val="17"/>
                <w:color w:val="auto"/>
              </w:rPr>
            </w:pPr>
          </w:p>
        </w:tc>
        <w:tc>
          <w:tcPr>
            <w:tcW w:w="380" w:type="dxa"/>
            <w:vAlign w:val="bottom"/>
            <w:gridSpan w:val="2"/>
          </w:tcPr>
          <w:p>
            <w:pPr>
              <w:jc w:val="right"/>
              <w:ind w:right="106"/>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6,866</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1,423</w:t>
            </w:r>
          </w:p>
        </w:tc>
        <w:tc>
          <w:tcPr>
            <w:tcW w:w="34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1,027</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306,214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Land, land development and construction - real estate</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40,844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2,995</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401</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44,483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Pr>
          <w:p>
            <w:pPr>
              <w:ind w:left="140"/>
              <w:spacing w:after="0"/>
              <w:rPr>
                <w:sz w:val="20"/>
                <w:szCs w:val="20"/>
                <w:color w:val="auto"/>
              </w:rPr>
            </w:pPr>
            <w:r>
              <w:rPr>
                <w:rFonts w:ascii="Arial" w:cs="Arial" w:eastAsia="Arial" w:hAnsi="Arial"/>
                <w:sz w:val="17"/>
                <w:szCs w:val="17"/>
                <w:color w:val="auto"/>
              </w:rPr>
              <w:t>Commercial and industrial</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371,357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19,502</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6,683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2,028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399,570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709,099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29,363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3,456</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750,267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Accrued interest included in total</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1,729</w:t>
            </w:r>
          </w:p>
        </w:tc>
        <w:tc>
          <w:tcPr>
            <w:tcW w:w="100" w:type="dxa"/>
            <w:vAlign w:val="bottom"/>
          </w:tcPr>
          <w:p>
            <w:pPr>
              <w:spacing w:after="0"/>
              <w:rPr>
                <w:sz w:val="16"/>
                <w:szCs w:val="16"/>
                <w:color w:val="auto"/>
              </w:rPr>
            </w:pPr>
          </w:p>
        </w:tc>
        <w:tc>
          <w:tcPr>
            <w:tcW w:w="380" w:type="dxa"/>
            <w:vAlign w:val="bottom"/>
            <w:gridSpan w:val="2"/>
          </w:tcPr>
          <w:p>
            <w:pPr>
              <w:jc w:val="right"/>
              <w:ind w:right="106"/>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108</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32</w:t>
            </w:r>
          </w:p>
        </w:tc>
        <w:tc>
          <w:tcPr>
            <w:tcW w:w="34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1,869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For each of our mortgage and installment segment classes, we generally monitor credit quality based on the credit scores of the borrowers. These credit scores are generally updated semi-annually.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credit scores by loan class for our mortgage and installment loan segments: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6"/>
          </w:tcPr>
          <w:p>
            <w:pPr>
              <w:ind w:left="600"/>
              <w:spacing w:after="0"/>
              <w:rPr>
                <w:sz w:val="20"/>
                <w:szCs w:val="20"/>
                <w:color w:val="auto"/>
              </w:rPr>
            </w:pPr>
            <w:r>
              <w:rPr>
                <w:rFonts w:ascii="Arial" w:cs="Arial" w:eastAsia="Arial" w:hAnsi="Arial"/>
                <w:sz w:val="17"/>
                <w:szCs w:val="17"/>
                <w:color w:val="auto"/>
              </w:rPr>
              <w:t>Mortgage (1)</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20"/>
              <w:spacing w:after="0" w:line="191" w:lineRule="exact"/>
              <w:rPr>
                <w:sz w:val="20"/>
                <w:szCs w:val="20"/>
                <w:color w:val="auto"/>
              </w:rPr>
            </w:pPr>
            <w:r>
              <w:rPr>
                <w:rFonts w:ascii="Arial" w:cs="Arial" w:eastAsia="Arial" w:hAnsi="Arial"/>
                <w:sz w:val="17"/>
                <w:szCs w:val="17"/>
                <w:color w:val="auto"/>
                <w:w w:val="92"/>
              </w:rPr>
              <w:t>Home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380"/>
              <w:spacing w:after="0" w:line="191" w:lineRule="exact"/>
              <w:rPr>
                <w:sz w:val="20"/>
                <w:szCs w:val="20"/>
                <w:color w:val="auto"/>
              </w:rPr>
            </w:pPr>
            <w:r>
              <w:rPr>
                <w:rFonts w:ascii="Arial" w:cs="Arial" w:eastAsia="Arial" w:hAnsi="Arial"/>
                <w:sz w:val="17"/>
                <w:szCs w:val="17"/>
                <w:color w:val="auto"/>
                <w:w w:val="92"/>
              </w:rPr>
              <w:t>Home</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7"/>
                <w:szCs w:val="17"/>
                <w:color w:val="auto"/>
              </w:rPr>
              <w:t>Resort</w:t>
            </w:r>
          </w:p>
        </w:tc>
        <w:tc>
          <w:tcPr>
            <w:tcW w:w="18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7"/>
                <w:szCs w:val="17"/>
                <w:color w:val="auto"/>
                <w:w w:val="97"/>
              </w:rPr>
              <w:t>Equity</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7"/>
                <w:szCs w:val="17"/>
                <w:color w:val="auto"/>
                <w:w w:val="97"/>
              </w:rPr>
              <w:t>Equity</w:t>
            </w:r>
          </w:p>
        </w:tc>
        <w:tc>
          <w:tcPr>
            <w:tcW w:w="160" w:type="dxa"/>
            <w:vAlign w:val="bottom"/>
          </w:tcPr>
          <w:p>
            <w:pPr>
              <w:spacing w:after="0"/>
              <w:rPr>
                <w:sz w:val="17"/>
                <w:szCs w:val="17"/>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7"/>
                <w:szCs w:val="17"/>
                <w:color w:val="auto"/>
                <w:w w:val="91"/>
              </w:rPr>
              <w:t>Purchased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1-4 Family</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Lending</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90"/>
              </w:rPr>
              <w:t>1st Lien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91"/>
              </w:rPr>
              <w:t>2nd Lien</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Loans</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Total</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20" w:type="dxa"/>
            <w:vAlign w:val="bottom"/>
            <w:gridSpan w:val="2"/>
            <w:vMerge w:val="restart"/>
          </w:tcPr>
          <w:p>
            <w:pPr>
              <w:spacing w:after="0"/>
              <w:rPr>
                <w:sz w:val="20"/>
                <w:szCs w:val="20"/>
                <w:color w:val="auto"/>
              </w:rPr>
            </w:pPr>
            <w:r>
              <w:rPr>
                <w:rFonts w:ascii="Arial" w:cs="Arial" w:eastAsia="Arial" w:hAnsi="Arial"/>
                <w:sz w:val="17"/>
                <w:szCs w:val="17"/>
                <w:color w:val="auto"/>
              </w:rPr>
              <w:t>June 30, 2016</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15"/>
              <w:spacing w:after="0"/>
              <w:rPr>
                <w:sz w:val="20"/>
                <w:szCs w:val="20"/>
                <w:color w:val="auto"/>
              </w:rPr>
            </w:pPr>
            <w:r>
              <w:rPr>
                <w:rFonts w:ascii="Arial" w:cs="Arial" w:eastAsia="Arial" w:hAnsi="Arial"/>
                <w:sz w:val="17"/>
                <w:szCs w:val="17"/>
                <w:color w:val="auto"/>
              </w:rPr>
              <w:t>(In</w:t>
            </w:r>
          </w:p>
        </w:tc>
        <w:tc>
          <w:tcPr>
            <w:tcW w:w="1380" w:type="dxa"/>
            <w:vAlign w:val="bottom"/>
            <w:gridSpan w:val="4"/>
          </w:tcPr>
          <w:p>
            <w:pPr>
              <w:jc w:val="right"/>
              <w:ind w:right="715"/>
              <w:spacing w:after="0"/>
              <w:rPr>
                <w:sz w:val="20"/>
                <w:szCs w:val="20"/>
                <w:color w:val="auto"/>
              </w:rPr>
            </w:pPr>
            <w:r>
              <w:rPr>
                <w:rFonts w:ascii="Arial" w:cs="Arial" w:eastAsia="Arial" w:hAnsi="Arial"/>
                <w:sz w:val="16"/>
                <w:szCs w:val="16"/>
                <w:color w:val="auto"/>
                <w:w w:val="70"/>
              </w:rPr>
              <w:t>thousands)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800 and above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31,459</w:t>
            </w:r>
          </w:p>
        </w:tc>
        <w:tc>
          <w:tcPr>
            <w:tcW w:w="300" w:type="dxa"/>
            <w:vAlign w:val="bottom"/>
            <w:gridSpan w:val="2"/>
            <w:shd w:val="clear" w:color="auto" w:fill="CCEEFF"/>
          </w:tcPr>
          <w:p>
            <w:pPr>
              <w:jc w:val="right"/>
              <w:ind w:right="26"/>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12,187</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w:t>
            </w:r>
          </w:p>
        </w:tc>
        <w:tc>
          <w:tcPr>
            <w:tcW w:w="1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8,476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2,287</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60,409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750-799</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83,455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39,058</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9,279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18,317</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19,259</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169,368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700-749</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59,358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31,410</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10,455</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7,601</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113,664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650-699</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52,187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13,815</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3,646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8,249</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77,897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600-649</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28,791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6,525</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3,375</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40,038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550-599</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15,745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2,485</w:t>
            </w:r>
          </w:p>
        </w:tc>
        <w:tc>
          <w:tcPr>
            <w:tcW w:w="18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743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1,573</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20,546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500-549</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882</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1,280</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11,337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Under 500</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5,332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600</w:t>
            </w:r>
          </w:p>
        </w:tc>
        <w:tc>
          <w:tcPr>
            <w:tcW w:w="18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172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305</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6,409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Unknown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2,071</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823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339</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494</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8,627</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280"/>
              <w:spacing w:after="0" w:line="184" w:lineRule="exact"/>
              <w:rPr>
                <w:sz w:val="20"/>
                <w:szCs w:val="20"/>
                <w:color w:val="auto"/>
              </w:rPr>
            </w:pPr>
            <w:r>
              <w:rPr>
                <w:rFonts w:ascii="Arial" w:cs="Arial" w:eastAsia="Arial" w:hAnsi="Arial"/>
                <w:sz w:val="17"/>
                <w:szCs w:val="17"/>
                <w:color w:val="auto"/>
              </w:rPr>
              <w:t>Total</w:t>
            </w:r>
          </w:p>
        </w:tc>
        <w:tc>
          <w:tcPr>
            <w:tcW w:w="140" w:type="dxa"/>
            <w:vAlign w:val="bottom"/>
          </w:tcPr>
          <w:p>
            <w:pPr>
              <w:jc w:val="right"/>
              <w:spacing w:after="0" w:line="184" w:lineRule="exact"/>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line="184" w:lineRule="exact"/>
              <w:rPr>
                <w:sz w:val="20"/>
                <w:szCs w:val="20"/>
                <w:color w:val="auto"/>
              </w:rPr>
            </w:pPr>
            <w:r>
              <w:rPr>
                <w:rFonts w:ascii="Arial" w:cs="Arial" w:eastAsia="Arial" w:hAnsi="Arial"/>
                <w:sz w:val="17"/>
                <w:szCs w:val="17"/>
                <w:color w:val="auto"/>
              </w:rPr>
              <w:t>289,821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line="184" w:lineRule="exact"/>
              <w:rPr>
                <w:sz w:val="20"/>
                <w:szCs w:val="20"/>
                <w:color w:val="auto"/>
              </w:rPr>
            </w:pPr>
            <w:r>
              <w:rPr>
                <w:rFonts w:ascii="Arial" w:cs="Arial" w:eastAsia="Arial" w:hAnsi="Arial"/>
                <w:sz w:val="17"/>
                <w:szCs w:val="17"/>
                <w:color w:val="auto"/>
              </w:rPr>
              <w:t>109,033</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27,431</w:t>
            </w:r>
          </w:p>
        </w:tc>
        <w:tc>
          <w:tcPr>
            <w:tcW w:w="280" w:type="dxa"/>
            <w:vAlign w:val="bottom"/>
            <w:gridSpan w:val="2"/>
          </w:tcPr>
          <w:p>
            <w:pPr>
              <w:jc w:val="right"/>
              <w:ind w:right="6"/>
              <w:spacing w:after="0" w:line="184" w:lineRule="exact"/>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20"/>
              <w:spacing w:after="0" w:line="184" w:lineRule="exact"/>
              <w:rPr>
                <w:sz w:val="20"/>
                <w:szCs w:val="20"/>
                <w:color w:val="auto"/>
              </w:rPr>
            </w:pPr>
            <w:r>
              <w:rPr>
                <w:rFonts w:ascii="Arial" w:cs="Arial" w:eastAsia="Arial" w:hAnsi="Arial"/>
                <w:sz w:val="17"/>
                <w:szCs w:val="17"/>
                <w:color w:val="auto"/>
              </w:rPr>
              <w:t>52,369</w:t>
            </w:r>
          </w:p>
        </w:tc>
        <w:tc>
          <w:tcPr>
            <w:tcW w:w="160" w:type="dxa"/>
            <w:vAlign w:val="bottom"/>
          </w:tcPr>
          <w:p>
            <w:pPr>
              <w:jc w:val="right"/>
              <w:spacing w:after="0" w:line="184" w:lineRule="exact"/>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240"/>
              <w:spacing w:after="0" w:line="184" w:lineRule="exact"/>
              <w:rPr>
                <w:sz w:val="20"/>
                <w:szCs w:val="20"/>
                <w:color w:val="auto"/>
              </w:rPr>
            </w:pPr>
            <w:r>
              <w:rPr>
                <w:rFonts w:ascii="Arial" w:cs="Arial" w:eastAsia="Arial" w:hAnsi="Arial"/>
                <w:sz w:val="17"/>
                <w:szCs w:val="17"/>
                <w:color w:val="auto"/>
              </w:rPr>
              <w:t>29,641</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line="184" w:lineRule="exact"/>
              <w:rPr>
                <w:sz w:val="20"/>
                <w:szCs w:val="20"/>
                <w:color w:val="auto"/>
              </w:rPr>
            </w:pPr>
            <w:r>
              <w:rPr>
                <w:rFonts w:ascii="Arial" w:cs="Arial" w:eastAsia="Arial" w:hAnsi="Arial"/>
                <w:sz w:val="17"/>
                <w:szCs w:val="17"/>
                <w:color w:val="auto"/>
              </w:rPr>
              <w:t>508,295</w:t>
            </w:r>
          </w:p>
        </w:tc>
        <w:tc>
          <w:tcPr>
            <w:tcW w:w="0" w:type="dxa"/>
            <w:vAlign w:val="bottom"/>
          </w:tcPr>
          <w:p>
            <w:pPr>
              <w:spacing w:after="0"/>
              <w:rPr>
                <w:sz w:val="1"/>
                <w:szCs w:val="1"/>
                <w:color w:val="auto"/>
              </w:rPr>
            </w:pPr>
          </w:p>
        </w:tc>
      </w:tr>
      <w:tr>
        <w:trPr>
          <w:trHeight w:val="20"/>
        </w:trPr>
        <w:tc>
          <w:tcPr>
            <w:tcW w:w="332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3300" w:type="dxa"/>
            <w:vAlign w:val="bottom"/>
            <w:tcBorders>
              <w:bottom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Accrued interest included in total</w:t>
            </w:r>
          </w:p>
        </w:tc>
        <w:tc>
          <w:tcPr>
            <w:tcW w:w="14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1,383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479</w:t>
            </w: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104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210</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98</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2,274</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2015</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800 and above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28,760</w:t>
            </w:r>
          </w:p>
        </w:tc>
        <w:tc>
          <w:tcPr>
            <w:tcW w:w="300" w:type="dxa"/>
            <w:vAlign w:val="bottom"/>
            <w:gridSpan w:val="2"/>
          </w:tcPr>
          <w:p>
            <w:pPr>
              <w:jc w:val="right"/>
              <w:ind w:right="26"/>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13,943</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4,374</w:t>
            </w:r>
          </w:p>
        </w:tc>
        <w:tc>
          <w:tcPr>
            <w:tcW w:w="120" w:type="dxa"/>
            <w:vAlign w:val="bottom"/>
          </w:tcPr>
          <w:p>
            <w:pPr>
              <w:spacing w:after="0"/>
              <w:rPr>
                <w:sz w:val="17"/>
                <w:szCs w:val="17"/>
                <w:color w:val="auto"/>
              </w:rPr>
            </w:pPr>
          </w:p>
        </w:tc>
        <w:tc>
          <w:tcPr>
            <w:tcW w:w="28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7,696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2,310</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57,083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750-799</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78,802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40,888</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17,405</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23,283</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167,515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700-749</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56,519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31,980</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4,341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11,022</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6,940</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110,802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650-699</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51,813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17,433</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7,691</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80,140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600-649</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27,966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4,991</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1,467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3,684</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38,108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550-599</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16,714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3,070</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1,918</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22,729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500-549</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10,610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1,051</w:t>
            </w:r>
          </w:p>
        </w:tc>
        <w:tc>
          <w:tcPr>
            <w:tcW w:w="18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572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1,295</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13,528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Under 500</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554</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265</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5,771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Unknown</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3,733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2,110</w:t>
            </w:r>
          </w:p>
        </w:tc>
        <w:tc>
          <w:tcPr>
            <w:tcW w:w="1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282</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724</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7,048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80"/>
              <w:spacing w:after="0" w:line="184" w:lineRule="exact"/>
              <w:rPr>
                <w:sz w:val="20"/>
                <w:szCs w:val="20"/>
                <w:color w:val="auto"/>
              </w:rPr>
            </w:pPr>
            <w:r>
              <w:rPr>
                <w:rFonts w:ascii="Arial" w:cs="Arial" w:eastAsia="Arial" w:hAnsi="Arial"/>
                <w:sz w:val="17"/>
                <w:szCs w:val="17"/>
                <w:color w:val="auto"/>
              </w:rPr>
              <w:t>Total</w:t>
            </w:r>
          </w:p>
        </w:tc>
        <w:tc>
          <w:tcPr>
            <w:tcW w:w="140" w:type="dxa"/>
            <w:vAlign w:val="bottom"/>
            <w:tcBorders>
              <w:top w:val="single" w:sz="8" w:color="auto"/>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279,625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116,020</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22,564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51,258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33,257</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502,724</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3320" w:type="dxa"/>
            <w:vAlign w:val="bottom"/>
            <w:gridSpan w:val="2"/>
          </w:tcPr>
          <w:p>
            <w:pPr>
              <w:spacing w:after="0" w:line="184" w:lineRule="exact"/>
              <w:rPr>
                <w:sz w:val="20"/>
                <w:szCs w:val="20"/>
                <w:color w:val="auto"/>
              </w:rPr>
            </w:pPr>
            <w:r>
              <w:rPr>
                <w:rFonts w:ascii="Arial" w:cs="Arial" w:eastAsia="Arial" w:hAnsi="Arial"/>
                <w:sz w:val="17"/>
                <w:szCs w:val="17"/>
                <w:color w:val="auto"/>
              </w:rPr>
              <w:t>Accrued interest included in total</w:t>
            </w:r>
          </w:p>
        </w:tc>
        <w:tc>
          <w:tcPr>
            <w:tcW w:w="140" w:type="dxa"/>
            <w:vAlign w:val="bottom"/>
          </w:tcPr>
          <w:p>
            <w:pPr>
              <w:jc w:val="right"/>
              <w:spacing w:after="0" w:line="184" w:lineRule="exact"/>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line="184" w:lineRule="exact"/>
              <w:rPr>
                <w:sz w:val="20"/>
                <w:szCs w:val="20"/>
                <w:color w:val="auto"/>
              </w:rPr>
            </w:pPr>
            <w:r>
              <w:rPr>
                <w:rFonts w:ascii="Arial" w:cs="Arial" w:eastAsia="Arial" w:hAnsi="Arial"/>
                <w:sz w:val="17"/>
                <w:szCs w:val="17"/>
                <w:color w:val="auto"/>
              </w:rPr>
              <w:t>1,396</w:t>
            </w:r>
          </w:p>
        </w:tc>
        <w:tc>
          <w:tcPr>
            <w:tcW w:w="100" w:type="dxa"/>
            <w:vAlign w:val="bottom"/>
          </w:tcPr>
          <w:p>
            <w:pPr>
              <w:spacing w:after="0"/>
              <w:rPr>
                <w:sz w:val="16"/>
                <w:szCs w:val="16"/>
                <w:color w:val="auto"/>
              </w:rPr>
            </w:pPr>
          </w:p>
        </w:tc>
        <w:tc>
          <w:tcPr>
            <w:tcW w:w="300" w:type="dxa"/>
            <w:vAlign w:val="bottom"/>
            <w:gridSpan w:val="2"/>
          </w:tcPr>
          <w:p>
            <w:pPr>
              <w:jc w:val="right"/>
              <w:ind w:right="26"/>
              <w:spacing w:after="0" w:line="184" w:lineRule="exact"/>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40"/>
              <w:spacing w:after="0" w:line="184" w:lineRule="exact"/>
              <w:rPr>
                <w:sz w:val="20"/>
                <w:szCs w:val="20"/>
                <w:color w:val="auto"/>
              </w:rPr>
            </w:pPr>
            <w:r>
              <w:rPr>
                <w:rFonts w:ascii="Arial" w:cs="Arial" w:eastAsia="Arial" w:hAnsi="Arial"/>
                <w:sz w:val="17"/>
                <w:szCs w:val="17"/>
                <w:color w:val="auto"/>
              </w:rPr>
              <w:t>477</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84" w:lineRule="exact"/>
              <w:rPr>
                <w:sz w:val="20"/>
                <w:szCs w:val="20"/>
                <w:color w:val="auto"/>
              </w:rPr>
            </w:pPr>
            <w:r>
              <w:rPr>
                <w:rFonts w:ascii="Arial" w:cs="Arial" w:eastAsia="Arial" w:hAnsi="Arial"/>
                <w:sz w:val="17"/>
                <w:szCs w:val="17"/>
                <w:color w:val="auto"/>
              </w:rPr>
              <w:t>87</w:t>
            </w:r>
          </w:p>
        </w:tc>
        <w:tc>
          <w:tcPr>
            <w:tcW w:w="120" w:type="dxa"/>
            <w:vAlign w:val="bottom"/>
          </w:tcPr>
          <w:p>
            <w:pPr>
              <w:spacing w:after="0"/>
              <w:rPr>
                <w:sz w:val="16"/>
                <w:szCs w:val="16"/>
                <w:color w:val="auto"/>
              </w:rPr>
            </w:pPr>
          </w:p>
        </w:tc>
        <w:tc>
          <w:tcPr>
            <w:tcW w:w="280" w:type="dxa"/>
            <w:vAlign w:val="bottom"/>
            <w:gridSpan w:val="2"/>
          </w:tcPr>
          <w:p>
            <w:pPr>
              <w:jc w:val="right"/>
              <w:ind w:right="6"/>
              <w:spacing w:after="0" w:line="184" w:lineRule="exact"/>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20"/>
              <w:spacing w:after="0" w:line="184" w:lineRule="exact"/>
              <w:rPr>
                <w:sz w:val="20"/>
                <w:szCs w:val="20"/>
                <w:color w:val="auto"/>
              </w:rPr>
            </w:pPr>
            <w:r>
              <w:rPr>
                <w:rFonts w:ascii="Arial" w:cs="Arial" w:eastAsia="Arial" w:hAnsi="Arial"/>
                <w:sz w:val="17"/>
                <w:szCs w:val="17"/>
                <w:color w:val="auto"/>
              </w:rPr>
              <w:t>196</w:t>
            </w:r>
          </w:p>
        </w:tc>
        <w:tc>
          <w:tcPr>
            <w:tcW w:w="160" w:type="dxa"/>
            <w:vAlign w:val="bottom"/>
          </w:tcPr>
          <w:p>
            <w:pPr>
              <w:jc w:val="right"/>
              <w:spacing w:after="0" w:line="184" w:lineRule="exact"/>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240"/>
              <w:spacing w:after="0" w:line="184" w:lineRule="exact"/>
              <w:rPr>
                <w:sz w:val="20"/>
                <w:szCs w:val="20"/>
                <w:color w:val="auto"/>
              </w:rPr>
            </w:pPr>
            <w:r>
              <w:rPr>
                <w:rFonts w:ascii="Arial" w:cs="Arial" w:eastAsia="Arial" w:hAnsi="Arial"/>
                <w:sz w:val="17"/>
                <w:szCs w:val="17"/>
                <w:color w:val="auto"/>
              </w:rPr>
              <w:t>114</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line="184" w:lineRule="exact"/>
              <w:rPr>
                <w:sz w:val="20"/>
                <w:szCs w:val="20"/>
                <w:color w:val="auto"/>
              </w:rPr>
            </w:pPr>
            <w:r>
              <w:rPr>
                <w:rFonts w:ascii="Arial" w:cs="Arial" w:eastAsia="Arial" w:hAnsi="Arial"/>
                <w:sz w:val="17"/>
                <w:szCs w:val="17"/>
                <w:color w:val="auto"/>
              </w:rPr>
              <w:t>2,270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(1)Credit scores have been updated within the last twelve months.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7"/>
                <w:szCs w:val="17"/>
                <w:color w:val="auto"/>
                <w:w w:val="93"/>
              </w:rPr>
              <w:t>Installment(1)</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300"/>
              <w:spacing w:after="0" w:line="191" w:lineRule="exact"/>
              <w:rPr>
                <w:sz w:val="20"/>
                <w:szCs w:val="20"/>
                <w:color w:val="auto"/>
              </w:rPr>
            </w:pPr>
            <w:r>
              <w:rPr>
                <w:rFonts w:ascii="Arial" w:cs="Arial" w:eastAsia="Arial" w:hAnsi="Arial"/>
                <w:sz w:val="17"/>
                <w:szCs w:val="17"/>
                <w:color w:val="auto"/>
                <w:w w:val="88"/>
              </w:rPr>
              <w:t>Home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400"/>
              <w:spacing w:after="0" w:line="191" w:lineRule="exact"/>
              <w:rPr>
                <w:sz w:val="20"/>
                <w:szCs w:val="20"/>
                <w:color w:val="auto"/>
              </w:rPr>
            </w:pPr>
            <w:r>
              <w:rPr>
                <w:rFonts w:ascii="Arial" w:cs="Arial" w:eastAsia="Arial" w:hAnsi="Arial"/>
                <w:sz w:val="17"/>
                <w:szCs w:val="17"/>
                <w:color w:val="auto"/>
                <w:w w:val="88"/>
              </w:rPr>
              <w:t>Home</w:t>
            </w:r>
          </w:p>
        </w:tc>
        <w:tc>
          <w:tcPr>
            <w:tcW w:w="80" w:type="dxa"/>
            <w:vAlign w:val="bottom"/>
          </w:tcPr>
          <w:p>
            <w:pPr>
              <w:spacing w:after="0"/>
              <w:rPr>
                <w:sz w:val="16"/>
                <w:szCs w:val="16"/>
                <w:color w:val="auto"/>
              </w:rPr>
            </w:pPr>
          </w:p>
        </w:tc>
        <w:tc>
          <w:tcPr>
            <w:tcW w:w="1180" w:type="dxa"/>
            <w:vAlign w:val="bottom"/>
            <w:gridSpan w:val="2"/>
          </w:tcPr>
          <w:p>
            <w:pPr>
              <w:jc w:val="center"/>
              <w:ind w:right="180"/>
              <w:spacing w:after="0" w:line="191" w:lineRule="exact"/>
              <w:rPr>
                <w:sz w:val="20"/>
                <w:szCs w:val="20"/>
                <w:color w:val="auto"/>
              </w:rPr>
            </w:pPr>
            <w:r>
              <w:rPr>
                <w:rFonts w:ascii="Arial" w:cs="Arial" w:eastAsia="Arial" w:hAnsi="Arial"/>
                <w:sz w:val="17"/>
                <w:szCs w:val="17"/>
                <w:color w:val="auto"/>
                <w:w w:val="91"/>
              </w:rPr>
              <w:t>Loans not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7"/>
                <w:szCs w:val="17"/>
                <w:color w:val="auto"/>
                <w:w w:val="93"/>
              </w:rPr>
              <w:t>Equity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7"/>
                <w:szCs w:val="17"/>
                <w:color w:val="auto"/>
                <w:w w:val="93"/>
              </w:rPr>
              <w:t>Equity</w:t>
            </w:r>
          </w:p>
        </w:tc>
        <w:tc>
          <w:tcPr>
            <w:tcW w:w="8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7"/>
                <w:szCs w:val="17"/>
                <w:color w:val="auto"/>
                <w:w w:val="88"/>
              </w:rPr>
              <w:t>Secured by</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7"/>
                <w:szCs w:val="17"/>
                <w:color w:val="auto"/>
                <w:w w:val="93"/>
              </w:rPr>
              <w:t>1st Lien</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7"/>
                <w:szCs w:val="17"/>
                <w:color w:val="auto"/>
                <w:w w:val="91"/>
              </w:rPr>
              <w:t>2nd Lien</w:t>
            </w:r>
          </w:p>
        </w:tc>
        <w:tc>
          <w:tcPr>
            <w:tcW w:w="8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7"/>
                <w:szCs w:val="17"/>
                <w:color w:val="auto"/>
                <w:w w:val="88"/>
              </w:rPr>
              <w:t>Real Estate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15"/>
        </w:trPr>
        <w:tc>
          <w:tcPr>
            <w:tcW w:w="4680" w:type="dxa"/>
            <w:vAlign w:val="bottom"/>
            <w:gridSpan w:val="2"/>
            <w:vMerge w:val="restart"/>
          </w:tcPr>
          <w:p>
            <w:pPr>
              <w:spacing w:after="0"/>
              <w:rPr>
                <w:sz w:val="20"/>
                <w:szCs w:val="20"/>
                <w:color w:val="auto"/>
              </w:rPr>
            </w:pPr>
            <w:r>
              <w:rPr>
                <w:rFonts w:ascii="Arial" w:cs="Arial" w:eastAsia="Arial" w:hAnsi="Arial"/>
                <w:sz w:val="17"/>
                <w:szCs w:val="17"/>
                <w:color w:val="auto"/>
              </w:rPr>
              <w:t>June 30, 2016</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7"/>
                <w:szCs w:val="17"/>
                <w:color w:val="auto"/>
                <w:w w:val="90"/>
              </w:rPr>
              <w:t>(In thousands)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6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800 and above</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1,518</w:t>
            </w:r>
          </w:p>
        </w:tc>
        <w:tc>
          <w:tcPr>
            <w:tcW w:w="1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6"/>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50,680</w:t>
            </w:r>
          </w:p>
        </w:tc>
        <w:tc>
          <w:tcPr>
            <w:tcW w:w="34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54,412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140"/>
              <w:spacing w:after="0"/>
              <w:rPr>
                <w:sz w:val="20"/>
                <w:szCs w:val="20"/>
                <w:color w:val="auto"/>
              </w:rPr>
            </w:pPr>
            <w:r>
              <w:rPr>
                <w:rFonts w:ascii="Arial" w:cs="Arial" w:eastAsia="Arial" w:hAnsi="Arial"/>
                <w:sz w:val="17"/>
                <w:szCs w:val="17"/>
                <w:color w:val="auto"/>
              </w:rPr>
              <w:t>750-799</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3,337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4,198</w:t>
            </w: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101,146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577</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109,258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700-749</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3,299</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38,660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694</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45,036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140"/>
              <w:spacing w:after="0"/>
              <w:rPr>
                <w:sz w:val="20"/>
                <w:szCs w:val="20"/>
                <w:color w:val="auto"/>
              </w:rPr>
            </w:pPr>
            <w:r>
              <w:rPr>
                <w:rFonts w:ascii="Arial" w:cs="Arial" w:eastAsia="Arial" w:hAnsi="Arial"/>
                <w:sz w:val="17"/>
                <w:szCs w:val="17"/>
                <w:color w:val="auto"/>
              </w:rPr>
              <w:t>650-699</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3,503</w:t>
            </w: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18,041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477</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24,884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600-649</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1,820</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4,311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285</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140"/>
              <w:spacing w:after="0"/>
              <w:rPr>
                <w:sz w:val="20"/>
                <w:szCs w:val="20"/>
                <w:color w:val="auto"/>
              </w:rPr>
            </w:pPr>
            <w:r>
              <w:rPr>
                <w:rFonts w:ascii="Arial" w:cs="Arial" w:eastAsia="Arial" w:hAnsi="Arial"/>
                <w:sz w:val="17"/>
                <w:szCs w:val="17"/>
                <w:color w:val="auto"/>
              </w:rPr>
              <w:t>550-599</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1,423</w:t>
            </w: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1,855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4,705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500-549</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922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649</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1,212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140"/>
              <w:spacing w:after="0"/>
              <w:rPr>
                <w:sz w:val="20"/>
                <w:szCs w:val="20"/>
                <w:color w:val="auto"/>
              </w:rPr>
            </w:pPr>
            <w:r>
              <w:rPr>
                <w:rFonts w:ascii="Arial" w:cs="Arial" w:eastAsia="Arial" w:hAnsi="Arial"/>
                <w:sz w:val="17"/>
                <w:szCs w:val="17"/>
                <w:color w:val="auto"/>
              </w:rPr>
              <w:t>Under 500</w:t>
            </w:r>
          </w:p>
        </w:tc>
        <w:tc>
          <w:tcPr>
            <w:tcW w:w="2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141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240</w:t>
            </w: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345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751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Unknown</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2,680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280"/>
              <w:spacing w:after="0" w:line="184" w:lineRule="exact"/>
              <w:rPr>
                <w:sz w:val="20"/>
                <w:szCs w:val="20"/>
                <w:color w:val="auto"/>
              </w:rPr>
            </w:pPr>
            <w:r>
              <w:rPr>
                <w:rFonts w:ascii="Arial" w:cs="Arial" w:eastAsia="Arial" w:hAnsi="Arial"/>
                <w:sz w:val="17"/>
                <w:szCs w:val="17"/>
                <w:color w:val="auto"/>
              </w:rPr>
              <w:t>Total</w:t>
            </w:r>
          </w:p>
        </w:tc>
        <w:tc>
          <w:tcPr>
            <w:tcW w:w="200" w:type="dxa"/>
            <w:vAlign w:val="bottom"/>
          </w:tcPr>
          <w:p>
            <w:pPr>
              <w:jc w:val="right"/>
              <w:ind w:right="15"/>
              <w:spacing w:after="0" w:line="184" w:lineRule="exact"/>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line="184" w:lineRule="exact"/>
              <w:rPr>
                <w:sz w:val="20"/>
                <w:szCs w:val="20"/>
                <w:color w:val="auto"/>
              </w:rPr>
            </w:pPr>
            <w:r>
              <w:rPr>
                <w:rFonts w:ascii="Arial" w:cs="Arial" w:eastAsia="Arial" w:hAnsi="Arial"/>
                <w:sz w:val="17"/>
                <w:szCs w:val="17"/>
                <w:color w:val="auto"/>
              </w:rPr>
              <w:t>14,916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84" w:lineRule="exact"/>
              <w:rPr>
                <w:sz w:val="20"/>
                <w:szCs w:val="20"/>
                <w:color w:val="auto"/>
              </w:rPr>
            </w:pPr>
            <w:r>
              <w:rPr>
                <w:rFonts w:ascii="Arial" w:cs="Arial" w:eastAsia="Arial" w:hAnsi="Arial"/>
                <w:sz w:val="17"/>
                <w:szCs w:val="17"/>
                <w:color w:val="auto"/>
              </w:rPr>
              <w:t>17,270</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line="184" w:lineRule="exact"/>
              <w:rPr>
                <w:sz w:val="20"/>
                <w:szCs w:val="20"/>
                <w:color w:val="auto"/>
              </w:rPr>
            </w:pPr>
            <w:r>
              <w:rPr>
                <w:rFonts w:ascii="Arial" w:cs="Arial" w:eastAsia="Arial" w:hAnsi="Arial"/>
                <w:sz w:val="17"/>
                <w:szCs w:val="17"/>
                <w:color w:val="auto"/>
              </w:rPr>
              <w:t>218,930</w:t>
            </w:r>
          </w:p>
        </w:tc>
        <w:tc>
          <w:tcPr>
            <w:tcW w:w="340" w:type="dxa"/>
            <w:vAlign w:val="bottom"/>
            <w:gridSpan w:val="2"/>
          </w:tcPr>
          <w:p>
            <w:pPr>
              <w:jc w:val="right"/>
              <w:ind w:right="66"/>
              <w:spacing w:after="0" w:line="184"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40"/>
              <w:spacing w:after="0" w:line="184" w:lineRule="exact"/>
              <w:rPr>
                <w:sz w:val="20"/>
                <w:szCs w:val="20"/>
                <w:color w:val="auto"/>
              </w:rPr>
            </w:pPr>
            <w:r>
              <w:rPr>
                <w:rFonts w:ascii="Arial" w:cs="Arial" w:eastAsia="Arial" w:hAnsi="Arial"/>
                <w:sz w:val="17"/>
                <w:szCs w:val="17"/>
                <w:color w:val="auto"/>
              </w:rPr>
              <w:t>2,284</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84" w:lineRule="exact"/>
              <w:rPr>
                <w:sz w:val="20"/>
                <w:szCs w:val="20"/>
                <w:color w:val="auto"/>
              </w:rPr>
            </w:pPr>
            <w:r>
              <w:rPr>
                <w:rFonts w:ascii="Arial" w:cs="Arial" w:eastAsia="Arial" w:hAnsi="Arial"/>
                <w:sz w:val="17"/>
                <w:szCs w:val="17"/>
                <w:color w:val="auto"/>
              </w:rPr>
              <w:t>253,400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4660" w:type="dxa"/>
            <w:vAlign w:val="bottom"/>
            <w:tcBorders>
              <w:bottom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Accrued interest included in total</w:t>
            </w:r>
          </w:p>
        </w:tc>
        <w:tc>
          <w:tcPr>
            <w:tcW w:w="200" w:type="dxa"/>
            <w:vAlign w:val="bottom"/>
            <w:tcBorders>
              <w:bottom w:val="single" w:sz="8" w:color="auto"/>
            </w:tcBorders>
            <w:shd w:val="clear" w:color="auto" w:fill="CCEEFF"/>
          </w:tcPr>
          <w:p>
            <w:pPr>
              <w:jc w:val="right"/>
              <w:ind w:right="15"/>
              <w:spacing w:after="0" w:line="184" w:lineRule="exact"/>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64</w:t>
            </w: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551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16</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688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2015</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140"/>
              <w:spacing w:after="0"/>
              <w:rPr>
                <w:sz w:val="20"/>
                <w:szCs w:val="20"/>
                <w:color w:val="auto"/>
              </w:rPr>
            </w:pPr>
            <w:r>
              <w:rPr>
                <w:rFonts w:ascii="Arial" w:cs="Arial" w:eastAsia="Arial" w:hAnsi="Arial"/>
                <w:sz w:val="17"/>
                <w:szCs w:val="17"/>
                <w:color w:val="auto"/>
              </w:rPr>
              <w:t>800 and above</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1,792</w:t>
            </w:r>
          </w:p>
        </w:tc>
        <w:tc>
          <w:tcPr>
            <w:tcW w:w="100" w:type="dxa"/>
            <w:vAlign w:val="bottom"/>
          </w:tcPr>
          <w:p>
            <w:pPr>
              <w:spacing w:after="0"/>
              <w:rPr>
                <w:sz w:val="17"/>
                <w:szCs w:val="17"/>
                <w:color w:val="auto"/>
              </w:rPr>
            </w:pPr>
          </w:p>
        </w:tc>
        <w:tc>
          <w:tcPr>
            <w:tcW w:w="300" w:type="dxa"/>
            <w:vAlign w:val="bottom"/>
            <w:gridSpan w:val="2"/>
          </w:tcPr>
          <w:p>
            <w:pPr>
              <w:jc w:val="right"/>
              <w:ind w:right="26"/>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1,782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44,254</w:t>
            </w:r>
          </w:p>
        </w:tc>
        <w:tc>
          <w:tcPr>
            <w:tcW w:w="34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58</w:t>
            </w:r>
          </w:p>
        </w:tc>
        <w:tc>
          <w:tcPr>
            <w:tcW w:w="240" w:type="dxa"/>
            <w:vAlign w:val="bottom"/>
          </w:tcPr>
          <w:p>
            <w:pPr>
              <w:spacing w:after="0"/>
              <w:rPr>
                <w:sz w:val="17"/>
                <w:szCs w:val="17"/>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47,886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750-799</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4,117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5,931</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86,800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531</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97,379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140"/>
              <w:spacing w:after="0"/>
              <w:rPr>
                <w:sz w:val="20"/>
                <w:szCs w:val="20"/>
                <w:color w:val="auto"/>
              </w:rPr>
            </w:pPr>
            <w:r>
              <w:rPr>
                <w:rFonts w:ascii="Arial" w:cs="Arial" w:eastAsia="Arial" w:hAnsi="Arial"/>
                <w:sz w:val="17"/>
                <w:szCs w:val="17"/>
                <w:color w:val="auto"/>
              </w:rPr>
              <w:t>700-749</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3,899</w:t>
            </w: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34,789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694</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41,889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650-699</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4,182</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16,456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499</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24,645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140"/>
              <w:spacing w:after="0"/>
              <w:rPr>
                <w:sz w:val="20"/>
                <w:szCs w:val="20"/>
                <w:color w:val="auto"/>
              </w:rPr>
            </w:pPr>
            <w:r>
              <w:rPr>
                <w:rFonts w:ascii="Arial" w:cs="Arial" w:eastAsia="Arial" w:hAnsi="Arial"/>
                <w:sz w:val="17"/>
                <w:szCs w:val="17"/>
                <w:color w:val="auto"/>
              </w:rPr>
              <w:t>600-649</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2,153</w:t>
            </w: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4,979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200</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9,505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550-599</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1,346</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1,997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109</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140"/>
              <w:spacing w:after="0"/>
              <w:rPr>
                <w:sz w:val="20"/>
                <w:szCs w:val="20"/>
                <w:color w:val="auto"/>
              </w:rPr>
            </w:pPr>
            <w:r>
              <w:rPr>
                <w:rFonts w:ascii="Arial" w:cs="Arial" w:eastAsia="Arial" w:hAnsi="Arial"/>
                <w:sz w:val="17"/>
                <w:szCs w:val="17"/>
                <w:color w:val="auto"/>
              </w:rPr>
              <w:t>500-549</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855</w:t>
            </w: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1,170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3,142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Under 500</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370</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Pr>
          <w:p>
            <w:pPr>
              <w:ind w:left="140"/>
              <w:spacing w:after="0"/>
              <w:rPr>
                <w:sz w:val="20"/>
                <w:szCs w:val="20"/>
                <w:color w:val="auto"/>
              </w:rPr>
            </w:pPr>
            <w:r>
              <w:rPr>
                <w:rFonts w:ascii="Arial" w:cs="Arial" w:eastAsia="Arial" w:hAnsi="Arial"/>
                <w:sz w:val="17"/>
                <w:szCs w:val="17"/>
                <w:color w:val="auto"/>
              </w:rPr>
              <w:t>Unknown</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1,503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80"/>
              <w:spacing w:after="0" w:line="184" w:lineRule="exact"/>
              <w:rPr>
                <w:sz w:val="20"/>
                <w:szCs w:val="20"/>
                <w:color w:val="auto"/>
              </w:rPr>
            </w:pPr>
            <w:r>
              <w:rPr>
                <w:rFonts w:ascii="Arial" w:cs="Arial" w:eastAsia="Arial" w:hAnsi="Arial"/>
                <w:sz w:val="17"/>
                <w:szCs w:val="17"/>
                <w:color w:val="auto"/>
              </w:rPr>
              <w:t>Total</w:t>
            </w:r>
          </w:p>
        </w:tc>
        <w:tc>
          <w:tcPr>
            <w:tcW w:w="200" w:type="dxa"/>
            <w:vAlign w:val="bottom"/>
            <w:tcBorders>
              <w:top w:val="single" w:sz="8" w:color="auto"/>
              <w:bottom w:val="single" w:sz="8" w:color="auto"/>
            </w:tcBorders>
            <w:shd w:val="clear" w:color="auto" w:fill="CCEEFF"/>
          </w:tcPr>
          <w:p>
            <w:pPr>
              <w:jc w:val="right"/>
              <w:ind w:right="15"/>
              <w:spacing w:after="0" w:line="184" w:lineRule="exact"/>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17,235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20,550</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192,333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2,179</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232,297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680" w:type="dxa"/>
            <w:vAlign w:val="bottom"/>
            <w:gridSpan w:val="2"/>
          </w:tcPr>
          <w:p>
            <w:pPr>
              <w:spacing w:after="0" w:line="184" w:lineRule="exact"/>
              <w:rPr>
                <w:sz w:val="20"/>
                <w:szCs w:val="20"/>
                <w:color w:val="auto"/>
              </w:rPr>
            </w:pPr>
            <w:r>
              <w:rPr>
                <w:rFonts w:ascii="Arial" w:cs="Arial" w:eastAsia="Arial" w:hAnsi="Arial"/>
                <w:sz w:val="17"/>
                <w:szCs w:val="17"/>
                <w:color w:val="auto"/>
              </w:rPr>
              <w:t>Accrued interest included in total</w:t>
            </w:r>
          </w:p>
        </w:tc>
        <w:tc>
          <w:tcPr>
            <w:tcW w:w="200" w:type="dxa"/>
            <w:vAlign w:val="bottom"/>
          </w:tcPr>
          <w:p>
            <w:pPr>
              <w:jc w:val="right"/>
              <w:ind w:right="15"/>
              <w:spacing w:after="0" w:line="184" w:lineRule="exact"/>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line="184" w:lineRule="exact"/>
              <w:rPr>
                <w:sz w:val="20"/>
                <w:szCs w:val="20"/>
                <w:color w:val="auto"/>
              </w:rPr>
            </w:pPr>
            <w:r>
              <w:rPr>
                <w:rFonts w:ascii="Arial" w:cs="Arial" w:eastAsia="Arial" w:hAnsi="Arial"/>
                <w:sz w:val="17"/>
                <w:szCs w:val="17"/>
                <w:color w:val="auto"/>
              </w:rPr>
              <w:t>78</w:t>
            </w:r>
          </w:p>
        </w:tc>
        <w:tc>
          <w:tcPr>
            <w:tcW w:w="100" w:type="dxa"/>
            <w:vAlign w:val="bottom"/>
          </w:tcPr>
          <w:p>
            <w:pPr>
              <w:spacing w:after="0"/>
              <w:rPr>
                <w:sz w:val="16"/>
                <w:szCs w:val="16"/>
                <w:color w:val="auto"/>
              </w:rPr>
            </w:pPr>
          </w:p>
        </w:tc>
        <w:tc>
          <w:tcPr>
            <w:tcW w:w="300" w:type="dxa"/>
            <w:vAlign w:val="bottom"/>
            <w:gridSpan w:val="2"/>
          </w:tcPr>
          <w:p>
            <w:pPr>
              <w:jc w:val="right"/>
              <w:ind w:right="26"/>
              <w:spacing w:after="0" w:line="184"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4" w:lineRule="exact"/>
              <w:rPr>
                <w:sz w:val="20"/>
                <w:szCs w:val="20"/>
                <w:color w:val="auto"/>
              </w:rPr>
            </w:pPr>
            <w:r>
              <w:rPr>
                <w:rFonts w:ascii="Arial" w:cs="Arial" w:eastAsia="Arial" w:hAnsi="Arial"/>
                <w:sz w:val="17"/>
                <w:szCs w:val="17"/>
                <w:color w:val="auto"/>
              </w:rPr>
              <w:t>83</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line="184" w:lineRule="exact"/>
              <w:rPr>
                <w:sz w:val="20"/>
                <w:szCs w:val="20"/>
                <w:color w:val="auto"/>
              </w:rPr>
            </w:pPr>
            <w:r>
              <w:rPr>
                <w:rFonts w:ascii="Arial" w:cs="Arial" w:eastAsia="Arial" w:hAnsi="Arial"/>
                <w:sz w:val="17"/>
                <w:szCs w:val="17"/>
                <w:color w:val="auto"/>
              </w:rPr>
              <w:t>520</w:t>
            </w:r>
          </w:p>
        </w:tc>
        <w:tc>
          <w:tcPr>
            <w:tcW w:w="340" w:type="dxa"/>
            <w:vAlign w:val="bottom"/>
            <w:gridSpan w:val="2"/>
          </w:tcPr>
          <w:p>
            <w:pPr>
              <w:jc w:val="right"/>
              <w:ind w:right="66"/>
              <w:spacing w:after="0" w:line="184"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84" w:lineRule="exact"/>
              <w:rPr>
                <w:sz w:val="20"/>
                <w:szCs w:val="20"/>
                <w:color w:val="auto"/>
              </w:rPr>
            </w:pPr>
            <w:r>
              <w:rPr>
                <w:rFonts w:ascii="Arial" w:cs="Arial" w:eastAsia="Arial" w:hAnsi="Arial"/>
                <w:sz w:val="17"/>
                <w:szCs w:val="17"/>
                <w:color w:val="auto"/>
              </w:rPr>
              <w:t>17</w:t>
            </w:r>
          </w:p>
        </w:tc>
        <w:tc>
          <w:tcPr>
            <w:tcW w:w="240" w:type="dxa"/>
            <w:vAlign w:val="bottom"/>
          </w:tcPr>
          <w:p>
            <w:pPr>
              <w:spacing w:after="0"/>
              <w:rPr>
                <w:sz w:val="16"/>
                <w:szCs w:val="16"/>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(1)Credit scores have been updated within the last twelve months.</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Mepco Finance Corporation (“Mepco”) is a wholly-owned subsidiary of our Bank that operates a vehicle service contract payment plan business throughout the United States. See Note #14 for more information about Mepco’s business. As of June 30, 2016, approximately 42.0% of Mepco’s outstanding payment plan receivables relate to programs in which a third party insurer or risk retention group is obligated to pay Mepco the full refund owing upon cancellation of the related service contract (including with respect to both the portion funded to the service contract seller and the portion funded to the administrator). These receivables are shown as “Full Refund” in the table below. Another approximately 35.4% of Mepco’s outstanding payment plan receivables as of June 30, 2016, relate to programs in which a third party insurer or risk retention group is obligated to pay Mepco the refund owing upon cancellation only with respect to the unearned portion previously funded by Mepco to the administrator (but not to the service contract seller). These receivables are shown as “Partial Refund” in the table below. The balance of Mepco’s outstanding payment plan receivables relate to programs in which there is no insurer or risk retention group that has any contractual liability to Mepco for any portion of the refund amount. These receivables are shown as “Other” in the table below. For each class of our payment plan receivables we monitor financial information on the counterparties as we evaluate the credit quality of this portfolio.</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credit ratings of insurer or risk retention group counterparties by class of payment plan receivable: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6"/>
          </w:tcPr>
          <w:p>
            <w:pPr>
              <w:ind w:left="160"/>
              <w:spacing w:after="0"/>
              <w:rPr>
                <w:sz w:val="20"/>
                <w:szCs w:val="20"/>
                <w:color w:val="auto"/>
              </w:rPr>
            </w:pPr>
            <w:r>
              <w:rPr>
                <w:rFonts w:ascii="Arial" w:cs="Arial" w:eastAsia="Arial" w:hAnsi="Arial"/>
                <w:sz w:val="17"/>
                <w:szCs w:val="17"/>
                <w:color w:val="auto"/>
              </w:rPr>
              <w:t>Payment Plan Receivables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240"/>
              <w:spacing w:after="0" w:line="191" w:lineRule="exact"/>
              <w:rPr>
                <w:sz w:val="20"/>
                <w:szCs w:val="20"/>
                <w:color w:val="auto"/>
              </w:rPr>
            </w:pPr>
            <w:r>
              <w:rPr>
                <w:rFonts w:ascii="Arial" w:cs="Arial" w:eastAsia="Arial" w:hAnsi="Arial"/>
                <w:sz w:val="17"/>
                <w:szCs w:val="17"/>
                <w:color w:val="auto"/>
              </w:rPr>
              <w:t>Full</w:t>
            </w:r>
          </w:p>
        </w:tc>
        <w:tc>
          <w:tcPr>
            <w:tcW w:w="200" w:type="dxa"/>
            <w:vAlign w:val="bottom"/>
          </w:tcPr>
          <w:p>
            <w:pPr>
              <w:spacing w:after="0"/>
              <w:rPr>
                <w:sz w:val="16"/>
                <w:szCs w:val="16"/>
                <w:color w:val="auto"/>
              </w:rPr>
            </w:pPr>
          </w:p>
        </w:tc>
        <w:tc>
          <w:tcPr>
            <w:tcW w:w="1060" w:type="dxa"/>
            <w:vAlign w:val="bottom"/>
            <w:gridSpan w:val="2"/>
          </w:tcPr>
          <w:p>
            <w:pPr>
              <w:ind w:left="160"/>
              <w:spacing w:after="0" w:line="191" w:lineRule="exact"/>
              <w:rPr>
                <w:sz w:val="20"/>
                <w:szCs w:val="20"/>
                <w:color w:val="auto"/>
              </w:rPr>
            </w:pPr>
            <w:r>
              <w:rPr>
                <w:rFonts w:ascii="Arial" w:cs="Arial" w:eastAsia="Arial" w:hAnsi="Arial"/>
                <w:sz w:val="17"/>
                <w:szCs w:val="17"/>
                <w:color w:val="auto"/>
              </w:rPr>
              <w:t>Partial</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Refund</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Refund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w w:val="89"/>
              </w:rPr>
              <w:t>Other</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60" w:type="dxa"/>
            <w:vAlign w:val="bottom"/>
            <w:gridSpan w:val="2"/>
            <w:vMerge w:val="restart"/>
          </w:tcPr>
          <w:p>
            <w:pPr>
              <w:spacing w:after="0"/>
              <w:rPr>
                <w:sz w:val="20"/>
                <w:szCs w:val="20"/>
                <w:color w:val="auto"/>
              </w:rPr>
            </w:pPr>
            <w:r>
              <w:rPr>
                <w:rFonts w:ascii="Arial" w:cs="Arial" w:eastAsia="Arial" w:hAnsi="Arial"/>
                <w:sz w:val="17"/>
                <w:szCs w:val="17"/>
                <w:color w:val="auto"/>
              </w:rPr>
              <w:t>June 30, 2016</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ind w:left="560"/>
              <w:spacing w:after="0"/>
              <w:rPr>
                <w:sz w:val="20"/>
                <w:szCs w:val="20"/>
                <w:color w:val="auto"/>
              </w:rPr>
            </w:pPr>
            <w:r>
              <w:rPr>
                <w:rFonts w:ascii="Arial" w:cs="Arial" w:eastAsia="Arial" w:hAnsi="Arial"/>
                <w:sz w:val="17"/>
                <w:szCs w:val="17"/>
                <w:color w:val="auto"/>
              </w:rPr>
              <w:t>(In</w:t>
            </w:r>
          </w:p>
        </w:tc>
        <w:tc>
          <w:tcPr>
            <w:tcW w:w="600" w:type="dxa"/>
            <w:vAlign w:val="bottom"/>
            <w:gridSpan w:val="3"/>
          </w:tcPr>
          <w:p>
            <w:pPr>
              <w:jc w:val="right"/>
              <w:spacing w:after="0"/>
              <w:rPr>
                <w:sz w:val="20"/>
                <w:szCs w:val="20"/>
                <w:color w:val="auto"/>
              </w:rPr>
            </w:pPr>
            <w:r>
              <w:rPr>
                <w:rFonts w:ascii="Arial" w:cs="Arial" w:eastAsia="Arial" w:hAnsi="Arial"/>
                <w:sz w:val="16"/>
                <w:szCs w:val="16"/>
                <w:color w:val="auto"/>
                <w:w w:val="73"/>
              </w:rPr>
              <w:t>thousands)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0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jc w:val="center"/>
              <w:ind w:right="4615"/>
              <w:spacing w:after="0"/>
              <w:rPr>
                <w:sz w:val="20"/>
                <w:szCs w:val="20"/>
                <w:color w:val="auto"/>
              </w:rPr>
            </w:pPr>
            <w:r>
              <w:rPr>
                <w:rFonts w:ascii="Arial" w:cs="Arial" w:eastAsia="Arial" w:hAnsi="Arial"/>
                <w:sz w:val="17"/>
                <w:szCs w:val="17"/>
                <w:color w:val="auto"/>
                <w:w w:val="95"/>
              </w:rPr>
              <w:t>AM Best rating</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A</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1,358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9,715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11,073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1,333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3,374</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B+</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3,717</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3,717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Not rated</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10,237</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440"/>
              <w:spacing w:after="0" w:line="184" w:lineRule="exact"/>
              <w:rPr>
                <w:sz w:val="20"/>
                <w:szCs w:val="20"/>
                <w:color w:val="auto"/>
              </w:rPr>
            </w:pPr>
            <w:r>
              <w:rPr>
                <w:rFonts w:ascii="Arial" w:cs="Arial" w:eastAsia="Arial" w:hAnsi="Arial"/>
                <w:sz w:val="17"/>
                <w:szCs w:val="17"/>
                <w:color w:val="auto"/>
              </w:rPr>
              <w:t>Total</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84" w:lineRule="exact"/>
              <w:rPr>
                <w:sz w:val="20"/>
                <w:szCs w:val="20"/>
                <w:color w:val="auto"/>
              </w:rPr>
            </w:pPr>
            <w:r>
              <w:rPr>
                <w:rFonts w:ascii="Arial" w:cs="Arial" w:eastAsia="Arial" w:hAnsi="Arial"/>
                <w:sz w:val="17"/>
                <w:szCs w:val="17"/>
                <w:color w:val="auto"/>
              </w:rPr>
              <w:t>13,199</w:t>
            </w:r>
          </w:p>
        </w:tc>
        <w:tc>
          <w:tcPr>
            <w:tcW w:w="220" w:type="dxa"/>
            <w:vAlign w:val="bottom"/>
          </w:tcPr>
          <w:p>
            <w:pPr>
              <w:spacing w:after="0"/>
              <w:rPr>
                <w:sz w:val="17"/>
                <w:szCs w:val="17"/>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11,098</w:t>
            </w:r>
          </w:p>
        </w:tc>
        <w:tc>
          <w:tcPr>
            <w:tcW w:w="480" w:type="dxa"/>
            <w:vAlign w:val="bottom"/>
            <w:gridSpan w:val="2"/>
          </w:tcPr>
          <w:p>
            <w:pPr>
              <w:jc w:val="right"/>
              <w:ind w:right="280"/>
              <w:spacing w:after="0" w:line="184" w:lineRule="exact"/>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40"/>
              <w:spacing w:after="0" w:line="184" w:lineRule="exact"/>
              <w:rPr>
                <w:sz w:val="20"/>
                <w:szCs w:val="20"/>
                <w:color w:val="auto"/>
              </w:rPr>
            </w:pPr>
            <w:r>
              <w:rPr>
                <w:rFonts w:ascii="Arial" w:cs="Arial" w:eastAsia="Arial" w:hAnsi="Arial"/>
                <w:sz w:val="17"/>
                <w:szCs w:val="17"/>
                <w:color w:val="auto"/>
              </w:rPr>
              <w:t>7,092</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31,389</w:t>
            </w: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6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040" w:type="dxa"/>
            <w:vAlign w:val="bottom"/>
          </w:tcPr>
          <w:p>
            <w:pPr>
              <w:jc w:val="center"/>
              <w:ind w:right="4635"/>
              <w:spacing w:after="0"/>
              <w:rPr>
                <w:sz w:val="20"/>
                <w:szCs w:val="20"/>
                <w:color w:val="auto"/>
              </w:rPr>
            </w:pPr>
            <w:r>
              <w:rPr>
                <w:rFonts w:ascii="Arial" w:cs="Arial" w:eastAsia="Arial" w:hAnsi="Arial"/>
                <w:sz w:val="17"/>
                <w:szCs w:val="17"/>
                <w:color w:val="auto"/>
                <w:w w:val="88"/>
              </w:rPr>
              <w:t>December 31, 2015</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jc w:val="center"/>
              <w:ind w:right="4615"/>
              <w:spacing w:after="0"/>
              <w:rPr>
                <w:sz w:val="20"/>
                <w:szCs w:val="20"/>
                <w:color w:val="auto"/>
              </w:rPr>
            </w:pPr>
            <w:r>
              <w:rPr>
                <w:rFonts w:ascii="Arial" w:cs="Arial" w:eastAsia="Arial" w:hAnsi="Arial"/>
                <w:sz w:val="17"/>
                <w:szCs w:val="17"/>
                <w:color w:val="auto"/>
                <w:w w:val="95"/>
              </w:rPr>
              <w:t>AM Best rating</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A+</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c>
          <w:tcPr>
            <w:tcW w:w="4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5,203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A-</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3,418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1,177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6,265</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10,860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Not rated</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15,720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15,818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440"/>
              <w:spacing w:after="0" w:line="184" w:lineRule="exact"/>
              <w:rPr>
                <w:sz w:val="20"/>
                <w:szCs w:val="20"/>
                <w:color w:val="auto"/>
              </w:rPr>
            </w:pPr>
            <w:r>
              <w:rPr>
                <w:rFonts w:ascii="Arial" w:cs="Arial" w:eastAsia="Arial" w:hAnsi="Arial"/>
                <w:sz w:val="17"/>
                <w:szCs w:val="17"/>
                <w:color w:val="auto"/>
              </w:rPr>
              <w:t>Total</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84" w:lineRule="exact"/>
              <w:rPr>
                <w:sz w:val="20"/>
                <w:szCs w:val="20"/>
                <w:color w:val="auto"/>
              </w:rPr>
            </w:pPr>
            <w:r>
              <w:rPr>
                <w:rFonts w:ascii="Arial" w:cs="Arial" w:eastAsia="Arial" w:hAnsi="Arial"/>
                <w:sz w:val="17"/>
                <w:szCs w:val="17"/>
                <w:color w:val="auto"/>
              </w:rPr>
              <w:t>21,850</w:t>
            </w:r>
          </w:p>
        </w:tc>
        <w:tc>
          <w:tcPr>
            <w:tcW w:w="220" w:type="dxa"/>
            <w:vAlign w:val="bottom"/>
          </w:tcPr>
          <w:p>
            <w:pPr>
              <w:spacing w:after="0"/>
              <w:rPr>
                <w:sz w:val="17"/>
                <w:szCs w:val="17"/>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6,479</w:t>
            </w:r>
          </w:p>
        </w:tc>
        <w:tc>
          <w:tcPr>
            <w:tcW w:w="480" w:type="dxa"/>
            <w:vAlign w:val="bottom"/>
            <w:gridSpan w:val="2"/>
          </w:tcPr>
          <w:p>
            <w:pPr>
              <w:jc w:val="right"/>
              <w:ind w:right="280"/>
              <w:spacing w:after="0" w:line="184" w:lineRule="exact"/>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40"/>
              <w:spacing w:after="0" w:line="184" w:lineRule="exact"/>
              <w:rPr>
                <w:sz w:val="20"/>
                <w:szCs w:val="20"/>
                <w:color w:val="auto"/>
              </w:rPr>
            </w:pPr>
            <w:r>
              <w:rPr>
                <w:rFonts w:ascii="Arial" w:cs="Arial" w:eastAsia="Arial" w:hAnsi="Arial"/>
                <w:sz w:val="17"/>
                <w:szCs w:val="17"/>
                <w:color w:val="auto"/>
              </w:rPr>
              <w:t>6,270</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34,599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Although Mepco has contractual recourse against various counterparties for refunds owing upon cancellation of vehicle service contracts, see Note #14 below regarding certain risks and difficulties associated with collecting these refunds.</w:t>
      </w:r>
    </w:p>
    <w:p>
      <w:pPr>
        <w:spacing w:after="0" w:line="190"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Foreclosed residential real estate properties included in other real estate and repossessed assets on our Condensed Consolidated Statements of Financial Condition totaled $1.9 million and $2.8 million at June 30, 2016 and December 31, 2015, respectively. Retail mortgage loans secured by residential real estate properties for which formal foreclosure proceedings are in process according to local requirements totaled $1.1 million at both June 30, 2016 and December 31, 2015.</w:t>
      </w:r>
    </w:p>
    <w:p>
      <w:pPr>
        <w:spacing w:after="0" w:line="166" w:lineRule="exact"/>
        <w:rPr>
          <w:sz w:val="20"/>
          <w:szCs w:val="20"/>
          <w:color w:val="auto"/>
        </w:rPr>
      </w:pPr>
    </w:p>
    <w:p>
      <w:pPr>
        <w:ind w:left="220" w:hanging="218"/>
        <w:spacing w:after="0"/>
        <w:tabs>
          <w:tab w:leader="none" w:pos="22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Segments</w:t>
      </w:r>
    </w:p>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reportable segments are based upon legal entities. We currently have two reportable segments: Independent Bank (“IB” or “Bank”) and Mepco. These business segments are also differentiated based on the products and services provided. We evaluate performance based principally on net income (loss) of the respective reportable segments.</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the normal course of business, our IB segment provides funding to our Mepco segment through an intercompany line of credit priced at the prime rate of interest as published in the Wall Street Journal. Our IB segment also provides certain administrative services to our Mepco segment which are reimbursed at an agreed upon rate. These intercompany transactions are eliminated upon consolidation. The only other material intersegment balances and transactions are investments in subsidiaries at the parent entities and cash balances on deposit at our IB segment.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A summary of selected financial information for our reportable segments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7"/>
                <w:szCs w:val="17"/>
                <w:color w:val="auto"/>
              </w:rPr>
              <w:t>IB</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7"/>
                <w:szCs w:val="17"/>
                <w:color w:val="auto"/>
              </w:rPr>
              <w:t>Mepco</w:t>
            </w:r>
          </w:p>
        </w:tc>
        <w:tc>
          <w:tcPr>
            <w:tcW w:w="18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Other(1)</w:t>
            </w:r>
          </w:p>
        </w:tc>
        <w:tc>
          <w:tcPr>
            <w:tcW w:w="100" w:type="dxa"/>
            <w:vAlign w:val="bottom"/>
          </w:tcPr>
          <w:p>
            <w:pPr>
              <w:spacing w:after="0"/>
              <w:rPr>
                <w:sz w:val="19"/>
                <w:szCs w:val="19"/>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7"/>
                <w:szCs w:val="17"/>
                <w:color w:val="auto"/>
              </w:rPr>
              <w:t>Elimination(2)</w:t>
            </w:r>
          </w:p>
        </w:tc>
        <w:tc>
          <w:tcPr>
            <w:tcW w:w="24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15"/>
        </w:trPr>
        <w:tc>
          <w:tcPr>
            <w:tcW w:w="4680" w:type="dxa"/>
            <w:vAlign w:val="bottom"/>
            <w:gridSpan w:val="2"/>
            <w:vMerge w:val="restart"/>
          </w:tcPr>
          <w:p>
            <w:pPr>
              <w:spacing w:after="0"/>
              <w:rPr>
                <w:sz w:val="20"/>
                <w:szCs w:val="20"/>
                <w:color w:val="auto"/>
              </w:rPr>
            </w:pPr>
            <w:r>
              <w:rPr>
                <w:rFonts w:ascii="Arial" w:cs="Arial" w:eastAsia="Arial" w:hAnsi="Arial"/>
                <w:sz w:val="17"/>
                <w:szCs w:val="17"/>
                <w:color w:val="auto"/>
              </w:rPr>
              <w:t>Total assets</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95"/>
              </w:rPr>
              <w:t>(In thousands)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6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June 30, 2016</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2,391,120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50,178</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282,570</w:t>
            </w:r>
          </w:p>
        </w:tc>
        <w:tc>
          <w:tcPr>
            <w:tcW w:w="400" w:type="dxa"/>
            <w:vAlign w:val="bottom"/>
            <w:gridSpan w:val="2"/>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(271,172)</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2,452,696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140"/>
              <w:spacing w:after="0"/>
              <w:rPr>
                <w:sz w:val="20"/>
                <w:szCs w:val="20"/>
                <w:color w:val="auto"/>
              </w:rPr>
            </w:pPr>
            <w:r>
              <w:rPr>
                <w:rFonts w:ascii="Arial" w:cs="Arial" w:eastAsia="Arial" w:hAnsi="Arial"/>
                <w:sz w:val="17"/>
                <w:szCs w:val="17"/>
                <w:color w:val="auto"/>
              </w:rPr>
              <w:t>December 31, 2015</w:t>
            </w:r>
          </w:p>
        </w:tc>
        <w:tc>
          <w:tcPr>
            <w:tcW w:w="2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2,340,566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57,208</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286,936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(275,644)</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2,409,066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For the three months ended June 30,</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2016</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280"/>
              <w:spacing w:after="0"/>
              <w:rPr>
                <w:sz w:val="20"/>
                <w:szCs w:val="20"/>
                <w:color w:val="auto"/>
              </w:rPr>
            </w:pPr>
            <w:r>
              <w:rPr>
                <w:rFonts w:ascii="Arial" w:cs="Arial" w:eastAsia="Arial" w:hAnsi="Arial"/>
                <w:sz w:val="17"/>
                <w:szCs w:val="17"/>
                <w:color w:val="auto"/>
              </w:rPr>
              <w:t>Interest income</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20,216</w:t>
            </w: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1,052</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12</w:t>
            </w:r>
          </w:p>
        </w:tc>
        <w:tc>
          <w:tcPr>
            <w:tcW w:w="40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(13)</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21,267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Net interest income</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18,989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915</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19,630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280"/>
              <w:spacing w:after="0"/>
              <w:rPr>
                <w:sz w:val="20"/>
                <w:szCs w:val="20"/>
                <w:color w:val="auto"/>
              </w:rPr>
            </w:pPr>
            <w:r>
              <w:rPr>
                <w:rFonts w:ascii="Arial" w:cs="Arial" w:eastAsia="Arial" w:hAnsi="Arial"/>
                <w:sz w:val="17"/>
                <w:szCs w:val="17"/>
                <w:color w:val="auto"/>
              </w:rPr>
              <w:t>Provision for loan losses</w:t>
            </w:r>
          </w:p>
        </w:tc>
        <w:tc>
          <w:tcPr>
            <w:tcW w:w="2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(734)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0</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0</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(734)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Income (loss) before income tax</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9,298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280"/>
              <w:spacing w:after="0"/>
              <w:rPr>
                <w:sz w:val="20"/>
                <w:szCs w:val="20"/>
                <w:color w:val="auto"/>
              </w:rPr>
            </w:pPr>
            <w:r>
              <w:rPr>
                <w:rFonts w:ascii="Arial" w:cs="Arial" w:eastAsia="Arial" w:hAnsi="Arial"/>
                <w:sz w:val="17"/>
                <w:szCs w:val="17"/>
                <w:color w:val="auto"/>
              </w:rPr>
              <w:t>Net income (loss)</w:t>
            </w:r>
          </w:p>
        </w:tc>
        <w:tc>
          <w:tcPr>
            <w:tcW w:w="2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6,550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(15)</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6,438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660" w:type="dxa"/>
            <w:vAlign w:val="bottom"/>
          </w:tcPr>
          <w:p>
            <w:pPr>
              <w:ind w:left="140"/>
              <w:spacing w:after="0"/>
              <w:rPr>
                <w:sz w:val="20"/>
                <w:szCs w:val="20"/>
                <w:color w:val="auto"/>
              </w:rPr>
            </w:pPr>
            <w:r>
              <w:rPr>
                <w:rFonts w:ascii="Arial" w:cs="Arial" w:eastAsia="Arial" w:hAnsi="Arial"/>
                <w:sz w:val="17"/>
                <w:szCs w:val="17"/>
                <w:color w:val="auto"/>
              </w:rPr>
              <w:t>2015</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Interest income</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18,701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1,430</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w:t>
            </w:r>
          </w:p>
        </w:tc>
        <w:tc>
          <w:tcPr>
            <w:tcW w:w="400" w:type="dxa"/>
            <w:vAlign w:val="bottom"/>
            <w:gridSpan w:val="2"/>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20,131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280"/>
              <w:spacing w:after="0"/>
              <w:rPr>
                <w:sz w:val="20"/>
                <w:szCs w:val="20"/>
                <w:color w:val="auto"/>
              </w:rPr>
            </w:pPr>
            <w:r>
              <w:rPr>
                <w:rFonts w:ascii="Arial" w:cs="Arial" w:eastAsia="Arial" w:hAnsi="Arial"/>
                <w:sz w:val="17"/>
                <w:szCs w:val="17"/>
                <w:color w:val="auto"/>
              </w:rPr>
              <w:t>Net interest income</w:t>
            </w:r>
          </w:p>
        </w:tc>
        <w:tc>
          <w:tcPr>
            <w:tcW w:w="2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17,717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1,218</w:t>
            </w:r>
          </w:p>
        </w:tc>
        <w:tc>
          <w:tcPr>
            <w:tcW w:w="1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(234)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18,701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Provision for loan losses</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280"/>
              <w:spacing w:after="0"/>
              <w:rPr>
                <w:sz w:val="20"/>
                <w:szCs w:val="20"/>
                <w:color w:val="auto"/>
              </w:rPr>
            </w:pPr>
            <w:r>
              <w:rPr>
                <w:rFonts w:ascii="Arial" w:cs="Arial" w:eastAsia="Arial" w:hAnsi="Arial"/>
                <w:sz w:val="17"/>
                <w:szCs w:val="17"/>
                <w:color w:val="auto"/>
              </w:rPr>
              <w:t>Income (loss) before income tax</w:t>
            </w:r>
          </w:p>
        </w:tc>
        <w:tc>
          <w:tcPr>
            <w:tcW w:w="2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8,843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(221)</w:t>
            </w:r>
          </w:p>
        </w:tc>
        <w:tc>
          <w:tcPr>
            <w:tcW w:w="1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(356)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(23)</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8,243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Net income (loss)</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5,935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(77)</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For the six months ended June 30,</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140"/>
              <w:spacing w:after="0"/>
              <w:rPr>
                <w:sz w:val="20"/>
                <w:szCs w:val="20"/>
                <w:color w:val="auto"/>
              </w:rPr>
            </w:pPr>
            <w:r>
              <w:rPr>
                <w:rFonts w:ascii="Arial" w:cs="Arial" w:eastAsia="Arial" w:hAnsi="Arial"/>
                <w:sz w:val="17"/>
                <w:szCs w:val="17"/>
                <w:color w:val="auto"/>
              </w:rPr>
              <w:t>2016</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Interest income</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40,459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2,162</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w:t>
            </w:r>
          </w:p>
        </w:tc>
        <w:tc>
          <w:tcPr>
            <w:tcW w:w="400" w:type="dxa"/>
            <w:vAlign w:val="bottom"/>
            <w:gridSpan w:val="2"/>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42,621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280"/>
              <w:spacing w:after="0"/>
              <w:rPr>
                <w:sz w:val="20"/>
                <w:szCs w:val="20"/>
                <w:color w:val="auto"/>
              </w:rPr>
            </w:pPr>
            <w:r>
              <w:rPr>
                <w:rFonts w:ascii="Arial" w:cs="Arial" w:eastAsia="Arial" w:hAnsi="Arial"/>
                <w:sz w:val="17"/>
                <w:szCs w:val="17"/>
                <w:color w:val="auto"/>
              </w:rPr>
              <w:t>Net interest income</w:t>
            </w:r>
          </w:p>
        </w:tc>
        <w:tc>
          <w:tcPr>
            <w:tcW w:w="2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38,091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1,847</w:t>
            </w:r>
          </w:p>
        </w:tc>
        <w:tc>
          <w:tcPr>
            <w:tcW w:w="1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(545)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39,393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Provision for loan losses</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(1,260)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(1,264)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280"/>
              <w:spacing w:after="0"/>
              <w:rPr>
                <w:sz w:val="20"/>
                <w:szCs w:val="20"/>
                <w:color w:val="auto"/>
              </w:rPr>
            </w:pPr>
            <w:r>
              <w:rPr>
                <w:rFonts w:ascii="Arial" w:cs="Arial" w:eastAsia="Arial" w:hAnsi="Arial"/>
                <w:sz w:val="17"/>
                <w:szCs w:val="17"/>
                <w:color w:val="auto"/>
              </w:rPr>
              <w:t>Income (loss) before income tax</w:t>
            </w:r>
          </w:p>
        </w:tc>
        <w:tc>
          <w:tcPr>
            <w:tcW w:w="2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16,160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(310)</w:t>
            </w:r>
          </w:p>
        </w:tc>
        <w:tc>
          <w:tcPr>
            <w:tcW w:w="1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(697)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(47)</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15,106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Net income (loss)</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11,169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(205)</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10,538</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2015</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280"/>
              <w:spacing w:after="0"/>
              <w:rPr>
                <w:sz w:val="20"/>
                <w:szCs w:val="20"/>
                <w:color w:val="auto"/>
              </w:rPr>
            </w:pPr>
            <w:r>
              <w:rPr>
                <w:rFonts w:ascii="Arial" w:cs="Arial" w:eastAsia="Arial" w:hAnsi="Arial"/>
                <w:sz w:val="17"/>
                <w:szCs w:val="17"/>
                <w:color w:val="auto"/>
              </w:rPr>
              <w:t>Interest income</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36,922</w:t>
            </w: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2,761</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40</w:t>
            </w:r>
          </w:p>
        </w:tc>
        <w:tc>
          <w:tcPr>
            <w:tcW w:w="40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(40)</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39,683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Net interest income</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34,900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2,353</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36,792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280"/>
              <w:spacing w:after="0"/>
              <w:rPr>
                <w:sz w:val="20"/>
                <w:szCs w:val="20"/>
                <w:color w:val="auto"/>
              </w:rPr>
            </w:pPr>
            <w:r>
              <w:rPr>
                <w:rFonts w:ascii="Arial" w:cs="Arial" w:eastAsia="Arial" w:hAnsi="Arial"/>
                <w:sz w:val="17"/>
                <w:szCs w:val="17"/>
                <w:color w:val="auto"/>
              </w:rPr>
              <w:t>Provision for loan losses</w:t>
            </w:r>
          </w:p>
        </w:tc>
        <w:tc>
          <w:tcPr>
            <w:tcW w:w="2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(794)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(793)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Income (loss) before income tax</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15,102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(512)</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(47)</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13,804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tcPr>
          <w:p>
            <w:pPr>
              <w:ind w:left="280"/>
              <w:spacing w:after="0"/>
              <w:rPr>
                <w:sz w:val="20"/>
                <w:szCs w:val="20"/>
                <w:color w:val="auto"/>
              </w:rPr>
            </w:pPr>
            <w:r>
              <w:rPr>
                <w:rFonts w:ascii="Arial" w:cs="Arial" w:eastAsia="Arial" w:hAnsi="Arial"/>
                <w:sz w:val="17"/>
                <w:szCs w:val="17"/>
                <w:color w:val="auto"/>
              </w:rPr>
              <w:t>Net income (loss)</w:t>
            </w: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10,168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(269)</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(469)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(30)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146812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68120" cy="3683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(1)Includes amounts relating to our parent company.</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(2)Includes parent company’s investment in subsidiaries and cash balances maintained at subsidiary.</w:t>
      </w:r>
    </w:p>
    <w:p>
      <w:pPr>
        <w:spacing w:after="0" w:line="226" w:lineRule="exact"/>
        <w:rPr>
          <w:sz w:val="20"/>
          <w:szCs w:val="20"/>
          <w:color w:val="auto"/>
        </w:rPr>
      </w:pPr>
    </w:p>
    <w:p>
      <w:pPr>
        <w:ind w:left="220" w:hanging="218"/>
        <w:spacing w:after="0"/>
        <w:tabs>
          <w:tab w:leader="none" w:pos="22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Shareholders’ Equity and Earnings Per Common Share</w:t>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On January 21, 2016, our Board of Directors authorized a share repurchase plan (the “Repurchase Plan”) to buy back up to 5% of our outstanding common stock through December 31, 2016. On April 26, 2016 our Board of Directors authorized a $5.0 million expansion of the Repurchase Plan. We expect to accomplish the repurchases through open market transactions, though we could affect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The Repurchase Plan does not obligate us to acquire any particular amount of common stock, and it may be modified or suspended at any time at our discretion. We expect to fund any repurchases from cash on hand. During the six months ended June 30, 2016, we repurchased 1,059,865 shares of common stock for an aggregate purchase price of $15.5 million leaving 52,703 shares and $5.0 million to be repurchased under the Repurchase Plan.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November 15, 2011, we entered into a Tax Benefits Preservation Plan (the “Preservation Plan”) with our stock transfer agent, American Stock Transfer &amp; Trust Company. Our Board of Directors adopted the Preservation Plan in an effort to protect the value to our shareholders of our ability to use deferred tax assets such as net operating loss carry forwards to reduce potential future federal income tax obligations. Under federal tax rules, this value could be lost in the event we experienced an “ownership change,” as defined in Section 382 of the Internal Revenue Code. The Preservation Plan attempts to protect this value by reducing the likelihood that we will experience such an ownership change by discouraging any person who is not already a 5% shareholder from becoming a 5% shareholder (with certain limited exceptions).</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 November 15, 2011, our Board of Directors declared a dividend of one preferred share purchase right (a “Right”) for each outstanding share of our common stock under the terms of the Preservation Plan. The dividend is payable to the holders of common stock outstanding as of the close of business on November 15, 2011, or outstanding at any time thereafter but before the earlier of a “Distribution Date” and the date the Preservation Plan terminates. Each Right entitles the registered holder to purchase from us 1/1000 of a share of our Series C Junior Participating Preferred Stock, no par value per share (“Series C Preferred Stock”). Each 1/1000 of a share of Series C Preferred Stock has economic and voting terms similar to those of one whole share of common stock. The Rights are not exercisable and generally do not become exercisable until a person or group has acquired, subject to certain exceptions and conditions, beneficial ownership of 4.99% or more of the outstanding shares of common stock. At that time, each Right will generally entitle its holder to purchase securities of the Company at a discount of 50% to the current market price of the common stock. However, the Rights owned by the person acquiring beneficial ownership of 4.99% or more of the outstanding shares of common stock would automatically be void. The significant dilution that would result is expected to deter any person from acquiring beneficial ownership of 4.99% or more and thereby triggering the Rights.</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To date, none of the Rights have been exercised or have become exercisable because no unpermitted 4.99% or more change in the beneficial ownership of the outstanding common stock has occurred. The Rights will generally expire on the earlier to occur of the close of business on November 15, 2016, and certain other events described in the Preservation Plan, including such date as our Board of Directors determines that the Preservation Plan is no longer necessary for its intended purposes. At the present time, the Board of Directors does not intend to extend the Preservation Plan.</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60" w:type="dxa"/>
            <w:vAlign w:val="bottom"/>
            <w:gridSpan w:val="2"/>
          </w:tcPr>
          <w:p>
            <w:pPr>
              <w:spacing w:after="0"/>
              <w:rPr>
                <w:sz w:val="20"/>
                <w:szCs w:val="20"/>
                <w:color w:val="auto"/>
              </w:rPr>
            </w:pPr>
            <w:r>
              <w:rPr>
                <w:rFonts w:ascii="Arial" w:cs="Arial" w:eastAsia="Arial" w:hAnsi="Arial"/>
                <w:sz w:val="17"/>
                <w:szCs w:val="17"/>
                <w:color w:val="auto"/>
              </w:rPr>
              <w:t>A reconciliation of basic and diluted net income per common share follows: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5"/>
          </w:tcPr>
          <w:p>
            <w:pPr>
              <w:jc w:val="right"/>
              <w:ind w:right="660"/>
              <w:spacing w:after="0"/>
              <w:rPr>
                <w:sz w:val="20"/>
                <w:szCs w:val="20"/>
                <w:color w:val="auto"/>
              </w:rPr>
            </w:pPr>
            <w:r>
              <w:rPr>
                <w:rFonts w:ascii="Arial" w:cs="Arial" w:eastAsia="Arial" w:hAnsi="Arial"/>
                <w:sz w:val="17"/>
                <w:szCs w:val="17"/>
                <w:color w:val="auto"/>
              </w:rPr>
              <w:t>Three Months Ended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jc w:val="right"/>
              <w:ind w:right="720"/>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7"/>
                <w:szCs w:val="17"/>
                <w:color w:val="auto"/>
              </w:rPr>
              <w:t>June 30,</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3"/>
          </w:tcPr>
          <w:p>
            <w:pPr>
              <w:jc w:val="right"/>
              <w:ind w:right="46"/>
              <w:spacing w:after="0"/>
              <w:rPr>
                <w:sz w:val="20"/>
                <w:szCs w:val="20"/>
                <w:color w:val="auto"/>
              </w:rPr>
            </w:pPr>
            <w:r>
              <w:rPr>
                <w:rFonts w:ascii="Arial" w:cs="Arial" w:eastAsia="Arial" w:hAnsi="Arial"/>
                <w:sz w:val="17"/>
                <w:szCs w:val="17"/>
                <w:color w:val="auto"/>
              </w:rPr>
              <w:t>June 30,</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2016</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2016</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980" w:type="dxa"/>
            <w:vAlign w:val="bottom"/>
            <w:gridSpan w:val="8"/>
          </w:tcPr>
          <w:p>
            <w:pPr>
              <w:jc w:val="right"/>
              <w:ind w:right="120"/>
              <w:spacing w:after="0"/>
              <w:rPr>
                <w:sz w:val="20"/>
                <w:szCs w:val="20"/>
                <w:color w:val="auto"/>
              </w:rPr>
            </w:pPr>
            <w:r>
              <w:rPr>
                <w:rFonts w:ascii="Arial" w:cs="Arial" w:eastAsia="Arial" w:hAnsi="Arial"/>
                <w:sz w:val="17"/>
                <w:szCs w:val="17"/>
                <w:color w:val="auto"/>
                <w:w w:val="90"/>
              </w:rPr>
              <w:t>(In thousands, except per share amounts)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980" w:type="dxa"/>
            <w:vAlign w:val="bottom"/>
            <w:gridSpan w:val="2"/>
          </w:tcPr>
          <w:p>
            <w:pPr>
              <w:spacing w:after="0"/>
              <w:rPr>
                <w:sz w:val="16"/>
                <w:szCs w:val="16"/>
                <w:color w:val="auto"/>
              </w:rPr>
            </w:pPr>
          </w:p>
        </w:tc>
        <w:tc>
          <w:tcPr>
            <w:tcW w:w="360" w:type="dxa"/>
            <w:vAlign w:val="bottom"/>
            <w:gridSpan w:val="2"/>
          </w:tcPr>
          <w:p>
            <w:pPr>
              <w:spacing w:after="0"/>
              <w:rPr>
                <w:sz w:val="16"/>
                <w:szCs w:val="16"/>
                <w:color w:val="auto"/>
              </w:rPr>
            </w:pPr>
          </w:p>
        </w:tc>
        <w:tc>
          <w:tcPr>
            <w:tcW w:w="114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vMerge w:val="continue"/>
          </w:tcPr>
          <w:p>
            <w:pPr>
              <w:spacing w:after="0"/>
              <w:rPr>
                <w:sz w:val="21"/>
                <w:szCs w:val="21"/>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6,438</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5,619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10,538</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Weighted average shares outstanding (1)</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21,281</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22,889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21,516</w:t>
            </w: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22,943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Stock units for deferred compensation plan for non-employee directors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111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114</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Effect of stock options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150</w:t>
            </w: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280"/>
              <w:spacing w:after="0"/>
              <w:rPr>
                <w:sz w:val="20"/>
                <w:szCs w:val="20"/>
                <w:color w:val="auto"/>
              </w:rPr>
            </w:pPr>
            <w:r>
              <w:rPr>
                <w:rFonts w:ascii="Arial" w:cs="Arial" w:eastAsia="Arial" w:hAnsi="Arial"/>
                <w:sz w:val="17"/>
                <w:szCs w:val="17"/>
                <w:color w:val="auto"/>
              </w:rPr>
              <w:t>Restricted stock units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310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Performance share units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40" w:type="dxa"/>
            <w:vAlign w:val="bottom"/>
            <w:tcBorders>
              <w:top w:val="single" w:sz="8" w:color="CCEEFF"/>
            </w:tcBorders>
          </w:tcPr>
          <w:p>
            <w:pPr>
              <w:ind w:left="440"/>
              <w:spacing w:after="0" w:line="191" w:lineRule="exact"/>
              <w:rPr>
                <w:sz w:val="20"/>
                <w:szCs w:val="20"/>
                <w:color w:val="auto"/>
              </w:rPr>
            </w:pPr>
            <w:r>
              <w:rPr>
                <w:rFonts w:ascii="Arial" w:cs="Arial" w:eastAsia="Arial" w:hAnsi="Arial"/>
                <w:sz w:val="17"/>
                <w:szCs w:val="17"/>
                <w:color w:val="auto"/>
                <w:w w:val="98"/>
              </w:rPr>
              <w:t>Weighted average shares outstanding for calculation of diluted earnings per</w:t>
            </w: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560"/>
              <w:spacing w:after="0"/>
              <w:rPr>
                <w:sz w:val="20"/>
                <w:szCs w:val="20"/>
                <w:color w:val="auto"/>
              </w:rPr>
            </w:pPr>
            <w:r>
              <w:rPr>
                <w:rFonts w:ascii="Arial" w:cs="Arial" w:eastAsia="Arial" w:hAnsi="Arial"/>
                <w:sz w:val="17"/>
                <w:szCs w:val="17"/>
                <w:color w:val="auto"/>
              </w:rPr>
              <w:t>share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21,639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23,430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21,887</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23,484</w:t>
            </w: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6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Net income per common share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Basic (1)</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0.30</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0.25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0.49</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Diluted</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0.30</w:t>
            </w:r>
          </w:p>
        </w:tc>
        <w:tc>
          <w:tcPr>
            <w:tcW w:w="5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0.24</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0.48</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28"/>
          <w:szCs w:val="28"/>
          <w:color w:val="auto"/>
          <w:vertAlign w:val="superscript"/>
        </w:rPr>
        <w:t>(1)</w:t>
      </w:r>
      <w:r>
        <w:rPr>
          <w:rFonts w:ascii="Arial" w:cs="Arial" w:eastAsia="Arial" w:hAnsi="Arial"/>
          <w:sz w:val="17"/>
          <w:szCs w:val="17"/>
          <w:color w:val="auto"/>
        </w:rPr>
        <w:t>Basic net income per common share includes weighted average common shares outstanding during the period and participating share awards.</w:t>
      </w:r>
    </w:p>
    <w:p>
      <w:pPr>
        <w:spacing w:after="0" w:line="122" w:lineRule="exact"/>
        <w:rPr>
          <w:sz w:val="20"/>
          <w:szCs w:val="20"/>
          <w:color w:val="auto"/>
        </w:rPr>
      </w:pPr>
    </w:p>
    <w:p>
      <w:pPr>
        <w:jc w:val="both"/>
        <w:spacing w:after="0" w:line="343" w:lineRule="auto"/>
        <w:rPr>
          <w:sz w:val="20"/>
          <w:szCs w:val="20"/>
          <w:color w:val="auto"/>
        </w:rPr>
      </w:pPr>
      <w:r>
        <w:rPr>
          <w:rFonts w:ascii="Arial" w:cs="Arial" w:eastAsia="Arial" w:hAnsi="Arial"/>
          <w:sz w:val="15"/>
          <w:szCs w:val="15"/>
          <w:color w:val="auto"/>
        </w:rPr>
        <w:t>Weighted average stock options outstanding that were not considered in computing diluted net income per share because they were anti-dilutive totaled 0.03 million for both three-month periods ended June 30, 2016 and 2015, respectively and totaled 0.03 million for both six-month periods ended June 30, 2016 and 2015, respectively.</w:t>
      </w:r>
    </w:p>
    <w:p>
      <w:pPr>
        <w:spacing w:after="0" w:line="169" w:lineRule="exact"/>
        <w:rPr>
          <w:sz w:val="20"/>
          <w:szCs w:val="20"/>
          <w:color w:val="auto"/>
        </w:rPr>
      </w:pPr>
    </w:p>
    <w:p>
      <w:pPr>
        <w:ind w:left="240" w:hanging="238"/>
        <w:spacing w:after="0"/>
        <w:tabs>
          <w:tab w:leader="none" w:pos="24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Derivative Financial Instruments</w:t>
      </w:r>
    </w:p>
    <w:p>
      <w:pPr>
        <w:spacing w:after="0" w:line="238" w:lineRule="exact"/>
        <w:rPr>
          <w:sz w:val="20"/>
          <w:szCs w:val="20"/>
          <w:color w:val="auto"/>
        </w:rPr>
      </w:pPr>
    </w:p>
    <w:p>
      <w:pPr>
        <w:spacing w:after="0" w:line="343" w:lineRule="auto"/>
        <w:rPr>
          <w:sz w:val="20"/>
          <w:szCs w:val="20"/>
          <w:color w:val="auto"/>
        </w:rPr>
      </w:pPr>
      <w:r>
        <w:rPr>
          <w:rFonts w:ascii="Arial" w:cs="Arial" w:eastAsia="Arial" w:hAnsi="Arial"/>
          <w:sz w:val="15"/>
          <w:szCs w:val="15"/>
          <w:color w:val="auto"/>
        </w:rPr>
        <w:t>We are required to record derivatives on our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20"/>
                <w:szCs w:val="20"/>
                <w:color w:val="auto"/>
              </w:rPr>
            </w:pPr>
            <w:r>
              <w:rPr>
                <w:rFonts w:ascii="Arial" w:cs="Arial" w:eastAsia="Arial" w:hAnsi="Arial"/>
                <w:sz w:val="17"/>
                <w:szCs w:val="17"/>
                <w:color w:val="auto"/>
                <w:w w:val="95"/>
              </w:rPr>
              <w:t>Our derivative financial instruments according to the type of hedge in which they are designated follows: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7"/>
                <w:szCs w:val="17"/>
                <w:color w:val="auto"/>
                <w:w w:val="89"/>
              </w:rPr>
              <w:t>June 30, 2016</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260"/>
              <w:spacing w:after="0" w:line="191" w:lineRule="exact"/>
              <w:rPr>
                <w:sz w:val="20"/>
                <w:szCs w:val="20"/>
                <w:color w:val="auto"/>
              </w:rPr>
            </w:pPr>
            <w:r>
              <w:rPr>
                <w:rFonts w:ascii="Arial" w:cs="Arial" w:eastAsia="Arial" w:hAnsi="Arial"/>
                <w:sz w:val="17"/>
                <w:szCs w:val="17"/>
                <w:color w:val="auto"/>
                <w:w w:val="88"/>
              </w:rPr>
              <w:t>Average</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ind w:left="100"/>
              <w:spacing w:after="0"/>
              <w:rPr>
                <w:sz w:val="20"/>
                <w:szCs w:val="20"/>
                <w:color w:val="auto"/>
              </w:rPr>
            </w:pPr>
            <w:r>
              <w:rPr>
                <w:rFonts w:ascii="Arial" w:cs="Arial" w:eastAsia="Arial" w:hAnsi="Arial"/>
                <w:sz w:val="17"/>
                <w:szCs w:val="17"/>
                <w:color w:val="auto"/>
              </w:rPr>
              <w:t>Notional</w:t>
            </w:r>
          </w:p>
        </w:tc>
        <w:tc>
          <w:tcPr>
            <w:tcW w:w="2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color w:val="auto"/>
                <w:w w:val="95"/>
              </w:rPr>
              <w:t>Maturity</w:t>
            </w:r>
          </w:p>
        </w:tc>
        <w:tc>
          <w:tcPr>
            <w:tcW w:w="22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7"/>
                <w:szCs w:val="17"/>
                <w:color w:val="auto"/>
                <w:w w:val="95"/>
              </w:rPr>
              <w:t>Fair</w:t>
            </w:r>
          </w:p>
        </w:tc>
        <w:tc>
          <w:tcPr>
            <w:tcW w:w="0" w:type="dxa"/>
            <w:vAlign w:val="bottom"/>
          </w:tcPr>
          <w:p>
            <w:pPr>
              <w:spacing w:after="0"/>
              <w:rPr>
                <w:sz w:val="1"/>
                <w:szCs w:val="1"/>
                <w:color w:val="auto"/>
              </w:rPr>
            </w:pPr>
          </w:p>
        </w:tc>
      </w:tr>
      <w:tr>
        <w:trPr>
          <w:trHeight w:val="222"/>
        </w:trPr>
        <w:tc>
          <w:tcPr>
            <w:tcW w:w="7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Amount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(years)</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color w:val="auto"/>
                <w:w w:val="91"/>
              </w:rPr>
              <w:t>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40" w:type="dxa"/>
            <w:vAlign w:val="bottom"/>
            <w:vMerge w:val="restart"/>
          </w:tcPr>
          <w:p>
            <w:pPr>
              <w:spacing w:after="0"/>
              <w:rPr>
                <w:sz w:val="20"/>
                <w:szCs w:val="20"/>
                <w:color w:val="auto"/>
              </w:rPr>
            </w:pPr>
            <w:r>
              <w:rPr>
                <w:rFonts w:ascii="Arial" w:cs="Arial" w:eastAsia="Arial" w:hAnsi="Arial"/>
                <w:sz w:val="17"/>
                <w:szCs w:val="17"/>
                <w:color w:val="auto"/>
              </w:rPr>
              <w:t>No hedge designation</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w w:val="81"/>
              </w:rPr>
              <w:t>(Dollars in thousands)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4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Rate-lock mortgage loan commitments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26,831</w:t>
            </w: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0.1</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899</w:t>
            </w:r>
          </w:p>
        </w:tc>
        <w:tc>
          <w:tcPr>
            <w:tcW w:w="0" w:type="dxa"/>
            <w:vAlign w:val="bottom"/>
          </w:tcPr>
          <w:p>
            <w:pPr>
              <w:spacing w:after="0"/>
              <w:rPr>
                <w:sz w:val="1"/>
                <w:szCs w:val="1"/>
                <w:color w:val="auto"/>
              </w:rPr>
            </w:pPr>
          </w:p>
        </w:tc>
      </w:tr>
      <w:tr>
        <w:trPr>
          <w:trHeight w:val="204"/>
        </w:trPr>
        <w:tc>
          <w:tcPr>
            <w:tcW w:w="7440" w:type="dxa"/>
            <w:vAlign w:val="bottom"/>
          </w:tcPr>
          <w:p>
            <w:pPr>
              <w:ind w:left="160"/>
              <w:spacing w:after="0"/>
              <w:rPr>
                <w:sz w:val="20"/>
                <w:szCs w:val="20"/>
                <w:color w:val="auto"/>
              </w:rPr>
            </w:pPr>
            <w:r>
              <w:rPr>
                <w:rFonts w:ascii="Arial" w:cs="Arial" w:eastAsia="Arial" w:hAnsi="Arial"/>
                <w:sz w:val="17"/>
                <w:szCs w:val="17"/>
                <w:color w:val="auto"/>
              </w:rPr>
              <w:t>Mandatory commitments to sell mortgage loans</w:t>
            </w:r>
          </w:p>
        </w:tc>
        <w:tc>
          <w:tcPr>
            <w:tcW w:w="1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57,034</w:t>
            </w:r>
          </w:p>
        </w:tc>
        <w:tc>
          <w:tcPr>
            <w:tcW w:w="1600" w:type="dxa"/>
            <w:vAlign w:val="bottom"/>
            <w:gridSpan w:val="3"/>
          </w:tcPr>
          <w:p>
            <w:pPr>
              <w:jc w:val="right"/>
              <w:ind w:right="240"/>
              <w:spacing w:after="0"/>
              <w:rPr>
                <w:sz w:val="20"/>
                <w:szCs w:val="20"/>
                <w:color w:val="auto"/>
              </w:rPr>
            </w:pPr>
            <w:r>
              <w:rPr>
                <w:rFonts w:ascii="Arial" w:cs="Arial" w:eastAsia="Arial" w:hAnsi="Arial"/>
                <w:sz w:val="17"/>
                <w:szCs w:val="17"/>
                <w:color w:val="auto"/>
              </w:rPr>
              <w:t>0.1</w:t>
            </w:r>
          </w:p>
        </w:tc>
        <w:tc>
          <w:tcPr>
            <w:tcW w:w="22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(377)</w:t>
            </w:r>
          </w:p>
        </w:tc>
        <w:tc>
          <w:tcPr>
            <w:tcW w:w="0" w:type="dxa"/>
            <w:vAlign w:val="bottom"/>
          </w:tcPr>
          <w:p>
            <w:pPr>
              <w:spacing w:after="0"/>
              <w:rPr>
                <w:sz w:val="1"/>
                <w:szCs w:val="1"/>
                <w:color w:val="auto"/>
              </w:rPr>
            </w:pPr>
          </w:p>
        </w:tc>
      </w:tr>
      <w:tr>
        <w:trPr>
          <w:trHeight w:val="204"/>
        </w:trPr>
        <w:tc>
          <w:tcPr>
            <w:tcW w:w="74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Pay-fixed interest rate swap agreements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44,396</w:t>
            </w: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9.1</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(2,205)</w:t>
            </w:r>
          </w:p>
        </w:tc>
        <w:tc>
          <w:tcPr>
            <w:tcW w:w="0" w:type="dxa"/>
            <w:vAlign w:val="bottom"/>
          </w:tcPr>
          <w:p>
            <w:pPr>
              <w:spacing w:after="0"/>
              <w:rPr>
                <w:sz w:val="1"/>
                <w:szCs w:val="1"/>
                <w:color w:val="auto"/>
              </w:rPr>
            </w:pPr>
          </w:p>
        </w:tc>
      </w:tr>
      <w:tr>
        <w:trPr>
          <w:trHeight w:val="204"/>
        </w:trPr>
        <w:tc>
          <w:tcPr>
            <w:tcW w:w="7440" w:type="dxa"/>
            <w:vAlign w:val="bottom"/>
          </w:tcPr>
          <w:p>
            <w:pPr>
              <w:ind w:left="160"/>
              <w:spacing w:after="0"/>
              <w:rPr>
                <w:sz w:val="20"/>
                <w:szCs w:val="20"/>
                <w:color w:val="auto"/>
              </w:rPr>
            </w:pPr>
            <w:r>
              <w:rPr>
                <w:rFonts w:ascii="Arial" w:cs="Arial" w:eastAsia="Arial" w:hAnsi="Arial"/>
                <w:sz w:val="17"/>
                <w:szCs w:val="17"/>
                <w:color w:val="auto"/>
              </w:rPr>
              <w:t>Pay-variable interest rate swap agreements</w:t>
            </w:r>
          </w:p>
        </w:tc>
        <w:tc>
          <w:tcPr>
            <w:tcW w:w="1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44,396</w:t>
            </w:r>
          </w:p>
        </w:tc>
        <w:tc>
          <w:tcPr>
            <w:tcW w:w="1600" w:type="dxa"/>
            <w:vAlign w:val="bottom"/>
            <w:gridSpan w:val="3"/>
          </w:tcPr>
          <w:p>
            <w:pPr>
              <w:jc w:val="right"/>
              <w:ind w:right="240"/>
              <w:spacing w:after="0"/>
              <w:rPr>
                <w:sz w:val="20"/>
                <w:szCs w:val="20"/>
                <w:color w:val="auto"/>
              </w:rPr>
            </w:pPr>
            <w:r>
              <w:rPr>
                <w:rFonts w:ascii="Arial" w:cs="Arial" w:eastAsia="Arial" w:hAnsi="Arial"/>
                <w:sz w:val="17"/>
                <w:szCs w:val="17"/>
                <w:color w:val="auto"/>
              </w:rPr>
              <w:t>9.1</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4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Purchased options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3,119</w:t>
            </w: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5.0</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09"/>
        </w:trPr>
        <w:tc>
          <w:tcPr>
            <w:tcW w:w="7440" w:type="dxa"/>
            <w:vAlign w:val="bottom"/>
          </w:tcPr>
          <w:p>
            <w:pPr>
              <w:ind w:left="160"/>
              <w:spacing w:after="0"/>
              <w:rPr>
                <w:sz w:val="20"/>
                <w:szCs w:val="20"/>
                <w:color w:val="auto"/>
              </w:rPr>
            </w:pPr>
            <w:r>
              <w:rPr>
                <w:rFonts w:ascii="Arial" w:cs="Arial" w:eastAsia="Arial" w:hAnsi="Arial"/>
                <w:sz w:val="17"/>
                <w:szCs w:val="17"/>
                <w:color w:val="auto"/>
              </w:rPr>
              <w:t>Written options</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3,119</w:t>
            </w:r>
          </w:p>
        </w:tc>
        <w:tc>
          <w:tcPr>
            <w:tcW w:w="1600" w:type="dxa"/>
            <w:vAlign w:val="bottom"/>
            <w:gridSpan w:val="3"/>
          </w:tcPr>
          <w:p>
            <w:pPr>
              <w:jc w:val="right"/>
              <w:ind w:right="240"/>
              <w:spacing w:after="0"/>
              <w:rPr>
                <w:sz w:val="20"/>
                <w:szCs w:val="20"/>
                <w:color w:val="auto"/>
              </w:rPr>
            </w:pPr>
            <w:r>
              <w:rPr>
                <w:rFonts w:ascii="Arial" w:cs="Arial" w:eastAsia="Arial" w:hAnsi="Arial"/>
                <w:sz w:val="17"/>
                <w:szCs w:val="17"/>
                <w:color w:val="auto"/>
              </w:rPr>
              <w:t>5.0</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w:t>
            </w: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178,895</w:t>
            </w:r>
          </w:p>
        </w:tc>
        <w:tc>
          <w:tcPr>
            <w:tcW w:w="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4.7</w:t>
            </w: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29"/>
        </w:trPr>
        <w:tc>
          <w:tcPr>
            <w:tcW w:w="7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7"/>
                <w:szCs w:val="17"/>
                <w:color w:val="auto"/>
                <w:w w:val="88"/>
              </w:rPr>
              <w:t>December 31, 2015</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260"/>
              <w:spacing w:after="0" w:line="191" w:lineRule="exact"/>
              <w:rPr>
                <w:sz w:val="20"/>
                <w:szCs w:val="20"/>
                <w:color w:val="auto"/>
              </w:rPr>
            </w:pPr>
            <w:r>
              <w:rPr>
                <w:rFonts w:ascii="Arial" w:cs="Arial" w:eastAsia="Arial" w:hAnsi="Arial"/>
                <w:sz w:val="17"/>
                <w:szCs w:val="17"/>
                <w:color w:val="auto"/>
                <w:w w:val="88"/>
              </w:rPr>
              <w:t>Average</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ind w:left="100"/>
              <w:spacing w:after="0"/>
              <w:rPr>
                <w:sz w:val="20"/>
                <w:szCs w:val="20"/>
                <w:color w:val="auto"/>
              </w:rPr>
            </w:pPr>
            <w:r>
              <w:rPr>
                <w:rFonts w:ascii="Arial" w:cs="Arial" w:eastAsia="Arial" w:hAnsi="Arial"/>
                <w:sz w:val="17"/>
                <w:szCs w:val="17"/>
                <w:color w:val="auto"/>
              </w:rPr>
              <w:t>Notional</w:t>
            </w:r>
          </w:p>
        </w:tc>
        <w:tc>
          <w:tcPr>
            <w:tcW w:w="2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color w:val="auto"/>
                <w:w w:val="95"/>
              </w:rPr>
              <w:t>Maturity</w:t>
            </w:r>
          </w:p>
        </w:tc>
        <w:tc>
          <w:tcPr>
            <w:tcW w:w="22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7"/>
                <w:szCs w:val="17"/>
                <w:color w:val="auto"/>
                <w:w w:val="95"/>
              </w:rPr>
              <w:t>Fair</w:t>
            </w:r>
          </w:p>
        </w:tc>
        <w:tc>
          <w:tcPr>
            <w:tcW w:w="0" w:type="dxa"/>
            <w:vAlign w:val="bottom"/>
          </w:tcPr>
          <w:p>
            <w:pPr>
              <w:spacing w:after="0"/>
              <w:rPr>
                <w:sz w:val="1"/>
                <w:szCs w:val="1"/>
                <w:color w:val="auto"/>
              </w:rPr>
            </w:pPr>
          </w:p>
        </w:tc>
      </w:tr>
      <w:tr>
        <w:trPr>
          <w:trHeight w:val="222"/>
        </w:trPr>
        <w:tc>
          <w:tcPr>
            <w:tcW w:w="7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Amount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(years)</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color w:val="auto"/>
                <w:w w:val="91"/>
              </w:rPr>
              <w:t>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1"/>
              </w:rPr>
              <w:t>(Dollars in thousands)</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440" w:type="dxa"/>
            <w:vAlign w:val="bottom"/>
          </w:tcPr>
          <w:p>
            <w:pPr>
              <w:spacing w:after="0"/>
              <w:rPr>
                <w:sz w:val="20"/>
                <w:szCs w:val="20"/>
                <w:color w:val="auto"/>
              </w:rPr>
            </w:pPr>
            <w:r>
              <w:rPr>
                <w:rFonts w:ascii="Arial" w:cs="Arial" w:eastAsia="Arial" w:hAnsi="Arial"/>
                <w:sz w:val="17"/>
                <w:szCs w:val="17"/>
                <w:color w:val="auto"/>
              </w:rPr>
              <w:t>No hedge designation</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4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Rate-lock mortgage loan commitments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20,581</w:t>
            </w: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0.1</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550</w:t>
            </w:r>
          </w:p>
        </w:tc>
        <w:tc>
          <w:tcPr>
            <w:tcW w:w="0" w:type="dxa"/>
            <w:vAlign w:val="bottom"/>
          </w:tcPr>
          <w:p>
            <w:pPr>
              <w:spacing w:after="0"/>
              <w:rPr>
                <w:sz w:val="1"/>
                <w:szCs w:val="1"/>
                <w:color w:val="auto"/>
              </w:rPr>
            </w:pPr>
          </w:p>
        </w:tc>
      </w:tr>
      <w:tr>
        <w:trPr>
          <w:trHeight w:val="204"/>
        </w:trPr>
        <w:tc>
          <w:tcPr>
            <w:tcW w:w="7440" w:type="dxa"/>
            <w:vAlign w:val="bottom"/>
          </w:tcPr>
          <w:p>
            <w:pPr>
              <w:ind w:left="160"/>
              <w:spacing w:after="0"/>
              <w:rPr>
                <w:sz w:val="20"/>
                <w:szCs w:val="20"/>
                <w:color w:val="auto"/>
              </w:rPr>
            </w:pPr>
            <w:r>
              <w:rPr>
                <w:rFonts w:ascii="Arial" w:cs="Arial" w:eastAsia="Arial" w:hAnsi="Arial"/>
                <w:sz w:val="17"/>
                <w:szCs w:val="17"/>
                <w:color w:val="auto"/>
              </w:rPr>
              <w:t>Mandatory commitments to sell mortgage loans</w:t>
            </w:r>
          </w:p>
        </w:tc>
        <w:tc>
          <w:tcPr>
            <w:tcW w:w="1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46,320</w:t>
            </w:r>
          </w:p>
        </w:tc>
        <w:tc>
          <w:tcPr>
            <w:tcW w:w="1600" w:type="dxa"/>
            <w:vAlign w:val="bottom"/>
            <w:gridSpan w:val="3"/>
          </w:tcPr>
          <w:p>
            <w:pPr>
              <w:jc w:val="right"/>
              <w:ind w:right="240"/>
              <w:spacing w:after="0"/>
              <w:rPr>
                <w:sz w:val="20"/>
                <w:szCs w:val="20"/>
                <w:color w:val="auto"/>
              </w:rPr>
            </w:pPr>
            <w:r>
              <w:rPr>
                <w:rFonts w:ascii="Arial" w:cs="Arial" w:eastAsia="Arial" w:hAnsi="Arial"/>
                <w:sz w:val="17"/>
                <w:szCs w:val="17"/>
                <w:color w:val="auto"/>
              </w:rPr>
              <w:t>0.1</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4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Pay-fixed interest rate swap agreements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27,587</w:t>
            </w: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8.0</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(497)</w:t>
            </w:r>
          </w:p>
        </w:tc>
        <w:tc>
          <w:tcPr>
            <w:tcW w:w="0" w:type="dxa"/>
            <w:vAlign w:val="bottom"/>
          </w:tcPr>
          <w:p>
            <w:pPr>
              <w:spacing w:after="0"/>
              <w:rPr>
                <w:sz w:val="1"/>
                <w:szCs w:val="1"/>
                <w:color w:val="auto"/>
              </w:rPr>
            </w:pPr>
          </w:p>
        </w:tc>
      </w:tr>
      <w:tr>
        <w:trPr>
          <w:trHeight w:val="204"/>
        </w:trPr>
        <w:tc>
          <w:tcPr>
            <w:tcW w:w="7440" w:type="dxa"/>
            <w:vAlign w:val="bottom"/>
          </w:tcPr>
          <w:p>
            <w:pPr>
              <w:ind w:left="160"/>
              <w:spacing w:after="0"/>
              <w:rPr>
                <w:sz w:val="20"/>
                <w:szCs w:val="20"/>
                <w:color w:val="auto"/>
              </w:rPr>
            </w:pPr>
            <w:r>
              <w:rPr>
                <w:rFonts w:ascii="Arial" w:cs="Arial" w:eastAsia="Arial" w:hAnsi="Arial"/>
                <w:sz w:val="17"/>
                <w:szCs w:val="17"/>
                <w:color w:val="auto"/>
              </w:rPr>
              <w:t>Pay-variable interest rate swap agreements</w:t>
            </w:r>
          </w:p>
        </w:tc>
        <w:tc>
          <w:tcPr>
            <w:tcW w:w="1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27,587</w:t>
            </w:r>
          </w:p>
        </w:tc>
        <w:tc>
          <w:tcPr>
            <w:tcW w:w="1600" w:type="dxa"/>
            <w:vAlign w:val="bottom"/>
            <w:gridSpan w:val="3"/>
          </w:tcPr>
          <w:p>
            <w:pPr>
              <w:jc w:val="right"/>
              <w:ind w:right="240"/>
              <w:spacing w:after="0"/>
              <w:rPr>
                <w:sz w:val="20"/>
                <w:szCs w:val="20"/>
                <w:color w:val="auto"/>
              </w:rPr>
            </w:pPr>
            <w:r>
              <w:rPr>
                <w:rFonts w:ascii="Arial" w:cs="Arial" w:eastAsia="Arial" w:hAnsi="Arial"/>
                <w:sz w:val="17"/>
                <w:szCs w:val="17"/>
                <w:color w:val="auto"/>
              </w:rPr>
              <w:t>8.0</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497</w:t>
            </w:r>
          </w:p>
        </w:tc>
        <w:tc>
          <w:tcPr>
            <w:tcW w:w="0" w:type="dxa"/>
            <w:vAlign w:val="bottom"/>
          </w:tcPr>
          <w:p>
            <w:pPr>
              <w:spacing w:after="0"/>
              <w:rPr>
                <w:sz w:val="1"/>
                <w:szCs w:val="1"/>
                <w:color w:val="auto"/>
              </w:rPr>
            </w:pPr>
          </w:p>
        </w:tc>
      </w:tr>
      <w:tr>
        <w:trPr>
          <w:trHeight w:val="204"/>
        </w:trPr>
        <w:tc>
          <w:tcPr>
            <w:tcW w:w="74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Purchased options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2,098</w:t>
            </w:r>
          </w:p>
        </w:tc>
        <w:tc>
          <w:tcPr>
            <w:tcW w:w="2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5.7</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09"/>
        </w:trPr>
        <w:tc>
          <w:tcPr>
            <w:tcW w:w="7440" w:type="dxa"/>
            <w:vAlign w:val="bottom"/>
          </w:tcPr>
          <w:p>
            <w:pPr>
              <w:ind w:left="160"/>
              <w:spacing w:after="0"/>
              <w:rPr>
                <w:sz w:val="20"/>
                <w:szCs w:val="20"/>
                <w:color w:val="auto"/>
              </w:rPr>
            </w:pPr>
            <w:r>
              <w:rPr>
                <w:rFonts w:ascii="Arial" w:cs="Arial" w:eastAsia="Arial" w:hAnsi="Arial"/>
                <w:sz w:val="17"/>
                <w:szCs w:val="17"/>
                <w:color w:val="auto"/>
              </w:rPr>
              <w:t>Written options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2,098</w:t>
            </w:r>
          </w:p>
        </w:tc>
        <w:tc>
          <w:tcPr>
            <w:tcW w:w="20" w:type="dxa"/>
            <w:vAlign w:val="bottom"/>
          </w:tcPr>
          <w:p>
            <w:pPr>
              <w:spacing w:after="0"/>
              <w:rPr>
                <w:sz w:val="18"/>
                <w:szCs w:val="18"/>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7"/>
                <w:szCs w:val="17"/>
                <w:color w:val="auto"/>
              </w:rPr>
              <w:t>5.7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w:t>
            </w: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126,271</w:t>
            </w:r>
          </w:p>
        </w:tc>
        <w:tc>
          <w:tcPr>
            <w:tcW w:w="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3.7</w:t>
            </w: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financial derivative instruments have not been designated as hedges. The fair value of these derivative financial instruments has been recorded on our Condensed Consolidated Statements of Financial Condition and is adjusted on an ongoing basis to reflect their then current fair value. The changes in fair value of derivative financial instruments not designated as hedges are recognized in our Condensed Consolidated Statements of Operations.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We obtain market prices on Mandatory Commitments and Rate-Lock Commitments. Net gains on mortgage loans, as well as net income may be more volatile as a result of these derivative instruments, which are not designated as hedges.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During 2015, we began offering to our deposit customers an equity linked time deposit product (“Altitude CD”). The Altitude CD is a time deposit that provides the customer a guaranteed return of principal at maturity plus a potential equity return (a written option), while we receive a like stream of funds based on the equity return (a purchased option). The written and purchased options will generally move in opposite directions resulting in little or no net impact on our Condensed Consolidated Statements of Operations. All of the written and purchased options in the table above relate to this Altitude CD product.</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Condensed Consolidated Statements of Operations. All of the interest rate swap agreements in the table above relate to this program.</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following tables illustrate the impact that the derivative financial instruments discussed above have on individual line items in the Condensed Consolidated Statements of Financial Condition for the periods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gridSpan w:val="2"/>
          </w:tcPr>
          <w:p>
            <w:pPr>
              <w:spacing w:after="0"/>
              <w:rPr>
                <w:sz w:val="20"/>
                <w:szCs w:val="20"/>
                <w:color w:val="auto"/>
              </w:rPr>
            </w:pPr>
            <w:r>
              <w:rPr>
                <w:rFonts w:ascii="Arial" w:cs="Arial" w:eastAsia="Arial" w:hAnsi="Arial"/>
                <w:sz w:val="17"/>
                <w:szCs w:val="17"/>
                <w:color w:val="auto"/>
                <w:w w:val="96"/>
              </w:rPr>
              <w:t>Fair Values of Derivative Instruments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9"/>
        </w:trPr>
        <w:tc>
          <w:tcPr>
            <w:tcW w:w="18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220"/>
              <w:spacing w:after="0"/>
              <w:rPr>
                <w:sz w:val="20"/>
                <w:szCs w:val="20"/>
                <w:color w:val="auto"/>
              </w:rPr>
            </w:pPr>
            <w:r>
              <w:rPr>
                <w:rFonts w:ascii="Arial" w:cs="Arial" w:eastAsia="Arial" w:hAnsi="Arial"/>
                <w:sz w:val="17"/>
                <w:szCs w:val="17"/>
                <w:color w:val="auto"/>
              </w:rPr>
              <w:t>Asset Derivatives</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ind w:left="140"/>
              <w:spacing w:after="0"/>
              <w:rPr>
                <w:sz w:val="20"/>
                <w:szCs w:val="20"/>
                <w:color w:val="auto"/>
              </w:rPr>
            </w:pPr>
            <w:r>
              <w:rPr>
                <w:rFonts w:ascii="Arial" w:cs="Arial" w:eastAsia="Arial" w:hAnsi="Arial"/>
                <w:sz w:val="17"/>
                <w:szCs w:val="17"/>
                <w:color w:val="auto"/>
              </w:rPr>
              <w:t>Liability Derivatives</w:t>
            </w: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1840" w:type="dxa"/>
            <w:vAlign w:val="bottom"/>
          </w:tcPr>
          <w:p>
            <w:pPr>
              <w:spacing w:after="0"/>
              <w:rPr>
                <w:sz w:val="16"/>
                <w:szCs w:val="16"/>
                <w:color w:val="auto"/>
              </w:rPr>
            </w:pPr>
          </w:p>
        </w:tc>
        <w:tc>
          <w:tcPr>
            <w:tcW w:w="1420" w:type="dxa"/>
            <w:vAlign w:val="bottom"/>
            <w:gridSpan w:val="4"/>
          </w:tcPr>
          <w:p>
            <w:pPr>
              <w:ind w:left="800"/>
              <w:spacing w:after="0" w:line="191" w:lineRule="exact"/>
              <w:rPr>
                <w:sz w:val="20"/>
                <w:szCs w:val="20"/>
                <w:color w:val="auto"/>
              </w:rPr>
            </w:pPr>
            <w:r>
              <w:rPr>
                <w:rFonts w:ascii="Arial" w:cs="Arial" w:eastAsia="Arial" w:hAnsi="Arial"/>
                <w:sz w:val="17"/>
                <w:szCs w:val="17"/>
                <w:color w:val="auto"/>
                <w:w w:val="91"/>
              </w:rPr>
              <w:t>June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5"/>
          </w:tcPr>
          <w:p>
            <w:pPr>
              <w:jc w:val="right"/>
              <w:ind w:right="517"/>
              <w:spacing w:after="0" w:line="191" w:lineRule="exact"/>
              <w:rPr>
                <w:sz w:val="20"/>
                <w:szCs w:val="20"/>
                <w:color w:val="auto"/>
              </w:rPr>
            </w:pPr>
            <w:r>
              <w:rPr>
                <w:rFonts w:ascii="Arial" w:cs="Arial" w:eastAsia="Arial" w:hAnsi="Arial"/>
                <w:sz w:val="17"/>
                <w:szCs w:val="17"/>
                <w:color w:val="auto"/>
              </w:rPr>
              <w:t>December 31,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3"/>
          </w:tcPr>
          <w:p>
            <w:pPr>
              <w:jc w:val="center"/>
              <w:ind w:left="715"/>
              <w:spacing w:after="0" w:line="191" w:lineRule="exact"/>
              <w:rPr>
                <w:sz w:val="20"/>
                <w:szCs w:val="20"/>
                <w:color w:val="auto"/>
              </w:rPr>
            </w:pPr>
            <w:r>
              <w:rPr>
                <w:rFonts w:ascii="Arial" w:cs="Arial" w:eastAsia="Arial" w:hAnsi="Arial"/>
                <w:sz w:val="17"/>
                <w:szCs w:val="17"/>
                <w:color w:val="auto"/>
                <w:w w:val="85"/>
              </w:rPr>
              <w:t>June 30,</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3"/>
          </w:tcPr>
          <w:p>
            <w:pPr>
              <w:ind w:left="720"/>
              <w:spacing w:after="0" w:line="191" w:lineRule="exact"/>
              <w:rPr>
                <w:sz w:val="20"/>
                <w:szCs w:val="20"/>
                <w:color w:val="auto"/>
              </w:rPr>
            </w:pPr>
            <w:r>
              <w:rPr>
                <w:rFonts w:ascii="Arial" w:cs="Arial" w:eastAsia="Arial" w:hAnsi="Arial"/>
                <w:sz w:val="17"/>
                <w:szCs w:val="17"/>
                <w:color w:val="auto"/>
                <w:w w:val="88"/>
              </w:rPr>
              <w:t>December 31,</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2"/>
        </w:trPr>
        <w:tc>
          <w:tcPr>
            <w:tcW w:w="1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gridSpan w:val="3"/>
          </w:tcPr>
          <w:p>
            <w:pPr>
              <w:jc w:val="right"/>
              <w:ind w:right="86"/>
              <w:spacing w:after="0"/>
              <w:rPr>
                <w:sz w:val="20"/>
                <w:szCs w:val="20"/>
                <w:color w:val="auto"/>
              </w:rPr>
            </w:pPr>
            <w:r>
              <w:rPr>
                <w:rFonts w:ascii="Arial" w:cs="Arial" w:eastAsia="Arial" w:hAnsi="Arial"/>
                <w:sz w:val="17"/>
                <w:szCs w:val="17"/>
                <w:color w:val="auto"/>
              </w:rPr>
              <w:t>2016</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gridSpan w:val="3"/>
          </w:tcPr>
          <w:p>
            <w:pPr>
              <w:jc w:val="right"/>
              <w:ind w:right="46"/>
              <w:spacing w:after="0"/>
              <w:rPr>
                <w:sz w:val="20"/>
                <w:szCs w:val="20"/>
                <w:color w:val="auto"/>
              </w:rPr>
            </w:pPr>
            <w:r>
              <w:rPr>
                <w:rFonts w:ascii="Arial" w:cs="Arial" w:eastAsia="Arial" w:hAnsi="Arial"/>
                <w:sz w:val="17"/>
                <w:szCs w:val="17"/>
                <w:color w:val="auto"/>
                <w:w w:val="95"/>
              </w:rPr>
              <w:t>2015</w:t>
            </w: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7"/>
                <w:szCs w:val="17"/>
                <w:color w:val="auto"/>
              </w:rPr>
              <w:t>2016</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7"/>
                <w:szCs w:val="17"/>
                <w:color w:val="auto"/>
                <w:w w:val="89"/>
              </w:rPr>
              <w:t>2015</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1840" w:type="dxa"/>
            <w:vAlign w:val="bottom"/>
          </w:tcPr>
          <w:p>
            <w:pPr>
              <w:spacing w:after="0"/>
              <w:rPr>
                <w:sz w:val="16"/>
                <w:szCs w:val="16"/>
                <w:color w:val="auto"/>
              </w:rPr>
            </w:pPr>
          </w:p>
        </w:tc>
        <w:tc>
          <w:tcPr>
            <w:tcW w:w="860" w:type="dxa"/>
            <w:vAlign w:val="bottom"/>
            <w:tcBorders>
              <w:top w:val="single" w:sz="8" w:color="auto"/>
            </w:tcBorders>
          </w:tcPr>
          <w:p>
            <w:pPr>
              <w:jc w:val="center"/>
              <w:ind w:left="75"/>
              <w:spacing w:after="0" w:line="191" w:lineRule="exact"/>
              <w:rPr>
                <w:sz w:val="20"/>
                <w:szCs w:val="20"/>
                <w:color w:val="auto"/>
              </w:rPr>
            </w:pPr>
            <w:r>
              <w:rPr>
                <w:rFonts w:ascii="Arial" w:cs="Arial" w:eastAsia="Arial" w:hAnsi="Arial"/>
                <w:sz w:val="17"/>
                <w:szCs w:val="17"/>
                <w:color w:val="auto"/>
                <w:w w:val="87"/>
              </w:rPr>
              <w:t>Balance</w:t>
            </w: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jc w:val="center"/>
              <w:ind w:left="135"/>
              <w:spacing w:after="0" w:line="191" w:lineRule="exact"/>
              <w:rPr>
                <w:sz w:val="20"/>
                <w:szCs w:val="20"/>
                <w:color w:val="auto"/>
              </w:rPr>
            </w:pPr>
            <w:r>
              <w:rPr>
                <w:rFonts w:ascii="Arial" w:cs="Arial" w:eastAsia="Arial" w:hAnsi="Arial"/>
                <w:sz w:val="17"/>
                <w:szCs w:val="17"/>
                <w:color w:val="auto"/>
                <w:w w:val="87"/>
              </w:rPr>
              <w:t>Balance</w:t>
            </w: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80"/>
              <w:spacing w:after="0" w:line="191" w:lineRule="exact"/>
              <w:rPr>
                <w:sz w:val="20"/>
                <w:szCs w:val="20"/>
                <w:color w:val="auto"/>
              </w:rPr>
            </w:pPr>
            <w:r>
              <w:rPr>
                <w:rFonts w:ascii="Arial" w:cs="Arial" w:eastAsia="Arial" w:hAnsi="Arial"/>
                <w:sz w:val="17"/>
                <w:szCs w:val="17"/>
                <w:color w:val="auto"/>
                <w:w w:val="87"/>
              </w:rPr>
              <w:t>Balance</w:t>
            </w: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80"/>
              <w:spacing w:after="0" w:line="191" w:lineRule="exact"/>
              <w:rPr>
                <w:sz w:val="20"/>
                <w:szCs w:val="20"/>
                <w:color w:val="auto"/>
              </w:rPr>
            </w:pPr>
            <w:r>
              <w:rPr>
                <w:rFonts w:ascii="Arial" w:cs="Arial" w:eastAsia="Arial" w:hAnsi="Arial"/>
                <w:sz w:val="17"/>
                <w:szCs w:val="17"/>
                <w:color w:val="auto"/>
                <w:w w:val="87"/>
              </w:rPr>
              <w:t>Balance</w:t>
            </w:r>
          </w:p>
        </w:tc>
        <w:tc>
          <w:tcPr>
            <w:tcW w:w="3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1840" w:type="dxa"/>
            <w:vAlign w:val="bottom"/>
          </w:tcPr>
          <w:p>
            <w:pPr>
              <w:spacing w:after="0"/>
              <w:rPr>
                <w:sz w:val="17"/>
                <w:szCs w:val="17"/>
                <w:color w:val="auto"/>
              </w:rPr>
            </w:pPr>
          </w:p>
        </w:tc>
        <w:tc>
          <w:tcPr>
            <w:tcW w:w="860" w:type="dxa"/>
            <w:vAlign w:val="bottom"/>
          </w:tcPr>
          <w:p>
            <w:pPr>
              <w:jc w:val="center"/>
              <w:ind w:left="75"/>
              <w:spacing w:after="0"/>
              <w:rPr>
                <w:sz w:val="20"/>
                <w:szCs w:val="20"/>
                <w:color w:val="auto"/>
              </w:rPr>
            </w:pPr>
            <w:r>
              <w:rPr>
                <w:rFonts w:ascii="Arial" w:cs="Arial" w:eastAsia="Arial" w:hAnsi="Arial"/>
                <w:sz w:val="17"/>
                <w:szCs w:val="17"/>
                <w:color w:val="auto"/>
                <w:w w:val="85"/>
              </w:rPr>
              <w:t>Sheet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7"/>
                <w:szCs w:val="17"/>
                <w:color w:val="auto"/>
                <w:w w:val="95"/>
              </w:rPr>
              <w:t>Fair</w:t>
            </w:r>
          </w:p>
        </w:tc>
        <w:tc>
          <w:tcPr>
            <w:tcW w:w="880" w:type="dxa"/>
            <w:vAlign w:val="bottom"/>
          </w:tcPr>
          <w:p>
            <w:pPr>
              <w:jc w:val="center"/>
              <w:ind w:left="135"/>
              <w:spacing w:after="0"/>
              <w:rPr>
                <w:sz w:val="20"/>
                <w:szCs w:val="20"/>
                <w:color w:val="auto"/>
              </w:rPr>
            </w:pPr>
            <w:r>
              <w:rPr>
                <w:rFonts w:ascii="Arial" w:cs="Arial" w:eastAsia="Arial" w:hAnsi="Arial"/>
                <w:sz w:val="17"/>
                <w:szCs w:val="17"/>
                <w:color w:val="auto"/>
                <w:w w:val="85"/>
              </w:rPr>
              <w:t>Sheet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7"/>
                <w:szCs w:val="17"/>
                <w:color w:val="auto"/>
              </w:rPr>
              <w:t>Fair</w:t>
            </w:r>
          </w:p>
        </w:tc>
        <w:tc>
          <w:tcPr>
            <w:tcW w:w="60" w:type="dxa"/>
            <w:vAlign w:val="bottom"/>
          </w:tcPr>
          <w:p>
            <w:pPr>
              <w:spacing w:after="0"/>
              <w:rPr>
                <w:sz w:val="17"/>
                <w:szCs w:val="17"/>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7"/>
                <w:szCs w:val="17"/>
                <w:color w:val="auto"/>
                <w:w w:val="85"/>
              </w:rPr>
              <w:t>Sheet</w:t>
            </w:r>
          </w:p>
        </w:tc>
        <w:tc>
          <w:tcPr>
            <w:tcW w:w="220" w:type="dxa"/>
            <w:vAlign w:val="bottom"/>
          </w:tcPr>
          <w:p>
            <w:pPr>
              <w:spacing w:after="0"/>
              <w:rPr>
                <w:sz w:val="17"/>
                <w:szCs w:val="17"/>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7"/>
                <w:szCs w:val="17"/>
                <w:color w:val="auto"/>
              </w:rPr>
              <w:t>Fair</w:t>
            </w:r>
          </w:p>
        </w:tc>
        <w:tc>
          <w:tcPr>
            <w:tcW w:w="1380" w:type="dxa"/>
            <w:vAlign w:val="bottom"/>
            <w:gridSpan w:val="2"/>
          </w:tcPr>
          <w:p>
            <w:pPr>
              <w:jc w:val="center"/>
              <w:ind w:right="80"/>
              <w:spacing w:after="0"/>
              <w:rPr>
                <w:sz w:val="20"/>
                <w:szCs w:val="20"/>
                <w:color w:val="auto"/>
              </w:rPr>
            </w:pPr>
            <w:r>
              <w:rPr>
                <w:rFonts w:ascii="Arial" w:cs="Arial" w:eastAsia="Arial" w:hAnsi="Arial"/>
                <w:sz w:val="17"/>
                <w:szCs w:val="17"/>
                <w:color w:val="auto"/>
                <w:w w:val="85"/>
              </w:rPr>
              <w:t>Sheet</w:t>
            </w:r>
          </w:p>
        </w:tc>
        <w:tc>
          <w:tcPr>
            <w:tcW w:w="300" w:type="dxa"/>
            <w:vAlign w:val="bottom"/>
          </w:tcPr>
          <w:p>
            <w:pPr>
              <w:spacing w:after="0"/>
              <w:rPr>
                <w:sz w:val="17"/>
                <w:szCs w:val="17"/>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7"/>
                <w:szCs w:val="17"/>
                <w:color w:val="auto"/>
              </w:rPr>
              <w:t>Fair</w:t>
            </w:r>
          </w:p>
        </w:tc>
      </w:tr>
      <w:tr>
        <w:trPr>
          <w:trHeight w:val="222"/>
        </w:trPr>
        <w:tc>
          <w:tcPr>
            <w:tcW w:w="1840" w:type="dxa"/>
            <w:vAlign w:val="bottom"/>
          </w:tcPr>
          <w:p>
            <w:pPr>
              <w:spacing w:after="0"/>
              <w:rPr>
                <w:sz w:val="19"/>
                <w:szCs w:val="19"/>
                <w:color w:val="auto"/>
              </w:rPr>
            </w:pPr>
          </w:p>
        </w:tc>
        <w:tc>
          <w:tcPr>
            <w:tcW w:w="860" w:type="dxa"/>
            <w:vAlign w:val="bottom"/>
          </w:tcPr>
          <w:p>
            <w:pPr>
              <w:jc w:val="center"/>
              <w:ind w:left="95"/>
              <w:spacing w:after="0"/>
              <w:rPr>
                <w:sz w:val="20"/>
                <w:szCs w:val="20"/>
                <w:color w:val="auto"/>
              </w:rPr>
            </w:pPr>
            <w:r>
              <w:rPr>
                <w:rFonts w:ascii="Arial" w:cs="Arial" w:eastAsia="Arial" w:hAnsi="Arial"/>
                <w:sz w:val="17"/>
                <w:szCs w:val="17"/>
                <w:color w:val="auto"/>
                <w:w w:val="93"/>
              </w:rPr>
              <w:t>Location</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7"/>
                <w:szCs w:val="17"/>
                <w:color w:val="auto"/>
                <w:w w:val="91"/>
              </w:rPr>
              <w:t>Value</w:t>
            </w:r>
          </w:p>
        </w:tc>
        <w:tc>
          <w:tcPr>
            <w:tcW w:w="880" w:type="dxa"/>
            <w:vAlign w:val="bottom"/>
          </w:tcPr>
          <w:p>
            <w:pPr>
              <w:jc w:val="center"/>
              <w:ind w:left="115"/>
              <w:spacing w:after="0"/>
              <w:rPr>
                <w:sz w:val="20"/>
                <w:szCs w:val="20"/>
                <w:color w:val="auto"/>
              </w:rPr>
            </w:pPr>
            <w:r>
              <w:rPr>
                <w:rFonts w:ascii="Arial" w:cs="Arial" w:eastAsia="Arial" w:hAnsi="Arial"/>
                <w:sz w:val="17"/>
                <w:szCs w:val="17"/>
                <w:color w:val="auto"/>
                <w:w w:val="93"/>
              </w:rPr>
              <w:t>Location</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7"/>
                <w:szCs w:val="17"/>
                <w:color w:val="auto"/>
              </w:rPr>
              <w:t>Value</w:t>
            </w:r>
          </w:p>
        </w:tc>
        <w:tc>
          <w:tcPr>
            <w:tcW w:w="60" w:type="dxa"/>
            <w:vAlign w:val="bottom"/>
          </w:tcPr>
          <w:p>
            <w:pPr>
              <w:spacing w:after="0"/>
              <w:rPr>
                <w:sz w:val="19"/>
                <w:szCs w:val="19"/>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7"/>
                <w:szCs w:val="17"/>
                <w:color w:val="auto"/>
                <w:w w:val="93"/>
              </w:rPr>
              <w:t>Location</w:t>
            </w:r>
          </w:p>
        </w:tc>
        <w:tc>
          <w:tcPr>
            <w:tcW w:w="22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7"/>
                <w:szCs w:val="17"/>
                <w:color w:val="auto"/>
              </w:rPr>
              <w:t>Value</w:t>
            </w:r>
          </w:p>
        </w:tc>
        <w:tc>
          <w:tcPr>
            <w:tcW w:w="1380" w:type="dxa"/>
            <w:vAlign w:val="bottom"/>
            <w:gridSpan w:val="2"/>
          </w:tcPr>
          <w:p>
            <w:pPr>
              <w:jc w:val="center"/>
              <w:ind w:right="60"/>
              <w:spacing w:after="0"/>
              <w:rPr>
                <w:sz w:val="20"/>
                <w:szCs w:val="20"/>
                <w:color w:val="auto"/>
              </w:rPr>
            </w:pPr>
            <w:r>
              <w:rPr>
                <w:rFonts w:ascii="Arial" w:cs="Arial" w:eastAsia="Arial" w:hAnsi="Arial"/>
                <w:sz w:val="17"/>
                <w:szCs w:val="17"/>
                <w:color w:val="auto"/>
                <w:w w:val="93"/>
              </w:rPr>
              <w:t>Location</w:t>
            </w:r>
          </w:p>
        </w:tc>
        <w:tc>
          <w:tcPr>
            <w:tcW w:w="30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7"/>
                <w:szCs w:val="17"/>
                <w:color w:val="auto"/>
                <w:w w:val="87"/>
              </w:rPr>
              <w:t>Value</w:t>
            </w:r>
          </w:p>
        </w:tc>
      </w:tr>
      <w:tr>
        <w:trPr>
          <w:trHeight w:val="215"/>
        </w:trPr>
        <w:tc>
          <w:tcPr>
            <w:tcW w:w="18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(In</w:t>
            </w:r>
          </w:p>
        </w:tc>
        <w:tc>
          <w:tcPr>
            <w:tcW w:w="120" w:type="dxa"/>
            <w:vAlign w:val="bottom"/>
            <w:gridSpan w:val="2"/>
          </w:tcPr>
          <w:p>
            <w:pPr>
              <w:spacing w:after="0"/>
              <w:rPr>
                <w:sz w:val="18"/>
                <w:szCs w:val="18"/>
                <w:color w:val="auto"/>
              </w:rPr>
            </w:pPr>
          </w:p>
        </w:tc>
        <w:tc>
          <w:tcPr>
            <w:tcW w:w="12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thousands)</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384"/>
        </w:trPr>
        <w:tc>
          <w:tcPr>
            <w:tcW w:w="1840" w:type="dxa"/>
            <w:vAlign w:val="bottom"/>
          </w:tcPr>
          <w:p>
            <w:pPr>
              <w:spacing w:after="0"/>
              <w:rPr>
                <w:sz w:val="20"/>
                <w:szCs w:val="20"/>
                <w:color w:val="auto"/>
              </w:rPr>
            </w:pPr>
            <w:r>
              <w:rPr>
                <w:rFonts w:ascii="Arial" w:cs="Arial" w:eastAsia="Arial" w:hAnsi="Arial"/>
                <w:sz w:val="17"/>
                <w:szCs w:val="17"/>
                <w:color w:val="auto"/>
                <w:w w:val="90"/>
              </w:rPr>
              <w:t>Derivatives not designated</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840" w:type="dxa"/>
            <w:vAlign w:val="bottom"/>
          </w:tcPr>
          <w:p>
            <w:pPr>
              <w:ind w:left="160"/>
              <w:spacing w:after="0"/>
              <w:rPr>
                <w:sz w:val="20"/>
                <w:szCs w:val="20"/>
                <w:color w:val="auto"/>
              </w:rPr>
            </w:pPr>
            <w:r>
              <w:rPr>
                <w:rFonts w:ascii="Arial" w:cs="Arial" w:eastAsia="Arial" w:hAnsi="Arial"/>
                <w:sz w:val="17"/>
                <w:szCs w:val="17"/>
                <w:color w:val="auto"/>
                <w:w w:val="94"/>
              </w:rPr>
              <w:t>as hedging instruments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2"/>
        </w:trPr>
        <w:tc>
          <w:tcPr>
            <w:tcW w:w="1840" w:type="dxa"/>
            <w:vAlign w:val="bottom"/>
            <w:shd w:val="clear" w:color="auto" w:fill="CCEEFF"/>
          </w:tcPr>
          <w:p>
            <w:pPr>
              <w:ind w:left="160"/>
              <w:spacing w:after="0" w:line="192" w:lineRule="exact"/>
              <w:rPr>
                <w:sz w:val="20"/>
                <w:szCs w:val="20"/>
                <w:color w:val="auto"/>
              </w:rPr>
            </w:pPr>
            <w:r>
              <w:rPr>
                <w:rFonts w:ascii="Arial" w:cs="Arial" w:eastAsia="Arial" w:hAnsi="Arial"/>
                <w:sz w:val="17"/>
                <w:szCs w:val="17"/>
                <w:color w:val="auto"/>
                <w:w w:val="89"/>
              </w:rPr>
              <w:t>Rate-lock mortgage loan</w:t>
            </w: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18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commitments</w:t>
            </w: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w w:val="87"/>
              </w:rPr>
              <w:t>Other assets</w:t>
            </w:r>
          </w:p>
        </w:tc>
        <w:tc>
          <w:tcPr>
            <w:tcW w:w="560" w:type="dxa"/>
            <w:vAlign w:val="bottom"/>
            <w:gridSpan w:val="3"/>
            <w:shd w:val="clear" w:color="auto" w:fill="CCEEFF"/>
          </w:tcPr>
          <w:p>
            <w:pPr>
              <w:jc w:val="right"/>
              <w:ind w:right="126"/>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7"/>
                <w:szCs w:val="17"/>
                <w:color w:val="auto"/>
                <w:w w:val="89"/>
              </w:rPr>
              <w:t>Other assets</w:t>
            </w:r>
          </w:p>
        </w:tc>
        <w:tc>
          <w:tcPr>
            <w:tcW w:w="500" w:type="dxa"/>
            <w:vAlign w:val="bottom"/>
            <w:gridSpan w:val="3"/>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550</w:t>
            </w:r>
          </w:p>
        </w:tc>
        <w:tc>
          <w:tcPr>
            <w:tcW w:w="144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Other liabilities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r>
      <w:tr>
        <w:trPr>
          <w:trHeight w:val="191"/>
        </w:trPr>
        <w:tc>
          <w:tcPr>
            <w:tcW w:w="1840" w:type="dxa"/>
            <w:vAlign w:val="bottom"/>
          </w:tcPr>
          <w:p>
            <w:pPr>
              <w:ind w:left="160"/>
              <w:spacing w:after="0" w:line="191" w:lineRule="exact"/>
              <w:rPr>
                <w:sz w:val="20"/>
                <w:szCs w:val="20"/>
                <w:color w:val="auto"/>
              </w:rPr>
            </w:pPr>
            <w:r>
              <w:rPr>
                <w:rFonts w:ascii="Arial" w:cs="Arial" w:eastAsia="Arial" w:hAnsi="Arial"/>
                <w:sz w:val="17"/>
                <w:szCs w:val="17"/>
                <w:color w:val="auto"/>
              </w:rPr>
              <w:t>Mandatory</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1840" w:type="dxa"/>
            <w:vAlign w:val="bottom"/>
          </w:tcPr>
          <w:p>
            <w:pPr>
              <w:ind w:left="300"/>
              <w:spacing w:after="0"/>
              <w:rPr>
                <w:sz w:val="20"/>
                <w:szCs w:val="20"/>
                <w:color w:val="auto"/>
              </w:rPr>
            </w:pPr>
            <w:r>
              <w:rPr>
                <w:rFonts w:ascii="Arial" w:cs="Arial" w:eastAsia="Arial" w:hAnsi="Arial"/>
                <w:sz w:val="17"/>
                <w:szCs w:val="17"/>
                <w:color w:val="auto"/>
              </w:rPr>
              <w:t>commitments to sell</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840" w:type="dxa"/>
            <w:vAlign w:val="bottom"/>
          </w:tcPr>
          <w:p>
            <w:pPr>
              <w:ind w:left="300"/>
              <w:spacing w:after="0"/>
              <w:rPr>
                <w:sz w:val="20"/>
                <w:szCs w:val="20"/>
                <w:color w:val="auto"/>
              </w:rPr>
            </w:pPr>
            <w:r>
              <w:rPr>
                <w:rFonts w:ascii="Arial" w:cs="Arial" w:eastAsia="Arial" w:hAnsi="Arial"/>
                <w:sz w:val="17"/>
                <w:szCs w:val="17"/>
                <w:color w:val="auto"/>
              </w:rPr>
              <w:t>mortgage loans</w:t>
            </w:r>
          </w:p>
        </w:tc>
        <w:tc>
          <w:tcPr>
            <w:tcW w:w="860" w:type="dxa"/>
            <w:vAlign w:val="bottom"/>
          </w:tcPr>
          <w:p>
            <w:pPr>
              <w:spacing w:after="0"/>
              <w:rPr>
                <w:sz w:val="20"/>
                <w:szCs w:val="20"/>
                <w:color w:val="auto"/>
              </w:rPr>
            </w:pPr>
            <w:r>
              <w:rPr>
                <w:rFonts w:ascii="Arial" w:cs="Arial" w:eastAsia="Arial" w:hAnsi="Arial"/>
                <w:sz w:val="17"/>
                <w:szCs w:val="17"/>
                <w:color w:val="auto"/>
                <w:w w:val="87"/>
              </w:rPr>
              <w:t>Other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w w:val="89"/>
              </w:rPr>
              <w:t>Other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69</w:t>
            </w:r>
          </w:p>
        </w:tc>
        <w:tc>
          <w:tcPr>
            <w:tcW w:w="60" w:type="dxa"/>
            <w:vAlign w:val="bottom"/>
          </w:tcPr>
          <w:p>
            <w:pPr>
              <w:spacing w:after="0"/>
              <w:rPr>
                <w:sz w:val="18"/>
                <w:szCs w:val="18"/>
                <w:color w:val="auto"/>
              </w:rPr>
            </w:pPr>
          </w:p>
        </w:tc>
        <w:tc>
          <w:tcPr>
            <w:tcW w:w="1440" w:type="dxa"/>
            <w:vAlign w:val="bottom"/>
            <w:gridSpan w:val="3"/>
          </w:tcPr>
          <w:p>
            <w:pPr>
              <w:ind w:left="60"/>
              <w:spacing w:after="0"/>
              <w:rPr>
                <w:sz w:val="20"/>
                <w:szCs w:val="20"/>
                <w:color w:val="auto"/>
              </w:rPr>
            </w:pPr>
            <w:r>
              <w:rPr>
                <w:rFonts w:ascii="Arial" w:cs="Arial" w:eastAsia="Arial" w:hAnsi="Arial"/>
                <w:sz w:val="17"/>
                <w:szCs w:val="17"/>
                <w:color w:val="auto"/>
              </w:rPr>
              <w:t>Other liabilities</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377</w:t>
            </w:r>
          </w:p>
        </w:tc>
        <w:tc>
          <w:tcPr>
            <w:tcW w:w="1380" w:type="dxa"/>
            <w:vAlign w:val="bottom"/>
            <w:gridSpan w:val="2"/>
          </w:tcPr>
          <w:p>
            <w:pPr>
              <w:spacing w:after="0"/>
              <w:rPr>
                <w:sz w:val="20"/>
                <w:szCs w:val="20"/>
                <w:color w:val="auto"/>
              </w:rPr>
            </w:pPr>
            <w:r>
              <w:rPr>
                <w:rFonts w:ascii="Arial" w:cs="Arial" w:eastAsia="Arial" w:hAnsi="Arial"/>
                <w:sz w:val="17"/>
                <w:szCs w:val="17"/>
                <w:color w:val="auto"/>
              </w:rPr>
              <w:t>Other liabilities</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192"/>
        </w:trPr>
        <w:tc>
          <w:tcPr>
            <w:tcW w:w="1840" w:type="dxa"/>
            <w:vAlign w:val="bottom"/>
            <w:shd w:val="clear" w:color="auto" w:fill="CCEEFF"/>
          </w:tcPr>
          <w:p>
            <w:pPr>
              <w:ind w:left="160"/>
              <w:spacing w:after="0" w:line="192" w:lineRule="exact"/>
              <w:rPr>
                <w:sz w:val="20"/>
                <w:szCs w:val="20"/>
                <w:color w:val="auto"/>
              </w:rPr>
            </w:pPr>
            <w:r>
              <w:rPr>
                <w:rFonts w:ascii="Arial" w:cs="Arial" w:eastAsia="Arial" w:hAnsi="Arial"/>
                <w:sz w:val="17"/>
                <w:szCs w:val="17"/>
                <w:color w:val="auto"/>
              </w:rPr>
              <w:t>Pay-fixed interest rate</w:t>
            </w: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18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swap agreements</w:t>
            </w: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w w:val="87"/>
              </w:rPr>
              <w:t>Other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7"/>
                <w:szCs w:val="17"/>
                <w:color w:val="auto"/>
                <w:w w:val="89"/>
              </w:rPr>
              <w:t>Other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Other liabilities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2,205</w:t>
            </w:r>
          </w:p>
        </w:tc>
        <w:tc>
          <w:tcPr>
            <w:tcW w:w="1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497</w:t>
            </w:r>
          </w:p>
        </w:tc>
      </w:tr>
      <w:tr>
        <w:trPr>
          <w:trHeight w:val="191"/>
        </w:trPr>
        <w:tc>
          <w:tcPr>
            <w:tcW w:w="1840" w:type="dxa"/>
            <w:vAlign w:val="bottom"/>
          </w:tcPr>
          <w:p>
            <w:pPr>
              <w:ind w:left="160"/>
              <w:spacing w:after="0" w:line="191" w:lineRule="exact"/>
              <w:rPr>
                <w:sz w:val="20"/>
                <w:szCs w:val="20"/>
                <w:color w:val="auto"/>
              </w:rPr>
            </w:pPr>
            <w:r>
              <w:rPr>
                <w:rFonts w:ascii="Arial" w:cs="Arial" w:eastAsia="Arial" w:hAnsi="Arial"/>
                <w:sz w:val="17"/>
                <w:szCs w:val="17"/>
                <w:color w:val="auto"/>
              </w:rPr>
              <w:t>Pay-variable interest</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00" w:type="dxa"/>
            <w:vAlign w:val="bottom"/>
            <w:gridSpan w:val="2"/>
          </w:tcPr>
          <w:p>
            <w:pPr>
              <w:ind w:left="300"/>
              <w:spacing w:after="0"/>
              <w:rPr>
                <w:sz w:val="20"/>
                <w:szCs w:val="20"/>
                <w:color w:val="auto"/>
              </w:rPr>
            </w:pPr>
            <w:r>
              <w:rPr>
                <w:rFonts w:ascii="Arial" w:cs="Arial" w:eastAsia="Arial" w:hAnsi="Arial"/>
                <w:sz w:val="17"/>
                <w:szCs w:val="17"/>
                <w:color w:val="auto"/>
                <w:w w:val="88"/>
              </w:rPr>
              <w:t>rate swap agreements Other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2,205</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w w:val="89"/>
              </w:rPr>
              <w:t>Other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497</w:t>
            </w:r>
          </w:p>
        </w:tc>
        <w:tc>
          <w:tcPr>
            <w:tcW w:w="1440" w:type="dxa"/>
            <w:vAlign w:val="bottom"/>
            <w:gridSpan w:val="3"/>
          </w:tcPr>
          <w:p>
            <w:pPr>
              <w:ind w:left="60"/>
              <w:spacing w:after="0"/>
              <w:rPr>
                <w:sz w:val="20"/>
                <w:szCs w:val="20"/>
                <w:color w:val="auto"/>
              </w:rPr>
            </w:pPr>
            <w:r>
              <w:rPr>
                <w:rFonts w:ascii="Arial" w:cs="Arial" w:eastAsia="Arial" w:hAnsi="Arial"/>
                <w:sz w:val="17"/>
                <w:szCs w:val="17"/>
                <w:color w:val="auto"/>
              </w:rPr>
              <w:t>Other liabilities</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80" w:type="dxa"/>
            <w:vAlign w:val="bottom"/>
            <w:gridSpan w:val="2"/>
          </w:tcPr>
          <w:p>
            <w:pPr>
              <w:spacing w:after="0"/>
              <w:rPr>
                <w:sz w:val="20"/>
                <w:szCs w:val="20"/>
                <w:color w:val="auto"/>
              </w:rPr>
            </w:pPr>
            <w:r>
              <w:rPr>
                <w:rFonts w:ascii="Arial" w:cs="Arial" w:eastAsia="Arial" w:hAnsi="Arial"/>
                <w:sz w:val="17"/>
                <w:szCs w:val="17"/>
                <w:color w:val="auto"/>
              </w:rPr>
              <w:t>Other liabilities</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4"/>
        </w:trPr>
        <w:tc>
          <w:tcPr>
            <w:tcW w:w="1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Purchased options</w:t>
            </w: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w w:val="87"/>
              </w:rPr>
              <w:t>Other assets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7"/>
                <w:szCs w:val="17"/>
                <w:color w:val="auto"/>
                <w:w w:val="89"/>
              </w:rPr>
              <w:t>Other assets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122</w:t>
            </w:r>
          </w:p>
        </w:tc>
        <w:tc>
          <w:tcPr>
            <w:tcW w:w="144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Other liabilities</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9"/>
        </w:trPr>
        <w:tc>
          <w:tcPr>
            <w:tcW w:w="1840" w:type="dxa"/>
            <w:vAlign w:val="bottom"/>
          </w:tcPr>
          <w:p>
            <w:pPr>
              <w:ind w:left="160"/>
              <w:spacing w:after="0"/>
              <w:rPr>
                <w:sz w:val="20"/>
                <w:szCs w:val="20"/>
                <w:color w:val="auto"/>
              </w:rPr>
            </w:pPr>
            <w:r>
              <w:rPr>
                <w:rFonts w:ascii="Arial" w:cs="Arial" w:eastAsia="Arial" w:hAnsi="Arial"/>
                <w:sz w:val="17"/>
                <w:szCs w:val="17"/>
                <w:color w:val="auto"/>
              </w:rPr>
              <w:t>Written options</w:t>
            </w:r>
          </w:p>
        </w:tc>
        <w:tc>
          <w:tcPr>
            <w:tcW w:w="860" w:type="dxa"/>
            <w:vAlign w:val="bottom"/>
          </w:tcPr>
          <w:p>
            <w:pPr>
              <w:spacing w:after="0"/>
              <w:rPr>
                <w:sz w:val="20"/>
                <w:szCs w:val="20"/>
                <w:color w:val="auto"/>
              </w:rPr>
            </w:pPr>
            <w:r>
              <w:rPr>
                <w:rFonts w:ascii="Arial" w:cs="Arial" w:eastAsia="Arial" w:hAnsi="Arial"/>
                <w:sz w:val="17"/>
                <w:szCs w:val="17"/>
                <w:color w:val="auto"/>
                <w:w w:val="87"/>
              </w:rPr>
              <w:t>Other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w w:val="89"/>
              </w:rPr>
              <w:t>Other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440" w:type="dxa"/>
            <w:vAlign w:val="bottom"/>
            <w:gridSpan w:val="3"/>
          </w:tcPr>
          <w:p>
            <w:pPr>
              <w:ind w:left="60"/>
              <w:spacing w:after="0"/>
              <w:rPr>
                <w:sz w:val="20"/>
                <w:szCs w:val="20"/>
                <w:color w:val="auto"/>
              </w:rPr>
            </w:pPr>
            <w:r>
              <w:rPr>
                <w:rFonts w:ascii="Arial" w:cs="Arial" w:eastAsia="Arial" w:hAnsi="Arial"/>
                <w:sz w:val="17"/>
                <w:szCs w:val="17"/>
                <w:color w:val="auto"/>
              </w:rPr>
              <w:t>Other liabilities</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203</w:t>
            </w:r>
          </w:p>
        </w:tc>
        <w:tc>
          <w:tcPr>
            <w:tcW w:w="1380" w:type="dxa"/>
            <w:vAlign w:val="bottom"/>
            <w:gridSpan w:val="2"/>
          </w:tcPr>
          <w:p>
            <w:pPr>
              <w:spacing w:after="0"/>
              <w:rPr>
                <w:sz w:val="20"/>
                <w:szCs w:val="20"/>
                <w:color w:val="auto"/>
              </w:rPr>
            </w:pPr>
            <w:r>
              <w:rPr>
                <w:rFonts w:ascii="Arial" w:cs="Arial" w:eastAsia="Arial" w:hAnsi="Arial"/>
                <w:sz w:val="17"/>
                <w:szCs w:val="17"/>
                <w:color w:val="auto"/>
              </w:rPr>
              <w:t>Other liabilities</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122</w:t>
            </w:r>
          </w:p>
        </w:tc>
      </w:tr>
      <w:tr>
        <w:trPr>
          <w:trHeight w:val="244"/>
        </w:trPr>
        <w:tc>
          <w:tcPr>
            <w:tcW w:w="18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derivatives</w:t>
            </w: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553"/>
        </w:trPr>
        <w:tc>
          <w:tcPr>
            <w:tcW w:w="1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437"/>
              <w:spacing w:after="0"/>
              <w:rPr>
                <w:sz w:val="20"/>
                <w:szCs w:val="20"/>
                <w:color w:val="auto"/>
              </w:rPr>
            </w:pPr>
            <w:r>
              <w:rPr>
                <w:rFonts w:ascii="Arial" w:cs="Arial" w:eastAsia="Arial" w:hAnsi="Arial"/>
                <w:sz w:val="14"/>
                <w:szCs w:val="14"/>
                <w:color w:val="auto"/>
              </w:rPr>
              <w:t>38</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
        </w:trPr>
        <w:tc>
          <w:tcPr>
            <w:tcW w:w="18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effect of derivative financial instruments on the Condensed Consolidated Statements of Operations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7"/>
                <w:szCs w:val="17"/>
                <w:color w:val="auto"/>
                <w:w w:val="92"/>
              </w:rPr>
              <w:t>Gain (Loss) Recognized in Income</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60" w:type="dxa"/>
            <w:vAlign w:val="bottom"/>
            <w:gridSpan w:val="4"/>
          </w:tcPr>
          <w:p>
            <w:pPr>
              <w:jc w:val="center"/>
              <w:ind w:right="279"/>
              <w:spacing w:after="0" w:line="191" w:lineRule="exact"/>
              <w:rPr>
                <w:sz w:val="20"/>
                <w:szCs w:val="20"/>
                <w:color w:val="auto"/>
              </w:rPr>
            </w:pPr>
            <w:r>
              <w:rPr>
                <w:rFonts w:ascii="Arial" w:cs="Arial" w:eastAsia="Arial" w:hAnsi="Arial"/>
                <w:sz w:val="17"/>
                <w:szCs w:val="17"/>
                <w:color w:val="auto"/>
                <w:w w:val="91"/>
              </w:rPr>
              <w:t>Three Month</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gridSpan w:val="4"/>
          </w:tcPr>
          <w:p>
            <w:pPr>
              <w:jc w:val="center"/>
              <w:ind w:left="275"/>
              <w:spacing w:after="0" w:line="191" w:lineRule="exact"/>
              <w:rPr>
                <w:sz w:val="20"/>
                <w:szCs w:val="20"/>
                <w:color w:val="auto"/>
              </w:rPr>
            </w:pPr>
            <w:r>
              <w:rPr>
                <w:rFonts w:ascii="Arial" w:cs="Arial" w:eastAsia="Arial" w:hAnsi="Arial"/>
                <w:sz w:val="17"/>
                <w:szCs w:val="17"/>
                <w:color w:val="auto"/>
                <w:w w:val="95"/>
              </w:rPr>
              <w:t>Six Month</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60" w:type="dxa"/>
            <w:vAlign w:val="bottom"/>
            <w:gridSpan w:val="4"/>
          </w:tcPr>
          <w:p>
            <w:pPr>
              <w:jc w:val="center"/>
              <w:ind w:right="279"/>
              <w:spacing w:after="0"/>
              <w:rPr>
                <w:sz w:val="20"/>
                <w:szCs w:val="20"/>
                <w:color w:val="auto"/>
              </w:rPr>
            </w:pPr>
            <w:r>
              <w:rPr>
                <w:rFonts w:ascii="Arial" w:cs="Arial" w:eastAsia="Arial" w:hAnsi="Arial"/>
                <w:sz w:val="17"/>
                <w:szCs w:val="17"/>
                <w:color w:val="auto"/>
                <w:w w:val="89"/>
              </w:rPr>
              <w:t>Periods Ended</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gridSpan w:val="4"/>
          </w:tcPr>
          <w:p>
            <w:pPr>
              <w:jc w:val="center"/>
              <w:ind w:left="255"/>
              <w:spacing w:after="0"/>
              <w:rPr>
                <w:sz w:val="20"/>
                <w:szCs w:val="20"/>
                <w:color w:val="auto"/>
              </w:rPr>
            </w:pPr>
            <w:r>
              <w:rPr>
                <w:rFonts w:ascii="Arial" w:cs="Arial" w:eastAsia="Arial" w:hAnsi="Arial"/>
                <w:sz w:val="17"/>
                <w:szCs w:val="17"/>
                <w:color w:val="auto"/>
                <w:w w:val="87"/>
              </w:rPr>
              <w:t>Periods Ended</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Location of Gain (Loss)</w:t>
            </w:r>
          </w:p>
        </w:tc>
        <w:tc>
          <w:tcPr>
            <w:tcW w:w="7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center"/>
              <w:ind w:right="279"/>
              <w:spacing w:after="0"/>
              <w:rPr>
                <w:sz w:val="20"/>
                <w:szCs w:val="20"/>
                <w:color w:val="auto"/>
              </w:rPr>
            </w:pPr>
            <w:r>
              <w:rPr>
                <w:rFonts w:ascii="Arial" w:cs="Arial" w:eastAsia="Arial" w:hAnsi="Arial"/>
                <w:sz w:val="17"/>
                <w:szCs w:val="17"/>
                <w:color w:val="auto"/>
                <w:w w:val="85"/>
              </w:rPr>
              <w:t>June 30,</w:t>
            </w: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center"/>
              <w:ind w:left="275"/>
              <w:spacing w:after="0"/>
              <w:rPr>
                <w:sz w:val="20"/>
                <w:szCs w:val="20"/>
                <w:color w:val="auto"/>
              </w:rPr>
            </w:pPr>
            <w:r>
              <w:rPr>
                <w:rFonts w:ascii="Arial" w:cs="Arial" w:eastAsia="Arial" w:hAnsi="Arial"/>
                <w:sz w:val="17"/>
                <w:szCs w:val="17"/>
                <w:color w:val="auto"/>
                <w:w w:val="85"/>
              </w:rPr>
              <w:t>June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Recognized in Income</w:t>
            </w: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2016</w:t>
            </w:r>
          </w:p>
        </w:tc>
        <w:tc>
          <w:tcPr>
            <w:tcW w:w="3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2015</w:t>
            </w:r>
          </w:p>
        </w:tc>
        <w:tc>
          <w:tcPr>
            <w:tcW w:w="4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w w:val="89"/>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w w:val="89"/>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60" w:type="dxa"/>
            <w:vAlign w:val="bottom"/>
            <w:vMerge w:val="restart"/>
          </w:tcPr>
          <w:p>
            <w:pPr>
              <w:spacing w:after="0"/>
              <w:rPr>
                <w:sz w:val="20"/>
                <w:szCs w:val="20"/>
                <w:color w:val="auto"/>
              </w:rPr>
            </w:pPr>
            <w:r>
              <w:rPr>
                <w:rFonts w:ascii="Arial" w:cs="Arial" w:eastAsia="Arial" w:hAnsi="Arial"/>
                <w:sz w:val="17"/>
                <w:szCs w:val="17"/>
                <w:color w:val="auto"/>
              </w:rPr>
              <w:t>No hedge designation</w:t>
            </w: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(In</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w w:val="70"/>
              </w:rPr>
              <w:t>thousands)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Rate-lock mortgage loan commitments</w:t>
            </w:r>
          </w:p>
        </w:tc>
        <w:tc>
          <w:tcPr>
            <w:tcW w:w="252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Net gains on mortgage loans</w:t>
            </w: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130</w:t>
            </w:r>
          </w:p>
        </w:tc>
        <w:tc>
          <w:tcPr>
            <w:tcW w:w="840" w:type="dxa"/>
            <w:vAlign w:val="bottom"/>
            <w:gridSpan w:val="2"/>
            <w:shd w:val="clear" w:color="auto" w:fill="CCEEFF"/>
          </w:tcPr>
          <w:p>
            <w:pPr>
              <w:jc w:val="right"/>
              <w:ind w:right="579"/>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(283)</w:t>
            </w: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349</w:t>
            </w:r>
          </w:p>
        </w:tc>
        <w:tc>
          <w:tcPr>
            <w:tcW w:w="460" w:type="dxa"/>
            <w:vAlign w:val="bottom"/>
            <w:gridSpan w:val="2"/>
            <w:shd w:val="clear" w:color="auto" w:fill="CCEEFF"/>
          </w:tcPr>
          <w:p>
            <w:pPr>
              <w:jc w:val="right"/>
              <w:ind w:right="226"/>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04"/>
        </w:trPr>
        <w:tc>
          <w:tcPr>
            <w:tcW w:w="3560" w:type="dxa"/>
            <w:vAlign w:val="bottom"/>
          </w:tcPr>
          <w:p>
            <w:pPr>
              <w:ind w:left="160"/>
              <w:spacing w:after="0"/>
              <w:rPr>
                <w:sz w:val="20"/>
                <w:szCs w:val="20"/>
                <w:color w:val="auto"/>
              </w:rPr>
            </w:pPr>
            <w:r>
              <w:rPr>
                <w:rFonts w:ascii="Arial" w:cs="Arial" w:eastAsia="Arial" w:hAnsi="Arial"/>
                <w:sz w:val="17"/>
                <w:szCs w:val="17"/>
                <w:color w:val="auto"/>
                <w:w w:val="94"/>
              </w:rPr>
              <w:t>Mandatory commitments to sell mortgage loans</w:t>
            </w:r>
          </w:p>
        </w:tc>
        <w:tc>
          <w:tcPr>
            <w:tcW w:w="2520" w:type="dxa"/>
            <w:vAlign w:val="bottom"/>
            <w:gridSpan w:val="3"/>
          </w:tcPr>
          <w:p>
            <w:pPr>
              <w:ind w:left="100"/>
              <w:spacing w:after="0"/>
              <w:rPr>
                <w:sz w:val="20"/>
                <w:szCs w:val="20"/>
                <w:color w:val="auto"/>
              </w:rPr>
            </w:pPr>
            <w:r>
              <w:rPr>
                <w:rFonts w:ascii="Arial" w:cs="Arial" w:eastAsia="Arial" w:hAnsi="Arial"/>
                <w:sz w:val="17"/>
                <w:szCs w:val="17"/>
                <w:color w:val="auto"/>
              </w:rPr>
              <w:t>Net gains on mortgage loans</w:t>
            </w:r>
          </w:p>
        </w:tc>
        <w:tc>
          <w:tcPr>
            <w:tcW w:w="76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(240)</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559</w:t>
            </w:r>
          </w:p>
        </w:tc>
        <w:tc>
          <w:tcPr>
            <w:tcW w:w="4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(446)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520</w:t>
            </w: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Pay-fixed interest rate swap agreements</w:t>
            </w:r>
          </w:p>
        </w:tc>
        <w:tc>
          <w:tcPr>
            <w:tcW w:w="252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Interest income</w:t>
            </w:r>
          </w:p>
        </w:tc>
        <w:tc>
          <w:tcPr>
            <w:tcW w:w="7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(590)</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221</w:t>
            </w:r>
          </w:p>
        </w:tc>
        <w:tc>
          <w:tcPr>
            <w:tcW w:w="4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(1,708)</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4"/>
        </w:trPr>
        <w:tc>
          <w:tcPr>
            <w:tcW w:w="3560" w:type="dxa"/>
            <w:vAlign w:val="bottom"/>
          </w:tcPr>
          <w:p>
            <w:pPr>
              <w:ind w:left="160"/>
              <w:spacing w:after="0"/>
              <w:rPr>
                <w:sz w:val="20"/>
                <w:szCs w:val="20"/>
                <w:color w:val="auto"/>
              </w:rPr>
            </w:pPr>
            <w:r>
              <w:rPr>
                <w:rFonts w:ascii="Arial" w:cs="Arial" w:eastAsia="Arial" w:hAnsi="Arial"/>
                <w:sz w:val="17"/>
                <w:szCs w:val="17"/>
                <w:color w:val="auto"/>
              </w:rPr>
              <w:t>Pay-variable interest rate swap agreements</w:t>
            </w:r>
          </w:p>
        </w:tc>
        <w:tc>
          <w:tcPr>
            <w:tcW w:w="2520" w:type="dxa"/>
            <w:vAlign w:val="bottom"/>
            <w:gridSpan w:val="3"/>
          </w:tcPr>
          <w:p>
            <w:pPr>
              <w:ind w:left="100"/>
              <w:spacing w:after="0"/>
              <w:rPr>
                <w:sz w:val="20"/>
                <w:szCs w:val="20"/>
                <w:color w:val="auto"/>
              </w:rPr>
            </w:pPr>
            <w:r>
              <w:rPr>
                <w:rFonts w:ascii="Arial" w:cs="Arial" w:eastAsia="Arial" w:hAnsi="Arial"/>
                <w:sz w:val="17"/>
                <w:szCs w:val="17"/>
                <w:color w:val="auto"/>
              </w:rPr>
              <w:t>Interest income</w:t>
            </w:r>
          </w:p>
        </w:tc>
        <w:tc>
          <w:tcPr>
            <w:tcW w:w="76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590</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(221)</w:t>
            </w: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1,708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Purchased options</w:t>
            </w:r>
          </w:p>
        </w:tc>
        <w:tc>
          <w:tcPr>
            <w:tcW w:w="252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Interest expense</w:t>
            </w:r>
          </w:p>
        </w:tc>
        <w:tc>
          <w:tcPr>
            <w:tcW w:w="7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60" w:type="dxa"/>
            <w:vAlign w:val="bottom"/>
          </w:tcPr>
          <w:p>
            <w:pPr>
              <w:ind w:left="160"/>
              <w:spacing w:after="0"/>
              <w:rPr>
                <w:sz w:val="20"/>
                <w:szCs w:val="20"/>
                <w:color w:val="auto"/>
              </w:rPr>
            </w:pPr>
            <w:r>
              <w:rPr>
                <w:rFonts w:ascii="Arial" w:cs="Arial" w:eastAsia="Arial" w:hAnsi="Arial"/>
                <w:sz w:val="17"/>
                <w:szCs w:val="17"/>
                <w:color w:val="auto"/>
              </w:rPr>
              <w:t>Written options</w:t>
            </w:r>
          </w:p>
        </w:tc>
        <w:tc>
          <w:tcPr>
            <w:tcW w:w="2520" w:type="dxa"/>
            <w:vAlign w:val="bottom"/>
            <w:gridSpan w:val="3"/>
          </w:tcPr>
          <w:p>
            <w:pPr>
              <w:ind w:left="100"/>
              <w:spacing w:after="0"/>
              <w:rPr>
                <w:sz w:val="20"/>
                <w:szCs w:val="20"/>
                <w:color w:val="auto"/>
              </w:rPr>
            </w:pPr>
            <w:r>
              <w:rPr>
                <w:rFonts w:ascii="Arial" w:cs="Arial" w:eastAsia="Arial" w:hAnsi="Arial"/>
                <w:sz w:val="17"/>
                <w:szCs w:val="17"/>
                <w:color w:val="auto"/>
              </w:rPr>
              <w:t>Interest expense</w:t>
            </w:r>
          </w:p>
        </w:tc>
        <w:tc>
          <w:tcPr>
            <w:tcW w:w="76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(81)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602"/>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(110)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 </w:t>
      </w:r>
      <w:r>
        <w:rPr>
          <w:rFonts w:ascii="Arial" w:cs="Arial" w:eastAsia="Arial" w:hAnsi="Arial"/>
          <w:sz w:val="17"/>
          <w:szCs w:val="17"/>
          <w:u w:val="single" w:color="auto"/>
          <w:color w:val="auto"/>
        </w:rPr>
        <w:t>Intangible Assets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intangible assets, net of amortization: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60" w:type="dxa"/>
            <w:vAlign w:val="bottom"/>
            <w:gridSpan w:val="6"/>
          </w:tcPr>
          <w:p>
            <w:pPr>
              <w:ind w:left="600"/>
              <w:spacing w:after="0"/>
              <w:rPr>
                <w:sz w:val="20"/>
                <w:szCs w:val="20"/>
                <w:color w:val="auto"/>
              </w:rPr>
            </w:pPr>
            <w:r>
              <w:rPr>
                <w:rFonts w:ascii="Arial" w:cs="Arial" w:eastAsia="Arial" w:hAnsi="Arial"/>
                <w:sz w:val="17"/>
                <w:szCs w:val="17"/>
                <w:color w:val="auto"/>
              </w:rPr>
              <w:t>June 30, 2016</w:t>
            </w:r>
          </w:p>
        </w:tc>
        <w:tc>
          <w:tcPr>
            <w:tcW w:w="180" w:type="dxa"/>
            <w:vAlign w:val="bottom"/>
          </w:tcPr>
          <w:p>
            <w:pPr>
              <w:spacing w:after="0"/>
              <w:rPr>
                <w:sz w:val="19"/>
                <w:szCs w:val="19"/>
                <w:color w:val="auto"/>
              </w:rPr>
            </w:pPr>
          </w:p>
        </w:tc>
        <w:tc>
          <w:tcPr>
            <w:tcW w:w="2460" w:type="dxa"/>
            <w:vAlign w:val="bottom"/>
            <w:gridSpan w:val="5"/>
          </w:tcPr>
          <w:p>
            <w:pPr>
              <w:ind w:left="420"/>
              <w:spacing w:after="0"/>
              <w:rPr>
                <w:sz w:val="20"/>
                <w:szCs w:val="20"/>
                <w:color w:val="auto"/>
              </w:rPr>
            </w:pPr>
            <w:r>
              <w:rPr>
                <w:rFonts w:ascii="Arial" w:cs="Arial" w:eastAsia="Arial" w:hAnsi="Arial"/>
                <w:sz w:val="17"/>
                <w:szCs w:val="17"/>
                <w:color w:val="auto"/>
              </w:rPr>
              <w:t>December 31, 2015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7"/>
                <w:szCs w:val="17"/>
                <w:color w:val="auto"/>
                <w:w w:val="88"/>
              </w:rPr>
              <w:t>Gross</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7"/>
                <w:szCs w:val="17"/>
                <w:color w:val="auto"/>
                <w:w w:val="88"/>
              </w:rPr>
              <w:t>Gross</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Carrying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auto"/>
              </w:rPr>
              <w:t>Accumulated</w:t>
            </w:r>
          </w:p>
        </w:tc>
        <w:tc>
          <w:tcPr>
            <w:tcW w:w="18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7"/>
                <w:szCs w:val="17"/>
                <w:color w:val="auto"/>
                <w:w w:val="93"/>
              </w:rPr>
              <w:t>Carrying</w:t>
            </w:r>
          </w:p>
        </w:tc>
        <w:tc>
          <w:tcPr>
            <w:tcW w:w="10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7"/>
                <w:szCs w:val="17"/>
                <w:color w:val="auto"/>
              </w:rPr>
              <w:t>Accumulated</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8"/>
              <w:spacing w:after="0"/>
              <w:rPr>
                <w:sz w:val="20"/>
                <w:szCs w:val="20"/>
                <w:color w:val="auto"/>
              </w:rPr>
            </w:pPr>
            <w:r>
              <w:rPr>
                <w:rFonts w:ascii="Arial" w:cs="Arial" w:eastAsia="Arial" w:hAnsi="Arial"/>
                <w:sz w:val="17"/>
                <w:szCs w:val="17"/>
                <w:color w:val="auto"/>
                <w:w w:val="95"/>
              </w:rPr>
              <w:t>Amount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Amortization</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95"/>
              </w:rPr>
              <w:t>Amount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95"/>
              </w:rPr>
              <w:t>Amortization</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ind w:left="660"/>
              <w:spacing w:after="0"/>
              <w:rPr>
                <w:sz w:val="20"/>
                <w:szCs w:val="20"/>
                <w:color w:val="auto"/>
              </w:rPr>
            </w:pPr>
            <w:r>
              <w:rPr>
                <w:rFonts w:ascii="Arial" w:cs="Arial" w:eastAsia="Arial" w:hAnsi="Arial"/>
                <w:sz w:val="17"/>
                <w:szCs w:val="17"/>
                <w:color w:val="auto"/>
              </w:rPr>
              <w:t>(In</w:t>
            </w:r>
          </w:p>
        </w:tc>
        <w:tc>
          <w:tcPr>
            <w:tcW w:w="1360" w:type="dxa"/>
            <w:vAlign w:val="bottom"/>
            <w:gridSpan w:val="3"/>
          </w:tcPr>
          <w:p>
            <w:pPr>
              <w:spacing w:after="0"/>
              <w:rPr>
                <w:sz w:val="20"/>
                <w:szCs w:val="20"/>
                <w:color w:val="auto"/>
              </w:rPr>
            </w:pPr>
            <w:r>
              <w:rPr>
                <w:rFonts w:ascii="Arial" w:cs="Arial" w:eastAsia="Arial" w:hAnsi="Arial"/>
                <w:sz w:val="17"/>
                <w:szCs w:val="17"/>
                <w:color w:val="auto"/>
              </w:rPr>
              <w:t>thousands)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900" w:type="dxa"/>
            <w:vAlign w:val="bottom"/>
          </w:tcPr>
          <w:p>
            <w:pPr>
              <w:spacing w:after="0"/>
              <w:rPr>
                <w:sz w:val="16"/>
                <w:szCs w:val="16"/>
                <w:color w:val="auto"/>
              </w:rPr>
            </w:pPr>
          </w:p>
        </w:tc>
        <w:tc>
          <w:tcPr>
            <w:tcW w:w="1160" w:type="dxa"/>
            <w:vAlign w:val="bottom"/>
            <w:gridSpan w:val="2"/>
          </w:tcPr>
          <w:p>
            <w:pPr>
              <w:spacing w:after="0"/>
              <w:rPr>
                <w:sz w:val="16"/>
                <w:szCs w:val="16"/>
                <w:color w:val="auto"/>
              </w:rPr>
            </w:pPr>
          </w:p>
        </w:tc>
        <w:tc>
          <w:tcPr>
            <w:tcW w:w="1080" w:type="dxa"/>
            <w:vAlign w:val="bottom"/>
            <w:gridSpan w:val="2"/>
          </w:tcPr>
          <w:p>
            <w:pPr>
              <w:spacing w:after="0"/>
              <w:rPr>
                <w:sz w:val="16"/>
                <w:szCs w:val="16"/>
                <w:color w:val="auto"/>
              </w:rPr>
            </w:pPr>
          </w:p>
        </w:tc>
        <w:tc>
          <w:tcPr>
            <w:tcW w:w="220" w:type="dxa"/>
            <w:vAlign w:val="bottom"/>
            <w:gridSpan w:val="2"/>
          </w:tcPr>
          <w:p>
            <w:pPr>
              <w:spacing w:after="0"/>
              <w:rPr>
                <w:sz w:val="16"/>
                <w:szCs w:val="16"/>
                <w:color w:val="auto"/>
              </w:rPr>
            </w:pPr>
          </w:p>
        </w:tc>
        <w:tc>
          <w:tcPr>
            <w:tcW w:w="126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Amortized intangible assets - core deposits</w:t>
            </w: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ind w:left="580"/>
              <w:spacing w:after="0"/>
              <w:rPr>
                <w:sz w:val="20"/>
                <w:szCs w:val="20"/>
                <w:color w:val="auto"/>
              </w:rPr>
            </w:pPr>
            <w:r>
              <w:rPr>
                <w:rFonts w:ascii="Arial" w:cs="Arial" w:eastAsia="Arial" w:hAnsi="Arial"/>
                <w:sz w:val="17"/>
                <w:szCs w:val="17"/>
                <w:color w:val="auto"/>
                <w:w w:val="84"/>
              </w:rPr>
              <w:t>6,118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ind w:left="660"/>
              <w:spacing w:after="0"/>
              <w:rPr>
                <w:sz w:val="20"/>
                <w:szCs w:val="20"/>
                <w:color w:val="auto"/>
              </w:rPr>
            </w:pPr>
            <w:r>
              <w:rPr>
                <w:rFonts w:ascii="Arial" w:cs="Arial" w:eastAsia="Arial" w:hAnsi="Arial"/>
                <w:sz w:val="17"/>
                <w:szCs w:val="17"/>
                <w:color w:val="auto"/>
                <w:w w:val="84"/>
              </w:rPr>
              <w:t>4,012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6,118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3,838</w:t>
            </w:r>
          </w:p>
        </w:tc>
        <w:tc>
          <w:tcPr>
            <w:tcW w:w="12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7640" w:type="dxa"/>
            <w:vAlign w:val="bottom"/>
            <w:gridSpan w:val="10"/>
          </w:tcPr>
          <w:p>
            <w:pPr>
              <w:spacing w:after="0"/>
              <w:rPr>
                <w:sz w:val="20"/>
                <w:szCs w:val="20"/>
                <w:color w:val="auto"/>
              </w:rPr>
            </w:pPr>
            <w:r>
              <w:rPr>
                <w:rFonts w:ascii="Arial" w:cs="Arial" w:eastAsia="Arial" w:hAnsi="Arial"/>
                <w:sz w:val="17"/>
                <w:szCs w:val="17"/>
                <w:color w:val="auto"/>
                <w:w w:val="98"/>
              </w:rPr>
              <w:t>Amortization of other intangibles has been estimated through 2021 and thereafter in the following table.</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7"/>
                <w:szCs w:val="17"/>
                <w:color w:val="auto"/>
                <w:w w:val="99"/>
              </w:rPr>
              <w:t>(In thousands)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Six months ending December 31, 2016</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2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2017</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346</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2018</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2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2019</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346</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2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2021 and thereafter</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549</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3"/>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ind w:left="560"/>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9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ind w:left="220" w:hanging="218"/>
        <w:spacing w:after="0"/>
        <w:tabs>
          <w:tab w:leader="none" w:pos="22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Share Based Compensation</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0.2 million shares of common stock as of June 30, 2016. The non-employee director stock purchase plan permits the issuance of additional share based payments for up to 0.2 million shares of common stock as of June 30, 2016. Share based awards and payments are measured at fair value at the date of grant and are expensed over the requisite service period. Common shares issued upon exercise of stock options come from currently authorized but unissued shares.</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During each first quarter period of 2016 and 2015, pursuant to our long-term incentive plan, we granted 0.07 million shares of restricted stock and 0.03 million performance stock units (“PSU”) to certain officers. The shares of restricted stock and PSUs cliff vest after a period of three years. The performance feature of the PSUs is based on a comparison of our total shareholder return over the three year period starting on the grant date to the total shareholder return over that period for a banking index of our peers. No long term incentive grants were made during the second quarters of 2016 or 2015.</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directors may elect to receive a portion of their quarterly cash retainer fees in the form of common stock (either on a current basis or on a deferred basis pursuant to the non-employee director stock purchase plan referenced above). Shares equal in value to that portion of each director’s fees that he or she has elected to receive in stock are issued each quarter and vest immediately. We issued 0.004 million shares and 0.002 million shares to directors during the first six months of 2016 and 2015, respectively and expensed their value during those same periods.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Total compensation expense recognized for grants pursuant to our long-term incentive plan was $0.4 million and $0.8 million during the three and six month periods ended June 30, 2016, respectively, and was $0.4 million and $0.7 million during the same periods in 2015, respectively. The corresponding tax benefit relating to this expense was $0.1 million and $0.3 million for the three and six month periods ended June 30, 2016, respectively and $0.1 million and $0.3 million for the same periods in 2015. Total expense recognized for non-employee director share based payments was $0.03 million and $0.06 million during the three and six month periods ended June 30, 2016, respectively, and was $0.02 million and $0.03 million during the same periods in 2015, respectively. The corresponding tax benefit relating to this expense was $0.01 million and $0.02 million for the three and six month periods ended June 30, 2016, respectively and $0.01 million and $0.01 million during the same periods in 2015.</w:t>
      </w:r>
    </w:p>
    <w:p>
      <w:pPr>
        <w:spacing w:after="0" w:line="20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At June 30, 2016, the total expected compensation cost related to non-vested stock options, restricted stock, PSUs and restricted stock unit awards not yet recognized was $2.1 million. The weighted-average period over which this amount will be recognized is 2.0 years.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60" w:type="dxa"/>
            <w:vAlign w:val="bottom"/>
            <w:gridSpan w:val="2"/>
          </w:tcPr>
          <w:p>
            <w:pPr>
              <w:spacing w:after="0"/>
              <w:rPr>
                <w:sz w:val="20"/>
                <w:szCs w:val="20"/>
                <w:color w:val="auto"/>
              </w:rPr>
            </w:pPr>
            <w:r>
              <w:rPr>
                <w:rFonts w:ascii="Arial" w:cs="Arial" w:eastAsia="Arial" w:hAnsi="Arial"/>
                <w:sz w:val="17"/>
                <w:szCs w:val="17"/>
                <w:color w:val="auto"/>
              </w:rPr>
              <w:t>A summary of outstanding stock option grants and related transactions follows: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Weighted-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color w:val="auto"/>
                <w:w w:val="88"/>
              </w:rPr>
              <w:t>Average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7"/>
                <w:szCs w:val="17"/>
                <w:color w:val="auto"/>
                <w:w w:val="88"/>
              </w:rPr>
              <w:t>Average</w:t>
            </w: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color w:val="auto"/>
                <w:w w:val="91"/>
              </w:rPr>
              <w:t>Remaining</w:t>
            </w:r>
          </w:p>
        </w:tc>
        <w:tc>
          <w:tcPr>
            <w:tcW w:w="120" w:type="dxa"/>
            <w:vAlign w:val="bottom"/>
          </w:tcPr>
          <w:p>
            <w:pPr>
              <w:spacing w:after="0"/>
              <w:rPr>
                <w:sz w:val="17"/>
                <w:szCs w:val="17"/>
                <w:color w:val="auto"/>
              </w:rPr>
            </w:pPr>
          </w:p>
        </w:tc>
        <w:tc>
          <w:tcPr>
            <w:tcW w:w="1000" w:type="dxa"/>
            <w:vAlign w:val="bottom"/>
          </w:tcPr>
          <w:p>
            <w:pPr>
              <w:jc w:val="center"/>
              <w:ind w:right="35"/>
              <w:spacing w:after="0"/>
              <w:rPr>
                <w:sz w:val="20"/>
                <w:szCs w:val="20"/>
                <w:color w:val="auto"/>
              </w:rPr>
            </w:pPr>
            <w:r>
              <w:rPr>
                <w:rFonts w:ascii="Arial" w:cs="Arial" w:eastAsia="Arial" w:hAnsi="Arial"/>
                <w:sz w:val="17"/>
                <w:szCs w:val="17"/>
                <w:color w:val="auto"/>
                <w:w w:val="90"/>
              </w:rPr>
              <w:t>Aggregated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7"/>
                <w:szCs w:val="17"/>
                <w:color w:val="auto"/>
              </w:rPr>
              <w:t>Number of</w:t>
            </w:r>
          </w:p>
        </w:tc>
        <w:tc>
          <w:tcPr>
            <w:tcW w:w="18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7"/>
                <w:szCs w:val="17"/>
                <w:color w:val="auto"/>
                <w:w w:val="88"/>
              </w:rPr>
              <w:t>Exercise</w:t>
            </w: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Contractual</w:t>
            </w:r>
          </w:p>
        </w:tc>
        <w:tc>
          <w:tcPr>
            <w:tcW w:w="120" w:type="dxa"/>
            <w:vAlign w:val="bottom"/>
          </w:tcPr>
          <w:p>
            <w:pPr>
              <w:spacing w:after="0"/>
              <w:rPr>
                <w:sz w:val="17"/>
                <w:szCs w:val="17"/>
                <w:color w:val="auto"/>
              </w:rPr>
            </w:pPr>
          </w:p>
        </w:tc>
        <w:tc>
          <w:tcPr>
            <w:tcW w:w="1000" w:type="dxa"/>
            <w:vAlign w:val="bottom"/>
          </w:tcPr>
          <w:p>
            <w:pPr>
              <w:jc w:val="center"/>
              <w:ind w:right="35"/>
              <w:spacing w:after="0"/>
              <w:rPr>
                <w:sz w:val="20"/>
                <w:szCs w:val="20"/>
                <w:color w:val="auto"/>
              </w:rPr>
            </w:pPr>
            <w:r>
              <w:rPr>
                <w:rFonts w:ascii="Arial" w:cs="Arial" w:eastAsia="Arial" w:hAnsi="Arial"/>
                <w:sz w:val="17"/>
                <w:szCs w:val="17"/>
                <w:color w:val="auto"/>
                <w:w w:val="95"/>
              </w:rPr>
              <w:t>Intrinsic</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7"/>
                <w:szCs w:val="17"/>
                <w:color w:val="auto"/>
              </w:rPr>
              <w:t>Shares</w:t>
            </w:r>
          </w:p>
        </w:tc>
        <w:tc>
          <w:tcPr>
            <w:tcW w:w="180" w:type="dxa"/>
            <w:vAlign w:val="bottom"/>
          </w:tcPr>
          <w:p>
            <w:pPr>
              <w:spacing w:after="0"/>
              <w:rPr>
                <w:sz w:val="19"/>
                <w:szCs w:val="19"/>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7"/>
                <w:szCs w:val="17"/>
                <w:color w:val="auto"/>
                <w:w w:val="87"/>
              </w:rPr>
              <w:t>Price</w:t>
            </w: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Term (Years)</w:t>
            </w:r>
          </w:p>
        </w:tc>
        <w:tc>
          <w:tcPr>
            <w:tcW w:w="120" w:type="dxa"/>
            <w:vAlign w:val="bottom"/>
          </w:tcPr>
          <w:p>
            <w:pPr>
              <w:spacing w:after="0"/>
              <w:rPr>
                <w:sz w:val="19"/>
                <w:szCs w:val="19"/>
                <w:color w:val="auto"/>
              </w:rPr>
            </w:pPr>
          </w:p>
        </w:tc>
        <w:tc>
          <w:tcPr>
            <w:tcW w:w="1000" w:type="dxa"/>
            <w:vAlign w:val="bottom"/>
          </w:tcPr>
          <w:p>
            <w:pPr>
              <w:jc w:val="center"/>
              <w:ind w:right="35"/>
              <w:spacing w:after="0"/>
              <w:rPr>
                <w:sz w:val="20"/>
                <w:szCs w:val="20"/>
                <w:color w:val="auto"/>
              </w:rPr>
            </w:pPr>
            <w:r>
              <w:rPr>
                <w:rFonts w:ascii="Arial" w:cs="Arial" w:eastAsia="Arial" w:hAnsi="Arial"/>
                <w:sz w:val="17"/>
                <w:szCs w:val="17"/>
                <w:color w:val="auto"/>
                <w:w w:val="91"/>
              </w:rPr>
              <w:t>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7"/>
                <w:szCs w:val="17"/>
                <w:color w:val="auto"/>
                <w:w w:val="90"/>
              </w:rPr>
              <w:t>(In thousands)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January 1, 2016</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235,596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4.94</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Granted</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Exercised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(16,014)</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3.69</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(664)</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6.42</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Expired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4.25</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Outstanding at June 30, 2016</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218,518</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jc w:val="right"/>
              <w:ind w:right="26"/>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7"/>
                <w:szCs w:val="17"/>
                <w:color w:val="auto"/>
              </w:rPr>
              <w:t>5.02</w:t>
            </w:r>
          </w:p>
        </w:tc>
        <w:tc>
          <w:tcPr>
            <w:tcW w:w="138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7"/>
                <w:szCs w:val="17"/>
                <w:color w:val="auto"/>
              </w:rPr>
              <w:t>5.54</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2,109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60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spacing w:after="0"/>
              <w:rPr>
                <w:sz w:val="16"/>
                <w:szCs w:val="16"/>
                <w:color w:val="auto"/>
              </w:rPr>
            </w:pPr>
          </w:p>
        </w:tc>
        <w:tc>
          <w:tcPr>
            <w:tcW w:w="1380" w:type="dxa"/>
            <w:vAlign w:val="bottom"/>
            <w:gridSpan w:val="2"/>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Vested and expected to vest at June 30, 2016</w:t>
            </w:r>
          </w:p>
        </w:tc>
        <w:tc>
          <w:tcPr>
            <w:tcW w:w="1160" w:type="dxa"/>
            <w:vAlign w:val="bottom"/>
          </w:tcPr>
          <w:p>
            <w:pPr>
              <w:jc w:val="right"/>
              <w:spacing w:after="0"/>
              <w:rPr>
                <w:sz w:val="20"/>
                <w:szCs w:val="20"/>
                <w:color w:val="auto"/>
              </w:rPr>
            </w:pPr>
            <w:r>
              <w:rPr>
                <w:rFonts w:ascii="Arial" w:cs="Arial" w:eastAsia="Arial" w:hAnsi="Arial"/>
                <w:sz w:val="17"/>
                <w:szCs w:val="17"/>
                <w:color w:val="auto"/>
              </w:rPr>
              <w:t>218,518</w:t>
            </w:r>
          </w:p>
        </w:tc>
        <w:tc>
          <w:tcPr>
            <w:tcW w:w="220" w:type="dxa"/>
            <w:vAlign w:val="bottom"/>
          </w:tcPr>
          <w:p>
            <w:pPr>
              <w:spacing w:after="0"/>
              <w:rPr>
                <w:sz w:val="17"/>
                <w:szCs w:val="17"/>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5.02</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5.54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2,109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Exercisable at June 30, 2016</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218,518</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outstanding non-vested restricted stock, restricted stock units and PSUs and related transactions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7"/>
                <w:szCs w:val="17"/>
                <w:color w:val="auto"/>
                <w:w w:val="90"/>
              </w:rPr>
              <w:t>Weighted-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color w:val="auto"/>
                <w:w w:val="88"/>
              </w:rPr>
              <w:t>Average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color w:val="auto"/>
                <w:w w:val="92"/>
              </w:rPr>
              <w:t>Number</w:t>
            </w: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7"/>
                <w:szCs w:val="17"/>
                <w:color w:val="auto"/>
                <w:w w:val="88"/>
              </w:rPr>
              <w:t>Grant Date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color w:val="auto"/>
                <w:w w:val="87"/>
              </w:rPr>
              <w:t>of Shares</w:t>
            </w:r>
          </w:p>
        </w:tc>
        <w:tc>
          <w:tcPr>
            <w:tcW w:w="16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7"/>
                <w:szCs w:val="17"/>
                <w:color w:val="auto"/>
                <w:w w:val="90"/>
              </w:rPr>
              <w:t>Fair Value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January 1, 2016</w:t>
            </w:r>
          </w:p>
        </w:tc>
        <w:tc>
          <w:tcPr>
            <w:tcW w:w="68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261,981</w:t>
            </w:r>
          </w:p>
        </w:tc>
        <w:tc>
          <w:tcPr>
            <w:tcW w:w="24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80" w:type="dxa"/>
            <w:vAlign w:val="bottom"/>
          </w:tcPr>
          <w:p>
            <w:pPr>
              <w:ind w:left="140"/>
              <w:spacing w:after="0"/>
              <w:rPr>
                <w:sz w:val="20"/>
                <w:szCs w:val="20"/>
                <w:color w:val="auto"/>
              </w:rPr>
            </w:pPr>
            <w:r>
              <w:rPr>
                <w:rFonts w:ascii="Arial" w:cs="Arial" w:eastAsia="Arial" w:hAnsi="Arial"/>
                <w:sz w:val="17"/>
                <w:szCs w:val="17"/>
                <w:color w:val="auto"/>
              </w:rPr>
              <w:t>Granted</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96,660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Vested</w:t>
            </w:r>
          </w:p>
        </w:tc>
        <w:tc>
          <w:tcPr>
            <w:tcW w:w="68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(107,795)</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Arial" w:cs="Arial" w:eastAsia="Arial" w:hAnsi="Arial"/>
                <w:sz w:val="17"/>
                <w:szCs w:val="17"/>
                <w:color w:val="auto"/>
              </w:rPr>
              <w:t>Forfeited</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(4,924)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June 30, 2016</w:t>
            </w:r>
          </w:p>
        </w:tc>
        <w:tc>
          <w:tcPr>
            <w:tcW w:w="680" w:type="dxa"/>
            <w:vAlign w:val="bottom"/>
            <w:tcBorders>
              <w:bottom w:val="single" w:sz="8" w:color="CCEEFF"/>
              <w:right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245,922</w:t>
            </w: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5400" w:type="dxa"/>
            <w:vAlign w:val="bottom"/>
            <w:gridSpan w:val="2"/>
          </w:tcPr>
          <w:p>
            <w:pPr>
              <w:spacing w:after="0"/>
              <w:rPr>
                <w:sz w:val="20"/>
                <w:szCs w:val="20"/>
                <w:color w:val="auto"/>
              </w:rPr>
            </w:pPr>
            <w:r>
              <w:rPr>
                <w:rFonts w:ascii="Arial" w:cs="Arial" w:eastAsia="Arial" w:hAnsi="Arial"/>
                <w:sz w:val="17"/>
                <w:szCs w:val="17"/>
                <w:color w:val="auto"/>
                <w:w w:val="96"/>
              </w:rPr>
              <w:t>Certain information regarding options exercised during the periods follows:</w:t>
            </w: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80" w:type="dxa"/>
            <w:vAlign w:val="bottom"/>
            <w:gridSpan w:val="4"/>
          </w:tcPr>
          <w:p>
            <w:pPr>
              <w:jc w:val="right"/>
              <w:ind w:right="140"/>
              <w:spacing w:after="0"/>
              <w:rPr>
                <w:sz w:val="20"/>
                <w:szCs w:val="20"/>
                <w:color w:val="auto"/>
              </w:rPr>
            </w:pPr>
            <w:r>
              <w:rPr>
                <w:rFonts w:ascii="Arial" w:cs="Arial" w:eastAsia="Arial" w:hAnsi="Arial"/>
                <w:sz w:val="17"/>
                <w:szCs w:val="17"/>
                <w:color w:val="auto"/>
              </w:rPr>
              <w:t>Three Months Ended</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5"/>
          </w:tcPr>
          <w:p>
            <w:pPr>
              <w:jc w:val="right"/>
              <w:ind w:right="720"/>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gridSpan w:val="3"/>
          </w:tcPr>
          <w:p>
            <w:pPr>
              <w:ind w:left="120"/>
              <w:spacing w:after="0"/>
              <w:rPr>
                <w:sz w:val="20"/>
                <w:szCs w:val="20"/>
                <w:color w:val="auto"/>
              </w:rPr>
            </w:pPr>
            <w:r>
              <w:rPr>
                <w:rFonts w:ascii="Arial" w:cs="Arial" w:eastAsia="Arial" w:hAnsi="Arial"/>
                <w:sz w:val="17"/>
                <w:szCs w:val="17"/>
                <w:color w:val="auto"/>
              </w:rPr>
              <w:t>June 30,</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7"/>
                <w:szCs w:val="17"/>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2016</w:t>
            </w:r>
          </w:p>
        </w:tc>
        <w:tc>
          <w:tcPr>
            <w:tcW w:w="3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2015</w:t>
            </w:r>
          </w:p>
        </w:tc>
        <w:tc>
          <w:tcPr>
            <w:tcW w:w="3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89"/>
              </w:rPr>
              <w:t>2016</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89"/>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5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Intrinsic value</w:t>
            </w:r>
          </w:p>
        </w:tc>
        <w:tc>
          <w:tcPr>
            <w:tcW w:w="1520" w:type="dxa"/>
            <w:vAlign w:val="bottom"/>
            <w:gridSpan w:val="2"/>
            <w:shd w:val="clear" w:color="auto" w:fill="CCEEFF"/>
          </w:tcPr>
          <w:p>
            <w:pPr>
              <w:jc w:val="right"/>
              <w:ind w:right="714"/>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4"/>
              </w:rPr>
              <w:t>60</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187</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177</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5380" w:type="dxa"/>
            <w:vAlign w:val="bottom"/>
          </w:tcPr>
          <w:p>
            <w:pPr>
              <w:spacing w:after="0"/>
              <w:rPr>
                <w:sz w:val="20"/>
                <w:szCs w:val="20"/>
                <w:color w:val="auto"/>
              </w:rPr>
            </w:pPr>
            <w:r>
              <w:rPr>
                <w:rFonts w:ascii="Arial" w:cs="Arial" w:eastAsia="Arial" w:hAnsi="Arial"/>
                <w:sz w:val="17"/>
                <w:szCs w:val="17"/>
                <w:color w:val="auto"/>
              </w:rPr>
              <w:t>Cash proceeds received</w:t>
            </w:r>
          </w:p>
        </w:tc>
        <w:tc>
          <w:tcPr>
            <w:tcW w:w="680" w:type="dxa"/>
            <w:vAlign w:val="bottom"/>
          </w:tcPr>
          <w:p>
            <w:pPr>
              <w:spacing w:after="0"/>
              <w:rPr>
                <w:sz w:val="16"/>
                <w:szCs w:val="16"/>
                <w:color w:val="auto"/>
              </w:rPr>
            </w:pPr>
          </w:p>
        </w:tc>
        <w:tc>
          <w:tcPr>
            <w:tcW w:w="840" w:type="dxa"/>
            <w:vAlign w:val="bottom"/>
          </w:tcPr>
          <w:p>
            <w:pPr>
              <w:jc w:val="right"/>
              <w:ind w:right="714"/>
              <w:spacing w:after="0"/>
              <w:rPr>
                <w:sz w:val="20"/>
                <w:szCs w:val="20"/>
                <w:color w:val="auto"/>
              </w:rPr>
            </w:pPr>
            <w:r>
              <w:rPr>
                <w:rFonts w:ascii="Arial" w:cs="Arial" w:eastAsia="Arial" w:hAnsi="Arial"/>
                <w:sz w:val="10"/>
                <w:szCs w:val="10"/>
                <w:color w:val="auto"/>
                <w:w w:val="71"/>
              </w:rPr>
              <w:t>$</w:t>
            </w:r>
          </w:p>
        </w:tc>
        <w:tc>
          <w:tcPr>
            <w:tcW w:w="300" w:type="dxa"/>
            <w:vAlign w:val="bottom"/>
          </w:tcPr>
          <w:p>
            <w:pPr>
              <w:ind w:left="120"/>
              <w:spacing w:after="0"/>
              <w:rPr>
                <w:sz w:val="20"/>
                <w:szCs w:val="20"/>
                <w:color w:val="auto"/>
              </w:rPr>
            </w:pPr>
            <w:r>
              <w:rPr>
                <w:rFonts w:ascii="Arial" w:cs="Arial" w:eastAsia="Arial" w:hAnsi="Arial"/>
                <w:sz w:val="17"/>
                <w:szCs w:val="17"/>
                <w:color w:val="auto"/>
                <w:w w:val="84"/>
              </w:rPr>
              <w:t>27</w:t>
            </w:r>
          </w:p>
        </w:tc>
        <w:tc>
          <w:tcPr>
            <w:tcW w:w="104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7"/>
                <w:szCs w:val="17"/>
                <w:color w:val="auto"/>
              </w:rPr>
              <w:t>67</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59</w:t>
            </w:r>
          </w:p>
        </w:tc>
        <w:tc>
          <w:tcPr>
            <w:tcW w:w="240" w:type="dxa"/>
            <w:vAlign w:val="bottom"/>
          </w:tcPr>
          <w:p>
            <w:pPr>
              <w:spacing w:after="0"/>
              <w:rPr>
                <w:sz w:val="16"/>
                <w:szCs w:val="16"/>
                <w:color w:val="auto"/>
              </w:rPr>
            </w:pPr>
          </w:p>
        </w:tc>
        <w:tc>
          <w:tcPr>
            <w:tcW w:w="160" w:type="dxa"/>
            <w:vAlign w:val="bottom"/>
          </w:tcPr>
          <w:p>
            <w:pPr>
              <w:jc w:val="right"/>
              <w:ind w:right="1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Tax benefit realized</w:t>
            </w:r>
          </w:p>
        </w:tc>
        <w:tc>
          <w:tcPr>
            <w:tcW w:w="680" w:type="dxa"/>
            <w:vAlign w:val="bottom"/>
            <w:tcBorders>
              <w:bottom w:val="single" w:sz="8" w:color="CCEEFF"/>
              <w:right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w w:val="84"/>
              </w:rPr>
              <w:t>21</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680" w:type="dxa"/>
            <w:vAlign w:val="bottom"/>
          </w:tcPr>
          <w:p>
            <w:pPr>
              <w:jc w:val="right"/>
              <w:ind w:right="224"/>
              <w:spacing w:after="0"/>
              <w:rPr>
                <w:sz w:val="20"/>
                <w:szCs w:val="20"/>
                <w:color w:val="auto"/>
              </w:rPr>
            </w:pPr>
            <w:r>
              <w:rPr>
                <w:rFonts w:ascii="Arial" w:cs="Arial" w:eastAsia="Arial" w:hAnsi="Arial"/>
                <w:sz w:val="14"/>
                <w:szCs w:val="14"/>
                <w:color w:val="auto"/>
              </w:rPr>
              <w:t>41</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53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ind w:left="300" w:hanging="298"/>
        <w:spacing w:after="0"/>
        <w:tabs>
          <w:tab w:leader="none" w:pos="30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Income Tax</w:t>
      </w:r>
    </w:p>
    <w:p>
      <w:pPr>
        <w:spacing w:after="0" w:line="238"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Income tax expense was $2.6 million during both three month periods ended June 30, 2016 and 2015, respectively and $4.6 million and $4.4 million during the six months ended June 30, 2016 and 2015, respectively. As described in note #2, we adopted ASU 2016-09, “Compensation – Stock Compensation (718) Improvements to Employee Share-Based Payment Accounting” during the second quarter of 2016 which now requires us to recognize for book purposes either income tax expense or benefit relating to excess deficiencies/benefits relating to share-based compensation. Included in income tax expense for both three and six month periods ended June 30, 2016 is a tax benefit of $0.3 million due to the vesting of certain share-based compensation grants during the second quarter of 2016.</w:t>
      </w:r>
    </w:p>
    <w:p>
      <w:pPr>
        <w:spacing w:after="0" w:line="17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both June 30, 2016 and 2015, that the realization of substantially all of our deferred tax assets continues to be more likely than not.</w:t>
      </w:r>
    </w:p>
    <w:p>
      <w:pPr>
        <w:spacing w:after="0" w:line="20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did maintain a valuation allowance against our deferred tax assets of approximately $1.1 million at both June 30, 2016 and December 31, 2015. This valuation allowance on our deferred tax assets primarily relates to state income taxes at our Mepco segment. In this instance, we determined that the future realization of these particular deferred tax assets was not more likely than not. This conclusion was primarily based on the uncertainty of Mepco’s future earnings attributable to particular states (given the various apportionment criteria) and the significant reduction in the size of Mepco’s business.</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At both June 30, 2016 and December 31, 2015, we had approximately $1.0 million, of gross unrecognized tax benefits. We do not expect the total amount of unrecognized tax benefits to significantly increase or decrease during the balance of 2016.</w:t>
      </w:r>
    </w:p>
    <w:p>
      <w:pPr>
        <w:spacing w:after="0" w:line="190" w:lineRule="exact"/>
        <w:rPr>
          <w:sz w:val="20"/>
          <w:szCs w:val="20"/>
          <w:color w:val="auto"/>
        </w:rPr>
      </w:pPr>
    </w:p>
    <w:p>
      <w:pPr>
        <w:ind w:left="300" w:hanging="298"/>
        <w:spacing w:after="0"/>
        <w:tabs>
          <w:tab w:leader="none" w:pos="30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Regulatory Matters</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June 30, 2016, the Bank had positive undivided profits of $2.1 million. We can request regulatory approval for a return of capital from the Bank to the parent company. During the first quarters of 2016 and 2015, we requested regulatory approval for returns of capital from the Bank to the parent company of $18.0 million and $18.5 million, respectively. These return of capital requests were approved by our banking regulators on February 24, 2016 and February 13, 2015, respectively and the Bank returned these amounts to the parent company on February 25, 2016 and February 17, 2015, respectively. It is not our intent to have dividends paid in amounts that would reduce the capital of our Bank to levels below those which we consider prudent and in accordance with guidelines of regulatory authorities.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consolidated financial statements. Under capital adequacy guidelines, we must meet specific capital requirements that involve quantitative measures as well as qualitative judgments by the regulators. The most recent regulatory filings as of June 30, 2016 and December 31, 2015, categorized our Bank as well capitalized. Management is not aware of any conditions or events that would have changed the most recent Federal Deposit Insurance Corporation (“FDIC”) categorization.</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On July 2, 2013, the Federal Reserve approved a final rule that establishes an integrated regulatory capital framework (the “New Capital Rules”). The rule implements in the United States the Basel III regulatory capital reforms from the Basel Committee on Banking Supervision and certain changes required by the Dodd-Frank Act. In general, under the New Capital Rules, minimum requirements have increased for both the quantity and quality of capital held by banking organizations. Consistent with the international Basel framework, the New Capital Rules include a new minimum ratio of common equity Tier 1 capital to risk-weighted assets of 4.5% and a common equity Tier 1 capital conservation buffer of 2.5% of risk-weighted assets that applies to all supervised financial institutions. The capital conservation buffer began to phase in on January 1, 2016 with 0.625% added to the minimum ratio for adequately capitalized institutions for 2016. To avoid limits on capital distributions and certain discretionary bonus payments we must meet the minimum ratio for adequately capitalized institutions plus the phased in buffer. The rule also raises the minimum ratio of Tier 1 capital to risk-weighted assets from 4% to 6% and includes a minimum leverage ratio of 4% for all banking organizations. As to the quality of capital, the New Capital Rules emphasize common equity Tier 1 capital, the most loss-absorbing form of capital, and implement strict eligibility criteria for regulatory capital instruments. The New Capital Rules also change the methodology for calculating risk-weighted assets to enhance risk sensitivity. The New Capital Rules became effective for us on January 1, 2015.</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w w:val="98"/>
              </w:rPr>
              <w:t>Our actual capital amounts and ratios follow:</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3"/>
          </w:tcPr>
          <w:p>
            <w:pPr>
              <w:jc w:val="center"/>
              <w:ind w:left="495"/>
              <w:spacing w:after="0"/>
              <w:rPr>
                <w:sz w:val="20"/>
                <w:szCs w:val="20"/>
                <w:color w:val="auto"/>
              </w:rPr>
            </w:pPr>
            <w:r>
              <w:rPr>
                <w:rFonts w:ascii="Arial" w:cs="Arial" w:eastAsia="Arial" w:hAnsi="Arial"/>
                <w:sz w:val="17"/>
                <w:szCs w:val="17"/>
                <w:color w:val="auto"/>
                <w:w w:val="98"/>
              </w:rPr>
              <w:t>Minimum for</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3"/>
          </w:tcPr>
          <w:p>
            <w:pPr>
              <w:jc w:val="center"/>
              <w:ind w:left="495"/>
              <w:spacing w:after="0"/>
              <w:rPr>
                <w:sz w:val="20"/>
                <w:szCs w:val="20"/>
                <w:color w:val="auto"/>
              </w:rPr>
            </w:pPr>
            <w:r>
              <w:rPr>
                <w:rFonts w:ascii="Arial" w:cs="Arial" w:eastAsia="Arial" w:hAnsi="Arial"/>
                <w:sz w:val="17"/>
                <w:szCs w:val="17"/>
                <w:color w:val="auto"/>
                <w:w w:val="98"/>
              </w:rPr>
              <w:t>Minimum for</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4"/>
          </w:tcPr>
          <w:p>
            <w:pPr>
              <w:jc w:val="center"/>
              <w:ind w:left="55"/>
              <w:spacing w:after="0"/>
              <w:rPr>
                <w:sz w:val="20"/>
                <w:szCs w:val="20"/>
                <w:color w:val="auto"/>
              </w:rPr>
            </w:pPr>
            <w:r>
              <w:rPr>
                <w:rFonts w:ascii="Arial" w:cs="Arial" w:eastAsia="Arial" w:hAnsi="Arial"/>
                <w:sz w:val="17"/>
                <w:szCs w:val="17"/>
                <w:color w:val="auto"/>
                <w:w w:val="90"/>
              </w:rPr>
              <w:t>Adequately Capitalized</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gridSpan w:val="5"/>
          </w:tcPr>
          <w:p>
            <w:pPr>
              <w:jc w:val="center"/>
              <w:ind w:right="340"/>
              <w:spacing w:after="0"/>
              <w:rPr>
                <w:sz w:val="20"/>
                <w:szCs w:val="20"/>
                <w:color w:val="auto"/>
              </w:rPr>
            </w:pPr>
            <w:r>
              <w:rPr>
                <w:rFonts w:ascii="Arial" w:cs="Arial" w:eastAsia="Arial" w:hAnsi="Arial"/>
                <w:sz w:val="17"/>
                <w:szCs w:val="17"/>
                <w:color w:val="auto"/>
                <w:w w:val="92"/>
              </w:rPr>
              <w:t>Well-Capitalized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ind w:left="840"/>
              <w:spacing w:after="0"/>
              <w:rPr>
                <w:sz w:val="20"/>
                <w:szCs w:val="20"/>
                <w:color w:val="auto"/>
              </w:rPr>
            </w:pPr>
            <w:r>
              <w:rPr>
                <w:rFonts w:ascii="Arial" w:cs="Arial" w:eastAsia="Arial" w:hAnsi="Arial"/>
                <w:sz w:val="17"/>
                <w:szCs w:val="17"/>
                <w:color w:val="auto"/>
              </w:rPr>
              <w:t>Actual</w:t>
            </w:r>
          </w:p>
        </w:tc>
        <w:tc>
          <w:tcPr>
            <w:tcW w:w="8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left="475"/>
              <w:spacing w:after="0"/>
              <w:rPr>
                <w:sz w:val="20"/>
                <w:szCs w:val="20"/>
                <w:color w:val="auto"/>
              </w:rPr>
            </w:pPr>
            <w:r>
              <w:rPr>
                <w:rFonts w:ascii="Arial" w:cs="Arial" w:eastAsia="Arial" w:hAnsi="Arial"/>
                <w:sz w:val="17"/>
                <w:szCs w:val="17"/>
                <w:color w:val="auto"/>
                <w:w w:val="95"/>
              </w:rPr>
              <w:t>Institutions</w:t>
            </w:r>
          </w:p>
        </w:tc>
        <w:tc>
          <w:tcPr>
            <w:tcW w:w="4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left="475"/>
              <w:spacing w:after="0"/>
              <w:rPr>
                <w:sz w:val="20"/>
                <w:szCs w:val="20"/>
                <w:color w:val="auto"/>
              </w:rPr>
            </w:pPr>
            <w:r>
              <w:rPr>
                <w:rFonts w:ascii="Arial" w:cs="Arial" w:eastAsia="Arial" w:hAnsi="Arial"/>
                <w:sz w:val="17"/>
                <w:szCs w:val="17"/>
                <w:color w:val="auto"/>
                <w:w w:val="95"/>
              </w:rPr>
              <w:t>Institutions</w:t>
            </w:r>
          </w:p>
        </w:tc>
        <w:tc>
          <w:tcPr>
            <w:tcW w:w="7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ind w:left="100"/>
              <w:spacing w:after="0"/>
              <w:rPr>
                <w:sz w:val="20"/>
                <w:szCs w:val="20"/>
                <w:color w:val="auto"/>
              </w:rPr>
            </w:pPr>
            <w:r>
              <w:rPr>
                <w:rFonts w:ascii="Arial" w:cs="Arial" w:eastAsia="Arial" w:hAnsi="Arial"/>
                <w:sz w:val="17"/>
                <w:szCs w:val="17"/>
                <w:color w:val="auto"/>
              </w:rPr>
              <w:t>Amount</w:t>
            </w:r>
          </w:p>
        </w:tc>
        <w:tc>
          <w:tcPr>
            <w:tcW w:w="880" w:type="dxa"/>
            <w:vAlign w:val="bottom"/>
          </w:tcPr>
          <w:p>
            <w:pPr>
              <w:ind w:left="140"/>
              <w:spacing w:after="0"/>
              <w:rPr>
                <w:sz w:val="20"/>
                <w:szCs w:val="20"/>
                <w:color w:val="auto"/>
              </w:rPr>
            </w:pPr>
            <w:r>
              <w:rPr>
                <w:rFonts w:ascii="Arial" w:cs="Arial" w:eastAsia="Arial" w:hAnsi="Arial"/>
                <w:sz w:val="17"/>
                <w:szCs w:val="17"/>
                <w:color w:val="auto"/>
              </w:rPr>
              <w:t>Ratio</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ind w:left="100"/>
              <w:spacing w:after="0"/>
              <w:rPr>
                <w:sz w:val="20"/>
                <w:szCs w:val="20"/>
                <w:color w:val="auto"/>
              </w:rPr>
            </w:pPr>
            <w:r>
              <w:rPr>
                <w:rFonts w:ascii="Arial" w:cs="Arial" w:eastAsia="Arial" w:hAnsi="Arial"/>
                <w:sz w:val="17"/>
                <w:szCs w:val="17"/>
                <w:color w:val="auto"/>
              </w:rPr>
              <w:t>Amount</w:t>
            </w:r>
          </w:p>
        </w:tc>
        <w:tc>
          <w:tcPr>
            <w:tcW w:w="420" w:type="dxa"/>
            <w:vAlign w:val="bottom"/>
          </w:tcPr>
          <w:p>
            <w:pPr>
              <w:spacing w:after="0"/>
              <w:rPr>
                <w:sz w:val="20"/>
                <w:szCs w:val="20"/>
                <w:color w:val="auto"/>
              </w:rPr>
            </w:pPr>
            <w:r>
              <w:rPr>
                <w:rFonts w:ascii="Arial" w:cs="Arial" w:eastAsia="Arial" w:hAnsi="Arial"/>
                <w:sz w:val="17"/>
                <w:szCs w:val="17"/>
                <w:color w:val="auto"/>
              </w:rPr>
              <w:t>Ratio</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ind w:left="100"/>
              <w:spacing w:after="0"/>
              <w:rPr>
                <w:sz w:val="20"/>
                <w:szCs w:val="20"/>
                <w:color w:val="auto"/>
              </w:rPr>
            </w:pPr>
            <w:r>
              <w:rPr>
                <w:rFonts w:ascii="Arial" w:cs="Arial" w:eastAsia="Arial" w:hAnsi="Arial"/>
                <w:sz w:val="17"/>
                <w:szCs w:val="17"/>
                <w:color w:val="auto"/>
              </w:rPr>
              <w:t>Amount</w:t>
            </w:r>
          </w:p>
        </w:tc>
        <w:tc>
          <w:tcPr>
            <w:tcW w:w="760" w:type="dxa"/>
            <w:vAlign w:val="bottom"/>
          </w:tcPr>
          <w:p>
            <w:pPr>
              <w:jc w:val="right"/>
              <w:ind w:right="295"/>
              <w:spacing w:after="0"/>
              <w:rPr>
                <w:sz w:val="20"/>
                <w:szCs w:val="20"/>
                <w:color w:val="auto"/>
              </w:rPr>
            </w:pPr>
            <w:r>
              <w:rPr>
                <w:rFonts w:ascii="Arial" w:cs="Arial" w:eastAsia="Arial" w:hAnsi="Arial"/>
                <w:sz w:val="17"/>
                <w:szCs w:val="17"/>
                <w:color w:val="auto"/>
                <w:w w:val="90"/>
              </w:rPr>
              <w:t>Ratio</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ind w:left="220"/>
              <w:spacing w:after="0"/>
              <w:rPr>
                <w:sz w:val="20"/>
                <w:szCs w:val="20"/>
                <w:color w:val="auto"/>
              </w:rPr>
            </w:pPr>
            <w:r>
              <w:rPr>
                <w:rFonts w:ascii="Arial" w:cs="Arial" w:eastAsia="Arial" w:hAnsi="Arial"/>
                <w:sz w:val="17"/>
                <w:szCs w:val="17"/>
                <w:color w:val="auto"/>
                <w:w w:val="88"/>
              </w:rPr>
              <w:t>(Dollars in</w:t>
            </w:r>
          </w:p>
        </w:tc>
        <w:tc>
          <w:tcPr>
            <w:tcW w:w="220" w:type="dxa"/>
            <w:vAlign w:val="bottom"/>
          </w:tcPr>
          <w:p>
            <w:pPr>
              <w:spacing w:after="0"/>
              <w:rPr>
                <w:sz w:val="18"/>
                <w:szCs w:val="18"/>
                <w:color w:val="auto"/>
              </w:rPr>
            </w:pPr>
          </w:p>
        </w:tc>
        <w:tc>
          <w:tcPr>
            <w:tcW w:w="78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w w:val="90"/>
              </w:rPr>
              <w:t>thousands)</w:t>
            </w:r>
          </w:p>
        </w:tc>
        <w:tc>
          <w:tcPr>
            <w:tcW w:w="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3320" w:type="dxa"/>
            <w:vAlign w:val="bottom"/>
            <w:gridSpan w:val="2"/>
          </w:tcPr>
          <w:p>
            <w:pPr>
              <w:spacing w:after="0"/>
              <w:rPr>
                <w:sz w:val="20"/>
                <w:szCs w:val="20"/>
                <w:color w:val="auto"/>
              </w:rPr>
            </w:pPr>
            <w:r>
              <w:rPr>
                <w:rFonts w:ascii="Arial" w:cs="Arial" w:eastAsia="Arial" w:hAnsi="Arial"/>
                <w:sz w:val="17"/>
                <w:szCs w:val="17"/>
                <w:color w:val="auto"/>
              </w:rPr>
              <w:t>June 30, 2016</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Total capital to risk-weighted assets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Consolidated</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275,163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15.97%</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137,844</w:t>
            </w: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8.00%</w:t>
            </w:r>
          </w:p>
        </w:tc>
        <w:tc>
          <w:tcPr>
            <w:tcW w:w="2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ind w:left="680"/>
              <w:spacing w:after="0"/>
              <w:rPr>
                <w:sz w:val="20"/>
                <w:szCs w:val="20"/>
                <w:color w:val="auto"/>
              </w:rPr>
            </w:pPr>
            <w:r>
              <w:rPr>
                <w:rFonts w:ascii="Arial" w:cs="Arial" w:eastAsia="Arial" w:hAnsi="Arial"/>
                <w:sz w:val="17"/>
                <w:szCs w:val="17"/>
                <w:color w:val="auto"/>
              </w:rPr>
              <w:t>NA</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Independent Bank</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260,344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15.12</w:t>
            </w:r>
          </w:p>
        </w:tc>
        <w:tc>
          <w:tcPr>
            <w:tcW w:w="2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137,712</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gridSpan w:val="2"/>
          </w:tcPr>
          <w:p>
            <w:pPr>
              <w:ind w:left="40"/>
              <w:spacing w:after="0"/>
              <w:rPr>
                <w:sz w:val="20"/>
                <w:szCs w:val="20"/>
                <w:color w:val="auto"/>
              </w:rPr>
            </w:pPr>
            <w:r>
              <w:rPr>
                <w:rFonts w:ascii="Arial" w:cs="Arial" w:eastAsia="Arial" w:hAnsi="Arial"/>
                <w:sz w:val="17"/>
                <w:szCs w:val="17"/>
                <w:color w:val="auto"/>
              </w:rPr>
              <w:t>8.00</w:t>
            </w:r>
          </w:p>
        </w:tc>
        <w:tc>
          <w:tcPr>
            <w:tcW w:w="2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172,140</w:t>
            </w:r>
          </w:p>
        </w:tc>
        <w:tc>
          <w:tcPr>
            <w:tcW w:w="3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Tier 1 capital to risk-weighted assets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Consolidated</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253,484</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14.71%</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103,383</w:t>
            </w: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6.00%</w:t>
            </w:r>
          </w:p>
        </w:tc>
        <w:tc>
          <w:tcPr>
            <w:tcW w:w="2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ind w:left="680"/>
              <w:spacing w:after="0"/>
              <w:rPr>
                <w:sz w:val="20"/>
                <w:szCs w:val="20"/>
                <w:color w:val="auto"/>
              </w:rPr>
            </w:pPr>
            <w:r>
              <w:rPr>
                <w:rFonts w:ascii="Arial" w:cs="Arial" w:eastAsia="Arial" w:hAnsi="Arial"/>
                <w:sz w:val="17"/>
                <w:szCs w:val="17"/>
                <w:color w:val="auto"/>
              </w:rPr>
              <w:t>NA</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Independent Bank</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238,734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13.87</w:t>
            </w:r>
          </w:p>
        </w:tc>
        <w:tc>
          <w:tcPr>
            <w:tcW w:w="2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103,284</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gridSpan w:val="2"/>
          </w:tcPr>
          <w:p>
            <w:pPr>
              <w:ind w:left="40"/>
              <w:spacing w:after="0"/>
              <w:rPr>
                <w:sz w:val="20"/>
                <w:szCs w:val="20"/>
                <w:color w:val="auto"/>
              </w:rPr>
            </w:pPr>
            <w:r>
              <w:rPr>
                <w:rFonts w:ascii="Arial" w:cs="Arial" w:eastAsia="Arial" w:hAnsi="Arial"/>
                <w:sz w:val="17"/>
                <w:szCs w:val="17"/>
                <w:color w:val="auto"/>
              </w:rPr>
              <w:t>6.00</w:t>
            </w:r>
          </w:p>
        </w:tc>
        <w:tc>
          <w:tcPr>
            <w:tcW w:w="2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137,712</w:t>
            </w:r>
          </w:p>
        </w:tc>
        <w:tc>
          <w:tcPr>
            <w:tcW w:w="3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8.00%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3300" w:type="dxa"/>
            <w:vAlign w:val="bottom"/>
          </w:tcPr>
          <w:p>
            <w:pPr>
              <w:spacing w:after="0" w:line="191" w:lineRule="exact"/>
              <w:rPr>
                <w:sz w:val="20"/>
                <w:szCs w:val="20"/>
                <w:color w:val="auto"/>
              </w:rPr>
            </w:pPr>
            <w:r>
              <w:rPr>
                <w:rFonts w:ascii="Arial" w:cs="Arial" w:eastAsia="Arial" w:hAnsi="Arial"/>
                <w:sz w:val="17"/>
                <w:szCs w:val="17"/>
                <w:color w:val="auto"/>
                <w:w w:val="96"/>
              </w:rPr>
              <w:t>Common equity tier 1 capital to risk-weighted</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assets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Consolidated</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228,648</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13.27%</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77,537</w:t>
            </w: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4.50%</w:t>
            </w:r>
          </w:p>
        </w:tc>
        <w:tc>
          <w:tcPr>
            <w:tcW w:w="2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ind w:left="680"/>
              <w:spacing w:after="0"/>
              <w:rPr>
                <w:sz w:val="20"/>
                <w:szCs w:val="20"/>
                <w:color w:val="auto"/>
              </w:rPr>
            </w:pPr>
            <w:r>
              <w:rPr>
                <w:rFonts w:ascii="Arial" w:cs="Arial" w:eastAsia="Arial" w:hAnsi="Arial"/>
                <w:sz w:val="17"/>
                <w:szCs w:val="17"/>
                <w:color w:val="auto"/>
              </w:rPr>
              <w:t>NA</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Independent Bank</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238,734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13.87</w:t>
            </w:r>
          </w:p>
        </w:tc>
        <w:tc>
          <w:tcPr>
            <w:tcW w:w="2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77,463</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gridSpan w:val="2"/>
          </w:tcPr>
          <w:p>
            <w:pPr>
              <w:ind w:left="40"/>
              <w:spacing w:after="0"/>
              <w:rPr>
                <w:sz w:val="20"/>
                <w:szCs w:val="20"/>
                <w:color w:val="auto"/>
              </w:rPr>
            </w:pPr>
            <w:r>
              <w:rPr>
                <w:rFonts w:ascii="Arial" w:cs="Arial" w:eastAsia="Arial" w:hAnsi="Arial"/>
                <w:sz w:val="17"/>
                <w:szCs w:val="17"/>
                <w:color w:val="auto"/>
              </w:rPr>
              <w:t>4.50</w:t>
            </w:r>
          </w:p>
        </w:tc>
        <w:tc>
          <w:tcPr>
            <w:tcW w:w="2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111,891</w:t>
            </w:r>
          </w:p>
        </w:tc>
        <w:tc>
          <w:tcPr>
            <w:tcW w:w="3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6.50%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Tier 1 capital to average assets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Consolidated</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253,484</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10.47%</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96,803</w:t>
            </w: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4.00%</w:t>
            </w:r>
          </w:p>
        </w:tc>
        <w:tc>
          <w:tcPr>
            <w:tcW w:w="2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ind w:left="680"/>
              <w:spacing w:after="0"/>
              <w:rPr>
                <w:sz w:val="20"/>
                <w:szCs w:val="20"/>
                <w:color w:val="auto"/>
              </w:rPr>
            </w:pPr>
            <w:r>
              <w:rPr>
                <w:rFonts w:ascii="Arial" w:cs="Arial" w:eastAsia="Arial" w:hAnsi="Arial"/>
                <w:sz w:val="17"/>
                <w:szCs w:val="17"/>
                <w:color w:val="auto"/>
              </w:rPr>
              <w:t>NA</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Independent Bank</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238,734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9.87</w:t>
            </w:r>
          </w:p>
        </w:tc>
        <w:tc>
          <w:tcPr>
            <w:tcW w:w="2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96,737</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gridSpan w:val="2"/>
          </w:tcPr>
          <w:p>
            <w:pPr>
              <w:ind w:left="40"/>
              <w:spacing w:after="0"/>
              <w:rPr>
                <w:sz w:val="20"/>
                <w:szCs w:val="20"/>
                <w:color w:val="auto"/>
              </w:rPr>
            </w:pPr>
            <w:r>
              <w:rPr>
                <w:rFonts w:ascii="Arial" w:cs="Arial" w:eastAsia="Arial" w:hAnsi="Arial"/>
                <w:sz w:val="17"/>
                <w:szCs w:val="17"/>
                <w:color w:val="auto"/>
              </w:rPr>
              <w:t>4.00</w:t>
            </w:r>
          </w:p>
        </w:tc>
        <w:tc>
          <w:tcPr>
            <w:tcW w:w="2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120,921</w:t>
            </w:r>
          </w:p>
        </w:tc>
        <w:tc>
          <w:tcPr>
            <w:tcW w:w="3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December 31, 2015</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Total capital to risk-weighted assets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Consolidated</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278,170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16.65%</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133,668</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gridSpan w:val="2"/>
          </w:tcPr>
          <w:p>
            <w:pPr>
              <w:ind w:left="40"/>
              <w:spacing w:after="0"/>
              <w:rPr>
                <w:sz w:val="20"/>
                <w:szCs w:val="20"/>
                <w:color w:val="auto"/>
              </w:rPr>
            </w:pPr>
            <w:r>
              <w:rPr>
                <w:rFonts w:ascii="Arial" w:cs="Arial" w:eastAsia="Arial" w:hAnsi="Arial"/>
                <w:sz w:val="17"/>
                <w:szCs w:val="17"/>
                <w:color w:val="auto"/>
              </w:rPr>
              <w:t>8.00%</w:t>
            </w:r>
          </w:p>
        </w:tc>
        <w:tc>
          <w:tcPr>
            <w:tcW w:w="200" w:type="dxa"/>
            <w:vAlign w:val="bottom"/>
          </w:tcPr>
          <w:p>
            <w:pPr>
              <w:spacing w:after="0"/>
              <w:rPr>
                <w:sz w:val="17"/>
                <w:szCs w:val="17"/>
                <w:color w:val="auto"/>
              </w:rPr>
            </w:pPr>
          </w:p>
        </w:tc>
        <w:tc>
          <w:tcPr>
            <w:tcW w:w="1500" w:type="dxa"/>
            <w:vAlign w:val="bottom"/>
            <w:gridSpan w:val="3"/>
          </w:tcPr>
          <w:p>
            <w:pPr>
              <w:ind w:left="680"/>
              <w:spacing w:after="0"/>
              <w:rPr>
                <w:sz w:val="20"/>
                <w:szCs w:val="20"/>
                <w:color w:val="auto"/>
              </w:rPr>
            </w:pPr>
            <w:r>
              <w:rPr>
                <w:rFonts w:ascii="Arial" w:cs="Arial" w:eastAsia="Arial" w:hAnsi="Arial"/>
                <w:sz w:val="17"/>
                <w:szCs w:val="17"/>
                <w:color w:val="auto"/>
              </w:rPr>
              <w:t>NA</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Independent Bank</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261,894</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15.69</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133,514</w:t>
            </w: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8.00</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166,893</w:t>
            </w: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Tier 1 capital to risk-weighted assets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Consolidated</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257,050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15.38%</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100,251</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gridSpan w:val="2"/>
          </w:tcPr>
          <w:p>
            <w:pPr>
              <w:ind w:left="40"/>
              <w:spacing w:after="0"/>
              <w:rPr>
                <w:sz w:val="20"/>
                <w:szCs w:val="20"/>
                <w:color w:val="auto"/>
              </w:rPr>
            </w:pPr>
            <w:r>
              <w:rPr>
                <w:rFonts w:ascii="Arial" w:cs="Arial" w:eastAsia="Arial" w:hAnsi="Arial"/>
                <w:sz w:val="17"/>
                <w:szCs w:val="17"/>
                <w:color w:val="auto"/>
              </w:rPr>
              <w:t>6.00%</w:t>
            </w:r>
          </w:p>
        </w:tc>
        <w:tc>
          <w:tcPr>
            <w:tcW w:w="200" w:type="dxa"/>
            <w:vAlign w:val="bottom"/>
          </w:tcPr>
          <w:p>
            <w:pPr>
              <w:spacing w:after="0"/>
              <w:rPr>
                <w:sz w:val="17"/>
                <w:szCs w:val="17"/>
                <w:color w:val="auto"/>
              </w:rPr>
            </w:pPr>
          </w:p>
        </w:tc>
        <w:tc>
          <w:tcPr>
            <w:tcW w:w="1500" w:type="dxa"/>
            <w:vAlign w:val="bottom"/>
            <w:gridSpan w:val="3"/>
          </w:tcPr>
          <w:p>
            <w:pPr>
              <w:ind w:left="680"/>
              <w:spacing w:after="0"/>
              <w:rPr>
                <w:sz w:val="20"/>
                <w:szCs w:val="20"/>
                <w:color w:val="auto"/>
              </w:rPr>
            </w:pPr>
            <w:r>
              <w:rPr>
                <w:rFonts w:ascii="Arial" w:cs="Arial" w:eastAsia="Arial" w:hAnsi="Arial"/>
                <w:sz w:val="17"/>
                <w:szCs w:val="17"/>
                <w:color w:val="auto"/>
              </w:rPr>
              <w:t>NA</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Independent Bank</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240,867</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14.43</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100,136</w:t>
            </w: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6.00</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133,514</w:t>
            </w: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330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w w:val="96"/>
              </w:rPr>
              <w:t>Common equity tier 1 capital to risk-weighted</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assets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Consolidated</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239,271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14.32%</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75,188</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gridSpan w:val="2"/>
          </w:tcPr>
          <w:p>
            <w:pPr>
              <w:ind w:left="40"/>
              <w:spacing w:after="0"/>
              <w:rPr>
                <w:sz w:val="20"/>
                <w:szCs w:val="20"/>
                <w:color w:val="auto"/>
              </w:rPr>
            </w:pPr>
            <w:r>
              <w:rPr>
                <w:rFonts w:ascii="Arial" w:cs="Arial" w:eastAsia="Arial" w:hAnsi="Arial"/>
                <w:sz w:val="17"/>
                <w:szCs w:val="17"/>
                <w:color w:val="auto"/>
              </w:rPr>
              <w:t>4.50%</w:t>
            </w:r>
          </w:p>
        </w:tc>
        <w:tc>
          <w:tcPr>
            <w:tcW w:w="200" w:type="dxa"/>
            <w:vAlign w:val="bottom"/>
          </w:tcPr>
          <w:p>
            <w:pPr>
              <w:spacing w:after="0"/>
              <w:rPr>
                <w:sz w:val="17"/>
                <w:szCs w:val="17"/>
                <w:color w:val="auto"/>
              </w:rPr>
            </w:pPr>
          </w:p>
        </w:tc>
        <w:tc>
          <w:tcPr>
            <w:tcW w:w="1500" w:type="dxa"/>
            <w:vAlign w:val="bottom"/>
            <w:gridSpan w:val="3"/>
          </w:tcPr>
          <w:p>
            <w:pPr>
              <w:ind w:left="680"/>
              <w:spacing w:after="0"/>
              <w:rPr>
                <w:sz w:val="20"/>
                <w:szCs w:val="20"/>
                <w:color w:val="auto"/>
              </w:rPr>
            </w:pPr>
            <w:r>
              <w:rPr>
                <w:rFonts w:ascii="Arial" w:cs="Arial" w:eastAsia="Arial" w:hAnsi="Arial"/>
                <w:sz w:val="17"/>
                <w:szCs w:val="17"/>
                <w:color w:val="auto"/>
              </w:rPr>
              <w:t>NA</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Independent Bank</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240,867</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14.43</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75,102</w:t>
            </w: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4.50</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108,480</w:t>
            </w: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Tier 1 capital to average assets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140"/>
              <w:spacing w:after="0"/>
              <w:rPr>
                <w:sz w:val="20"/>
                <w:szCs w:val="20"/>
                <w:color w:val="auto"/>
              </w:rPr>
            </w:pPr>
            <w:r>
              <w:rPr>
                <w:rFonts w:ascii="Arial" w:cs="Arial" w:eastAsia="Arial" w:hAnsi="Arial"/>
                <w:sz w:val="17"/>
                <w:szCs w:val="17"/>
                <w:color w:val="auto"/>
              </w:rPr>
              <w:t>Consolidated</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257,050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10.91%</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94,217</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gridSpan w:val="2"/>
          </w:tcPr>
          <w:p>
            <w:pPr>
              <w:ind w:left="40"/>
              <w:spacing w:after="0"/>
              <w:rPr>
                <w:sz w:val="20"/>
                <w:szCs w:val="20"/>
                <w:color w:val="auto"/>
              </w:rPr>
            </w:pPr>
            <w:r>
              <w:rPr>
                <w:rFonts w:ascii="Arial" w:cs="Arial" w:eastAsia="Arial" w:hAnsi="Arial"/>
                <w:sz w:val="17"/>
                <w:szCs w:val="17"/>
                <w:color w:val="auto"/>
              </w:rPr>
              <w:t>4.00%</w:t>
            </w:r>
          </w:p>
        </w:tc>
        <w:tc>
          <w:tcPr>
            <w:tcW w:w="200" w:type="dxa"/>
            <w:vAlign w:val="bottom"/>
          </w:tcPr>
          <w:p>
            <w:pPr>
              <w:spacing w:after="0"/>
              <w:rPr>
                <w:sz w:val="17"/>
                <w:szCs w:val="17"/>
                <w:color w:val="auto"/>
              </w:rPr>
            </w:pPr>
          </w:p>
        </w:tc>
        <w:tc>
          <w:tcPr>
            <w:tcW w:w="1500" w:type="dxa"/>
            <w:vAlign w:val="bottom"/>
            <w:gridSpan w:val="3"/>
          </w:tcPr>
          <w:p>
            <w:pPr>
              <w:ind w:left="680"/>
              <w:spacing w:after="0"/>
              <w:rPr>
                <w:sz w:val="20"/>
                <w:szCs w:val="20"/>
                <w:color w:val="auto"/>
              </w:rPr>
            </w:pPr>
            <w:r>
              <w:rPr>
                <w:rFonts w:ascii="Arial" w:cs="Arial" w:eastAsia="Arial" w:hAnsi="Arial"/>
                <w:sz w:val="17"/>
                <w:szCs w:val="17"/>
                <w:color w:val="auto"/>
              </w:rPr>
              <w:t>NA</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Independent Bank</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240,867</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10.23</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94,145</w:t>
            </w: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4.00</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117,682</w:t>
            </w: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208280</wp:posOffset>
            </wp:positionV>
            <wp:extent cx="146812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68120" cy="3683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NA - 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0" w:type="dxa"/>
            <w:vAlign w:val="bottom"/>
          </w:tcPr>
          <w:p>
            <w:pPr>
              <w:spacing w:after="0"/>
              <w:rPr>
                <w:sz w:val="20"/>
                <w:szCs w:val="20"/>
                <w:color w:val="auto"/>
              </w:rPr>
            </w:pPr>
            <w:r>
              <w:rPr>
                <w:rFonts w:ascii="Arial" w:cs="Arial" w:eastAsia="Arial" w:hAnsi="Arial"/>
                <w:sz w:val="17"/>
                <w:szCs w:val="17"/>
                <w:color w:val="auto"/>
              </w:rPr>
              <w:t>The components of our regulatory capital are as follows: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9"/>
        </w:trPr>
        <w:tc>
          <w:tcPr>
            <w:tcW w:w="5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5"/>
          </w:tcPr>
          <w:p>
            <w:pPr>
              <w:jc w:val="right"/>
              <w:ind w:right="860"/>
              <w:spacing w:after="0"/>
              <w:rPr>
                <w:sz w:val="20"/>
                <w:szCs w:val="20"/>
                <w:color w:val="auto"/>
              </w:rPr>
            </w:pPr>
            <w:r>
              <w:rPr>
                <w:rFonts w:ascii="Arial" w:cs="Arial" w:eastAsia="Arial" w:hAnsi="Arial"/>
                <w:sz w:val="17"/>
                <w:szCs w:val="17"/>
                <w:color w:val="auto"/>
              </w:rPr>
              <w:t>Consolidated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5"/>
          </w:tcPr>
          <w:p>
            <w:pPr>
              <w:jc w:val="right"/>
              <w:ind w:right="740"/>
              <w:spacing w:after="0"/>
              <w:rPr>
                <w:sz w:val="20"/>
                <w:szCs w:val="20"/>
                <w:color w:val="auto"/>
              </w:rPr>
            </w:pPr>
            <w:r>
              <w:rPr>
                <w:rFonts w:ascii="Arial" w:cs="Arial" w:eastAsia="Arial" w:hAnsi="Arial"/>
                <w:sz w:val="17"/>
                <w:szCs w:val="17"/>
                <w:color w:val="auto"/>
              </w:rPr>
              <w:t>Independent Bank</w:t>
            </w:r>
          </w:p>
        </w:tc>
      </w:tr>
      <w:tr>
        <w:trPr>
          <w:trHeight w:val="191"/>
        </w:trPr>
        <w:tc>
          <w:tcPr>
            <w:tcW w:w="5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520"/>
              <w:spacing w:after="0" w:line="191" w:lineRule="exact"/>
              <w:rPr>
                <w:sz w:val="20"/>
                <w:szCs w:val="20"/>
                <w:color w:val="auto"/>
              </w:rPr>
            </w:pPr>
            <w:r>
              <w:rPr>
                <w:rFonts w:ascii="Arial" w:cs="Arial" w:eastAsia="Arial" w:hAnsi="Arial"/>
                <w:sz w:val="17"/>
                <w:szCs w:val="17"/>
                <w:color w:val="auto"/>
                <w:w w:val="98"/>
              </w:rPr>
              <w:t>June 30,</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5"/>
              <w:spacing w:after="0" w:line="191" w:lineRule="exact"/>
              <w:rPr>
                <w:sz w:val="20"/>
                <w:szCs w:val="20"/>
                <w:color w:val="auto"/>
              </w:rPr>
            </w:pPr>
            <w:r>
              <w:rPr>
                <w:rFonts w:ascii="Arial" w:cs="Arial" w:eastAsia="Arial" w:hAnsi="Arial"/>
                <w:sz w:val="17"/>
                <w:szCs w:val="17"/>
                <w:color w:val="auto"/>
                <w:w w:val="86"/>
              </w:rPr>
              <w:t>December 31,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520"/>
              <w:spacing w:after="0" w:line="191" w:lineRule="exact"/>
              <w:rPr>
                <w:sz w:val="20"/>
                <w:szCs w:val="20"/>
                <w:color w:val="auto"/>
              </w:rPr>
            </w:pPr>
            <w:r>
              <w:rPr>
                <w:rFonts w:ascii="Arial" w:cs="Arial" w:eastAsia="Arial" w:hAnsi="Arial"/>
                <w:sz w:val="17"/>
                <w:szCs w:val="17"/>
                <w:color w:val="auto"/>
              </w:rPr>
              <w:t>June 30,</w:t>
            </w: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7"/>
                <w:szCs w:val="17"/>
                <w:color w:val="auto"/>
                <w:w w:val="88"/>
              </w:rPr>
              <w:t>December 31,</w:t>
            </w:r>
          </w:p>
        </w:tc>
        <w:tc>
          <w:tcPr>
            <w:tcW w:w="100" w:type="dxa"/>
            <w:vAlign w:val="bottom"/>
          </w:tcPr>
          <w:p>
            <w:pPr>
              <w:spacing w:after="0"/>
              <w:rPr>
                <w:sz w:val="16"/>
                <w:szCs w:val="16"/>
                <w:color w:val="auto"/>
              </w:rPr>
            </w:pPr>
          </w:p>
        </w:tc>
      </w:tr>
      <w:tr>
        <w:trPr>
          <w:trHeight w:val="222"/>
        </w:trPr>
        <w:tc>
          <w:tcPr>
            <w:tcW w:w="5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2016</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19"/>
                <w:szCs w:val="19"/>
                <w:color w:val="auto"/>
              </w:rPr>
            </w:pPr>
          </w:p>
        </w:tc>
      </w:tr>
      <w:tr>
        <w:trPr>
          <w:trHeight w:val="204"/>
        </w:trPr>
        <w:tc>
          <w:tcPr>
            <w:tcW w:w="5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95"/>
              <w:spacing w:after="0"/>
              <w:rPr>
                <w:sz w:val="20"/>
                <w:szCs w:val="20"/>
                <w:color w:val="auto"/>
              </w:rPr>
            </w:pPr>
            <w:r>
              <w:rPr>
                <w:rFonts w:ascii="Arial" w:cs="Arial" w:eastAsia="Arial" w:hAnsi="Arial"/>
                <w:sz w:val="17"/>
                <w:szCs w:val="17"/>
                <w:color w:val="auto"/>
              </w:rPr>
              <w:t>(In</w:t>
            </w:r>
          </w:p>
        </w:tc>
        <w:tc>
          <w:tcPr>
            <w:tcW w:w="1380" w:type="dxa"/>
            <w:vAlign w:val="bottom"/>
            <w:gridSpan w:val="4"/>
          </w:tcPr>
          <w:p>
            <w:pPr>
              <w:jc w:val="right"/>
              <w:ind w:right="695"/>
              <w:spacing w:after="0"/>
              <w:rPr>
                <w:sz w:val="20"/>
                <w:szCs w:val="20"/>
                <w:color w:val="auto"/>
              </w:rPr>
            </w:pPr>
            <w:r>
              <w:rPr>
                <w:rFonts w:ascii="Arial" w:cs="Arial" w:eastAsia="Arial" w:hAnsi="Arial"/>
                <w:sz w:val="16"/>
                <w:szCs w:val="16"/>
                <w:color w:val="auto"/>
                <w:w w:val="73"/>
              </w:rPr>
              <w:t>thousands)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Total shareholders’ equity</w:t>
            </w:r>
          </w:p>
        </w:tc>
        <w:tc>
          <w:tcPr>
            <w:tcW w:w="46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246,923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251,092</w:t>
            </w:r>
          </w:p>
        </w:tc>
        <w:tc>
          <w:tcPr>
            <w:tcW w:w="280" w:type="dxa"/>
            <w:vAlign w:val="bottom"/>
            <w:gridSpan w:val="2"/>
            <w:shd w:val="clear" w:color="auto" w:fill="CCEEFF"/>
          </w:tcPr>
          <w:p>
            <w:pPr>
              <w:jc w:val="right"/>
              <w:ind w:right="26"/>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256,850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259,947</w:t>
            </w:r>
          </w:p>
        </w:tc>
        <w:tc>
          <w:tcPr>
            <w:tcW w:w="100" w:type="dxa"/>
            <w:vAlign w:val="bottom"/>
            <w:shd w:val="clear" w:color="auto" w:fill="CCEEFF"/>
          </w:tcPr>
          <w:p>
            <w:pPr>
              <w:spacing w:after="0"/>
              <w:rPr>
                <w:sz w:val="17"/>
                <w:szCs w:val="17"/>
                <w:color w:val="auto"/>
              </w:rPr>
            </w:pPr>
          </w:p>
        </w:tc>
      </w:tr>
      <w:tr>
        <w:trPr>
          <w:trHeight w:val="204"/>
        </w:trPr>
        <w:tc>
          <w:tcPr>
            <w:tcW w:w="5800" w:type="dxa"/>
            <w:vAlign w:val="bottom"/>
          </w:tcPr>
          <w:p>
            <w:pPr>
              <w:ind w:left="160"/>
              <w:spacing w:after="0"/>
              <w:rPr>
                <w:sz w:val="20"/>
                <w:szCs w:val="20"/>
                <w:color w:val="auto"/>
              </w:rPr>
            </w:pPr>
            <w:r>
              <w:rPr>
                <w:rFonts w:ascii="Arial" w:cs="Arial" w:eastAsia="Arial" w:hAnsi="Arial"/>
                <w:sz w:val="17"/>
                <w:szCs w:val="17"/>
                <w:color w:val="auto"/>
              </w:rPr>
              <w:t>Add (deduct)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Accumulated other comprehensive (income) loss for regulatory purposes</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(2,515)</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(2,514)</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238</w:t>
            </w:r>
          </w:p>
        </w:tc>
      </w:tr>
      <w:tr>
        <w:trPr>
          <w:trHeight w:val="204"/>
        </w:trPr>
        <w:tc>
          <w:tcPr>
            <w:tcW w:w="5800" w:type="dxa"/>
            <w:vAlign w:val="bottom"/>
          </w:tcPr>
          <w:p>
            <w:pPr>
              <w:ind w:left="300"/>
              <w:spacing w:after="0"/>
              <w:rPr>
                <w:sz w:val="20"/>
                <w:szCs w:val="20"/>
                <w:color w:val="auto"/>
              </w:rPr>
            </w:pPr>
            <w:r>
              <w:rPr>
                <w:rFonts w:ascii="Arial" w:cs="Arial" w:eastAsia="Arial" w:hAnsi="Arial"/>
                <w:sz w:val="17"/>
                <w:szCs w:val="17"/>
                <w:color w:val="auto"/>
              </w:rPr>
              <w:t>Intangible assets</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(1,264)</w:t>
            </w:r>
          </w:p>
        </w:tc>
        <w:tc>
          <w:tcPr>
            <w:tcW w:w="10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(912)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(1,264)</w:t>
            </w:r>
          </w:p>
        </w:tc>
        <w:tc>
          <w:tcPr>
            <w:tcW w:w="8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(912)</w:t>
            </w:r>
          </w:p>
        </w:tc>
      </w:tr>
      <w:tr>
        <w:trPr>
          <w:trHeight w:val="204"/>
        </w:trPr>
        <w:tc>
          <w:tcPr>
            <w:tcW w:w="5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Disallowed deferred tax assets</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(14,496)</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(11,147)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(14,338)</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(18,406)</w:t>
            </w:r>
          </w:p>
        </w:tc>
      </w:tr>
      <w:tr>
        <w:trPr>
          <w:trHeight w:val="25"/>
        </w:trPr>
        <w:tc>
          <w:tcPr>
            <w:tcW w:w="58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4"/>
        </w:trPr>
        <w:tc>
          <w:tcPr>
            <w:tcW w:w="5800" w:type="dxa"/>
            <w:vAlign w:val="bottom"/>
          </w:tcPr>
          <w:p>
            <w:pPr>
              <w:ind w:left="460"/>
              <w:spacing w:after="0"/>
              <w:rPr>
                <w:sz w:val="20"/>
                <w:szCs w:val="20"/>
                <w:color w:val="auto"/>
              </w:rPr>
            </w:pPr>
            <w:r>
              <w:rPr>
                <w:rFonts w:ascii="Arial" w:cs="Arial" w:eastAsia="Arial" w:hAnsi="Arial"/>
                <w:sz w:val="17"/>
                <w:szCs w:val="17"/>
                <w:color w:val="auto"/>
              </w:rPr>
              <w:t>Common equity tier 1 capital</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228,648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239,271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238,734</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240,867</w:t>
            </w:r>
          </w:p>
        </w:tc>
        <w:tc>
          <w:tcPr>
            <w:tcW w:w="100" w:type="dxa"/>
            <w:vAlign w:val="bottom"/>
          </w:tcPr>
          <w:p>
            <w:pPr>
              <w:spacing w:after="0"/>
              <w:rPr>
                <w:sz w:val="17"/>
                <w:szCs w:val="17"/>
                <w:color w:val="auto"/>
              </w:rPr>
            </w:pPr>
          </w:p>
        </w:tc>
      </w:tr>
      <w:tr>
        <w:trPr>
          <w:trHeight w:val="204"/>
        </w:trPr>
        <w:tc>
          <w:tcPr>
            <w:tcW w:w="5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Qualifying trust preferred securities</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34,500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9"/>
        </w:trPr>
        <w:tc>
          <w:tcPr>
            <w:tcW w:w="5800" w:type="dxa"/>
            <w:vAlign w:val="bottom"/>
          </w:tcPr>
          <w:p>
            <w:pPr>
              <w:ind w:left="300"/>
              <w:spacing w:after="0"/>
              <w:rPr>
                <w:sz w:val="20"/>
                <w:szCs w:val="20"/>
                <w:color w:val="auto"/>
              </w:rPr>
            </w:pPr>
            <w:r>
              <w:rPr>
                <w:rFonts w:ascii="Arial" w:cs="Arial" w:eastAsia="Arial" w:hAnsi="Arial"/>
                <w:sz w:val="17"/>
                <w:szCs w:val="17"/>
                <w:color w:val="auto"/>
              </w:rPr>
              <w:t>Disallowed deferred tax assets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(9,664)</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(16,721)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4"/>
        </w:trPr>
        <w:tc>
          <w:tcPr>
            <w:tcW w:w="58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Tier 1 capital</w:t>
            </w:r>
          </w:p>
        </w:tc>
        <w:tc>
          <w:tcPr>
            <w:tcW w:w="2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253,484</w:t>
            </w: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257,050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238,734</w:t>
            </w: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240,867</w:t>
            </w:r>
          </w:p>
        </w:tc>
        <w:tc>
          <w:tcPr>
            <w:tcW w:w="100" w:type="dxa"/>
            <w:vAlign w:val="bottom"/>
            <w:shd w:val="clear" w:color="auto" w:fill="CCEEFF"/>
          </w:tcPr>
          <w:p>
            <w:pPr>
              <w:spacing w:after="0"/>
              <w:rPr>
                <w:sz w:val="17"/>
                <w:szCs w:val="17"/>
                <w:color w:val="auto"/>
              </w:rPr>
            </w:pPr>
          </w:p>
        </w:tc>
      </w:tr>
      <w:tr>
        <w:trPr>
          <w:trHeight w:val="191"/>
        </w:trPr>
        <w:tc>
          <w:tcPr>
            <w:tcW w:w="5800" w:type="dxa"/>
            <w:vAlign w:val="bottom"/>
          </w:tcPr>
          <w:p>
            <w:pPr>
              <w:ind w:left="300"/>
              <w:spacing w:after="0" w:line="191" w:lineRule="exact"/>
              <w:rPr>
                <w:sz w:val="20"/>
                <w:szCs w:val="20"/>
                <w:color w:val="auto"/>
              </w:rPr>
            </w:pPr>
            <w:r>
              <w:rPr>
                <w:rFonts w:ascii="Arial" w:cs="Arial" w:eastAsia="Arial" w:hAnsi="Arial"/>
                <w:sz w:val="17"/>
                <w:szCs w:val="17"/>
                <w:color w:val="auto"/>
                <w:w w:val="96"/>
              </w:rPr>
              <w:t>Allowance for loan losses and allowance for unfunded lending commitments</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2"/>
        </w:trPr>
        <w:tc>
          <w:tcPr>
            <w:tcW w:w="5800" w:type="dxa"/>
            <w:vAlign w:val="bottom"/>
          </w:tcPr>
          <w:p>
            <w:pPr>
              <w:ind w:left="420"/>
              <w:spacing w:after="0"/>
              <w:rPr>
                <w:sz w:val="20"/>
                <w:szCs w:val="20"/>
                <w:color w:val="auto"/>
              </w:rPr>
            </w:pPr>
            <w:r>
              <w:rPr>
                <w:rFonts w:ascii="Arial" w:cs="Arial" w:eastAsia="Arial" w:hAnsi="Arial"/>
                <w:sz w:val="17"/>
                <w:szCs w:val="17"/>
                <w:color w:val="auto"/>
              </w:rPr>
              <w:t>limited to 1.25% of total risk-weighted assets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21,679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21,120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21,610</w:t>
            </w:r>
          </w:p>
        </w:tc>
        <w:tc>
          <w:tcPr>
            <w:tcW w:w="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21,027</w:t>
            </w:r>
          </w:p>
        </w:tc>
      </w:tr>
      <w:tr>
        <w:trPr>
          <w:trHeight w:val="244"/>
        </w:trPr>
        <w:tc>
          <w:tcPr>
            <w:tcW w:w="5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 risk-based capital</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275,163</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278,170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260,344</w:t>
            </w: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261,894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Fair Value Disclosures</w:t>
      </w:r>
    </w:p>
    <w:p>
      <w:pPr>
        <w:spacing w:after="0" w:line="238"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standard describes three levels of inputs that may be used to measure fair value:</w:t>
      </w:r>
    </w:p>
    <w:p>
      <w:pPr>
        <w:spacing w:after="0" w:line="238" w:lineRule="exact"/>
        <w:rPr>
          <w:sz w:val="20"/>
          <w:szCs w:val="20"/>
          <w:color w:val="auto"/>
        </w:rPr>
      </w:pPr>
    </w:p>
    <w:p>
      <w:pPr>
        <w:jc w:val="both"/>
        <w:ind w:left="620"/>
        <w:spacing w:after="0" w:line="262" w:lineRule="auto"/>
        <w:rPr>
          <w:sz w:val="20"/>
          <w:szCs w:val="20"/>
          <w:color w:val="auto"/>
        </w:rPr>
      </w:pPr>
      <w:r>
        <w:rPr>
          <w:rFonts w:ascii="Arial" w:cs="Arial" w:eastAsia="Arial" w:hAnsi="Arial"/>
          <w:sz w:val="17"/>
          <w:szCs w:val="17"/>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200" w:lineRule="exact"/>
        <w:rPr>
          <w:sz w:val="20"/>
          <w:szCs w:val="20"/>
          <w:color w:val="auto"/>
        </w:rPr>
      </w:pPr>
    </w:p>
    <w:p>
      <w:pPr>
        <w:jc w:val="both"/>
        <w:ind w:left="620"/>
        <w:spacing w:after="0" w:line="262" w:lineRule="auto"/>
        <w:rPr>
          <w:sz w:val="20"/>
          <w:szCs w:val="20"/>
          <w:color w:val="auto"/>
        </w:rPr>
      </w:pPr>
      <w:r>
        <w:rPr>
          <w:rFonts w:ascii="Arial" w:cs="Arial" w:eastAsia="Arial" w:hAnsi="Arial"/>
          <w:sz w:val="17"/>
          <w:szCs w:val="17"/>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200" w:lineRule="exact"/>
        <w:rPr>
          <w:sz w:val="20"/>
          <w:szCs w:val="20"/>
          <w:color w:val="auto"/>
        </w:rPr>
      </w:pPr>
    </w:p>
    <w:p>
      <w:pPr>
        <w:jc w:val="both"/>
        <w:ind w:left="620"/>
        <w:spacing w:after="0" w:line="262" w:lineRule="auto"/>
        <w:rPr>
          <w:sz w:val="20"/>
          <w:szCs w:val="20"/>
          <w:color w:val="auto"/>
        </w:rPr>
      </w:pPr>
      <w:r>
        <w:rPr>
          <w:rFonts w:ascii="Arial" w:cs="Arial" w:eastAsia="Arial" w:hAnsi="Arial"/>
          <w:sz w:val="17"/>
          <w:szCs w:val="17"/>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We used the following methods and significant assumptions to estimate fair value:</w:t>
      </w:r>
    </w:p>
    <w:p>
      <w:pPr>
        <w:spacing w:after="0" w:line="238" w:lineRule="exact"/>
        <w:rPr>
          <w:sz w:val="20"/>
          <w:szCs w:val="20"/>
          <w:color w:val="auto"/>
        </w:rPr>
      </w:pPr>
    </w:p>
    <w:p>
      <w:pPr>
        <w:jc w:val="both"/>
        <w:spacing w:after="0" w:line="293" w:lineRule="auto"/>
        <w:rPr>
          <w:sz w:val="20"/>
          <w:szCs w:val="20"/>
          <w:color w:val="auto"/>
        </w:rPr>
      </w:pPr>
      <w:r>
        <w:rPr>
          <w:rFonts w:ascii="Arial" w:cs="Arial" w:eastAsia="Arial" w:hAnsi="Arial"/>
          <w:sz w:val="15"/>
          <w:szCs w:val="15"/>
          <w:u w:val="single" w:color="auto"/>
          <w:color w:val="auto"/>
        </w:rPr>
        <w:t>Securities</w:t>
      </w:r>
      <w:r>
        <w:rPr>
          <w:rFonts w:ascii="Arial" w:cs="Arial" w:eastAsia="Arial" w:hAnsi="Arial"/>
          <w:sz w:val="15"/>
          <w:szCs w:val="15"/>
          <w:color w:val="auto"/>
        </w:rPr>
        <w:t>: Where quoted market prices are available in an active market, securities (trading or available for sale) are classified as Level 1 of the valuation hierarchy. Level 1 securities include certain preferred stocks included in our trading portfolio for which there are quoted prices in active markets.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 not typically involve judgment by management. These securities are classified as Level 2 of the valuation hierarchy and primarily include agency securities, private label mortgage-backed securities, other asset backed securities, municipal securities, trust preferred securities and corporate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Loans held for sale</w:t>
      </w:r>
      <w:r>
        <w:rPr>
          <w:rFonts w:ascii="Arial" w:cs="Arial" w:eastAsia="Arial" w:hAnsi="Arial"/>
          <w:sz w:val="16"/>
          <w:szCs w:val="16"/>
          <w:color w:val="auto"/>
        </w:rPr>
        <w:t>: The fair value of mortgage loans held for sale is based on mortgage backed security pricing for comparable assets (recurring Level 2).</w:t>
      </w:r>
    </w:p>
    <w:p>
      <w:pPr>
        <w:spacing w:after="0" w:line="249" w:lineRule="exact"/>
        <w:rPr>
          <w:sz w:val="20"/>
          <w:szCs w:val="20"/>
          <w:color w:val="auto"/>
        </w:rPr>
      </w:pPr>
    </w:p>
    <w:p>
      <w:pPr>
        <w:jc w:val="both"/>
        <w:spacing w:after="0" w:line="285" w:lineRule="auto"/>
        <w:rPr>
          <w:sz w:val="20"/>
          <w:szCs w:val="20"/>
          <w:color w:val="auto"/>
        </w:rPr>
      </w:pPr>
      <w:r>
        <w:rPr>
          <w:rFonts w:ascii="Arial" w:cs="Arial" w:eastAsia="Arial" w:hAnsi="Arial"/>
          <w:sz w:val="15"/>
          <w:szCs w:val="15"/>
          <w:u w:val="single" w:color="auto"/>
          <w:color w:val="auto"/>
        </w:rPr>
        <w:t>Impaired loans with specific loss allocations based on collateral value</w:t>
      </w:r>
      <w:r>
        <w:rPr>
          <w:rFonts w:ascii="Arial" w:cs="Arial" w:eastAsia="Arial" w:hAnsi="Arial"/>
          <w:sz w:val="15"/>
          <w:szCs w:val="15"/>
          <w:color w:val="auto"/>
        </w:rPr>
        <w:t>: From time to time, certain loans are considered impaired and an allowance for loan losses is established. Loans for which it is probable that payment of interest and principal will not be made in accordance with the contractual terms of the loan agreement are considered impaired. We measure our investment in an impaired loan based on one of three methods: the loan’s observable market price, the fair value of the collateral or the present value of expected future cash flows discounted at the loan’s effective interest rate. Those impaired loans not requiring an allowance represent loans for which the fair value of the expected repayments or collateral exceed the recorded investments in such loans. At June 30, 2016 and December 31, 2015, all of our impaired loans were evaluated based on either the fair value of the collateral or the present value of expected future cash flows discounted at the loan’s effective interest rate. When the fair value of the collateral is based on an appraised value or when an appraised value is not available we record the impaired loan as nonrecurring Level</w:t>
      </w:r>
    </w:p>
    <w:p>
      <w:pPr>
        <w:spacing w:after="0" w:line="4" w:lineRule="exact"/>
        <w:rPr>
          <w:sz w:val="20"/>
          <w:szCs w:val="20"/>
          <w:color w:val="auto"/>
        </w:rPr>
      </w:pPr>
    </w:p>
    <w:p>
      <w:pPr>
        <w:jc w:val="both"/>
        <w:ind w:firstLine="2"/>
        <w:spacing w:after="0" w:line="255" w:lineRule="auto"/>
        <w:tabs>
          <w:tab w:leader="none" w:pos="24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206" w:lineRule="exact"/>
        <w:rPr>
          <w:sz w:val="20"/>
          <w:szCs w:val="20"/>
          <w:color w:val="auto"/>
        </w:rPr>
      </w:pPr>
    </w:p>
    <w:p>
      <w:pPr>
        <w:jc w:val="both"/>
        <w:spacing w:after="0" w:line="295" w:lineRule="auto"/>
        <w:rPr>
          <w:sz w:val="20"/>
          <w:szCs w:val="20"/>
          <w:color w:val="auto"/>
        </w:rPr>
      </w:pPr>
      <w:r>
        <w:rPr>
          <w:rFonts w:ascii="Arial" w:cs="Arial" w:eastAsia="Arial" w:hAnsi="Arial"/>
          <w:sz w:val="15"/>
          <w:szCs w:val="15"/>
          <w:u w:val="single" w:color="auto"/>
          <w:color w:val="auto"/>
        </w:rPr>
        <w:t>Other real estate</w:t>
      </w:r>
      <w:r>
        <w:rPr>
          <w:rFonts w:ascii="Arial" w:cs="Arial" w:eastAsia="Arial" w:hAnsi="Arial"/>
          <w:sz w:val="15"/>
          <w:szCs w:val="15"/>
          <w:color w:val="auto"/>
        </w:rPr>
        <w:t>: At the time of acquisition, other real estate is recorded at fair value, less estimated costs to sell, which becomes the property’s new basis. Subsequent write-downs to reflect declines in value since the time of acquisition may occur from time to time and are recorded in net (gains) losses on other real estate and repossessed assets in the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Appraisals for both collateral-dependent impaired loans and other real estate are performed by certified general appraisers (for commercial properties) or certified residential appraisers (for residential properties) whose qualifications and licenses have been reviewed and verified by us. Once received, an independent third party (for commercial properties over $0.25 million) or a member of our Collateral Evaluation Department (for commercial properties under $0.25 million) or a member of our Special Assets Group (for retail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retail properties we typically discount an appraisal to account for various factors that the appraisal excludes in its assumptions. These additional discounts generally do not result in material adjustments to the appraised value.</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5"/>
          <w:szCs w:val="15"/>
          <w:u w:val="single" w:color="auto"/>
          <w:color w:val="auto"/>
        </w:rPr>
        <w:t>Capitalized mortgage loan servicing rights</w:t>
      </w:r>
      <w:r>
        <w:rPr>
          <w:rFonts w:ascii="Arial" w:cs="Arial" w:eastAsia="Arial" w:hAnsi="Arial"/>
          <w:sz w:val="15"/>
          <w:szCs w:val="15"/>
          <w:color w:val="auto"/>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nonrecurring Level 3. Management evaluates the third party valuation for reasonableness each quarter as part of our financial reporting control processes.</w:t>
      </w:r>
    </w:p>
    <w:p>
      <w:pPr>
        <w:spacing w:after="0" w:line="177" w:lineRule="exact"/>
        <w:rPr>
          <w:sz w:val="20"/>
          <w:szCs w:val="20"/>
          <w:color w:val="auto"/>
        </w:rPr>
      </w:pPr>
    </w:p>
    <w:p>
      <w:pPr>
        <w:jc w:val="both"/>
        <w:spacing w:after="0" w:line="303" w:lineRule="auto"/>
        <w:rPr>
          <w:sz w:val="20"/>
          <w:szCs w:val="20"/>
          <w:color w:val="auto"/>
        </w:rPr>
      </w:pPr>
      <w:r>
        <w:rPr>
          <w:rFonts w:ascii="Arial" w:cs="Arial" w:eastAsia="Arial" w:hAnsi="Arial"/>
          <w:sz w:val="15"/>
          <w:szCs w:val="15"/>
          <w:u w:val="single" w:color="auto"/>
          <w:color w:val="auto"/>
        </w:rPr>
        <w:t>Derivatives</w:t>
      </w:r>
      <w:r>
        <w:rPr>
          <w:rFonts w:ascii="Arial" w:cs="Arial" w:eastAsia="Arial" w:hAnsi="Arial"/>
          <w:sz w:val="15"/>
          <w:szCs w:val="15"/>
          <w:color w:val="auto"/>
        </w:rPr>
        <w:t>: The fair value of rate-lock mortgage loan commitments and mandatory commitments to sell mortgage loans is based on mortgage backed security pricing for comparable assets (recurring Level 2). The fair value of interest rate swap agreements is based on a discounted cash flow analysis whose significant fair value inputs can generally be observed in the market place and do not typically involve judgment by management (recurring Level 2). The fair value of purchased and written options is based on prices of financial instruments with similar characteristics and do not typically involve judgment by management (recurring Level 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Assets and liabilities measured at fair value, including financial assets for which we have elected the fair value option,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980" w:type="dxa"/>
            <w:vAlign w:val="bottom"/>
            <w:gridSpan w:val="7"/>
          </w:tcPr>
          <w:p>
            <w:pPr>
              <w:jc w:val="center"/>
              <w:ind w:right="80"/>
              <w:spacing w:after="0"/>
              <w:rPr>
                <w:sz w:val="20"/>
                <w:szCs w:val="20"/>
                <w:color w:val="auto"/>
              </w:rPr>
            </w:pPr>
            <w:r>
              <w:rPr>
                <w:rFonts w:ascii="Arial" w:cs="Arial" w:eastAsia="Arial" w:hAnsi="Arial"/>
                <w:sz w:val="17"/>
                <w:szCs w:val="17"/>
                <w:color w:val="auto"/>
                <w:w w:val="89"/>
              </w:rPr>
              <w:t>Fair Value Measurements Using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Borders>
              <w:top w:val="single" w:sz="8" w:color="auto"/>
            </w:tcBorders>
          </w:tcPr>
          <w:p>
            <w:pPr>
              <w:jc w:val="center"/>
              <w:ind w:left="176"/>
              <w:spacing w:after="0" w:line="191" w:lineRule="exact"/>
              <w:rPr>
                <w:sz w:val="20"/>
                <w:szCs w:val="20"/>
                <w:color w:val="auto"/>
              </w:rPr>
            </w:pPr>
            <w:r>
              <w:rPr>
                <w:rFonts w:ascii="Arial" w:cs="Arial" w:eastAsia="Arial" w:hAnsi="Arial"/>
                <w:sz w:val="17"/>
                <w:szCs w:val="17"/>
                <w:color w:val="auto"/>
                <w:w w:val="89"/>
              </w:rPr>
              <w:t>Quoted</w:t>
            </w:r>
          </w:p>
        </w:tc>
        <w:tc>
          <w:tcPr>
            <w:tcW w:w="3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jc w:val="center"/>
              <w:ind w:left="176"/>
              <w:spacing w:after="0"/>
              <w:rPr>
                <w:sz w:val="20"/>
                <w:szCs w:val="20"/>
                <w:color w:val="auto"/>
              </w:rPr>
            </w:pPr>
            <w:r>
              <w:rPr>
                <w:rFonts w:ascii="Arial" w:cs="Arial" w:eastAsia="Arial" w:hAnsi="Arial"/>
                <w:sz w:val="17"/>
                <w:szCs w:val="17"/>
                <w:color w:val="auto"/>
                <w:w w:val="88"/>
              </w:rPr>
              <w:t>Prices</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jc w:val="center"/>
              <w:ind w:left="176"/>
              <w:spacing w:after="0"/>
              <w:rPr>
                <w:sz w:val="20"/>
                <w:szCs w:val="20"/>
                <w:color w:val="auto"/>
              </w:rPr>
            </w:pPr>
            <w:r>
              <w:rPr>
                <w:rFonts w:ascii="Arial" w:cs="Arial" w:eastAsia="Arial" w:hAnsi="Arial"/>
                <w:sz w:val="17"/>
                <w:szCs w:val="17"/>
                <w:color w:val="auto"/>
                <w:w w:val="96"/>
              </w:rPr>
              <w:t>in Active</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jc w:val="center"/>
              <w:ind w:left="196"/>
              <w:spacing w:after="0"/>
              <w:rPr>
                <w:sz w:val="20"/>
                <w:szCs w:val="20"/>
                <w:color w:val="auto"/>
              </w:rPr>
            </w:pPr>
            <w:r>
              <w:rPr>
                <w:rFonts w:ascii="Arial" w:cs="Arial" w:eastAsia="Arial" w:hAnsi="Arial"/>
                <w:sz w:val="17"/>
                <w:szCs w:val="17"/>
                <w:color w:val="auto"/>
                <w:w w:val="92"/>
              </w:rPr>
              <w:t>Markets</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center"/>
              <w:ind w:right="175"/>
              <w:spacing w:after="0"/>
              <w:rPr>
                <w:sz w:val="20"/>
                <w:szCs w:val="20"/>
                <w:color w:val="auto"/>
              </w:rPr>
            </w:pPr>
            <w:r>
              <w:rPr>
                <w:rFonts w:ascii="Arial" w:cs="Arial" w:eastAsia="Arial" w:hAnsi="Arial"/>
                <w:sz w:val="17"/>
                <w:szCs w:val="17"/>
                <w:color w:val="auto"/>
                <w:w w:val="94"/>
              </w:rPr>
              <w:t>Significant</w:t>
            </w:r>
          </w:p>
        </w:tc>
        <w:tc>
          <w:tcPr>
            <w:tcW w:w="2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Significant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jc w:val="center"/>
              <w:ind w:left="196"/>
              <w:spacing w:after="0"/>
              <w:rPr>
                <w:sz w:val="20"/>
                <w:szCs w:val="20"/>
                <w:color w:val="auto"/>
              </w:rPr>
            </w:pPr>
            <w:r>
              <w:rPr>
                <w:rFonts w:ascii="Arial" w:cs="Arial" w:eastAsia="Arial" w:hAnsi="Arial"/>
                <w:sz w:val="17"/>
                <w:szCs w:val="17"/>
                <w:color w:val="auto"/>
              </w:rPr>
              <w:t>for</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center"/>
              <w:ind w:right="175"/>
              <w:spacing w:after="0"/>
              <w:rPr>
                <w:sz w:val="20"/>
                <w:szCs w:val="20"/>
                <w:color w:val="auto"/>
              </w:rPr>
            </w:pPr>
            <w:r>
              <w:rPr>
                <w:rFonts w:ascii="Arial" w:cs="Arial" w:eastAsia="Arial" w:hAnsi="Arial"/>
                <w:sz w:val="17"/>
                <w:szCs w:val="17"/>
                <w:color w:val="auto"/>
                <w:w w:val="89"/>
              </w:rPr>
              <w:t>Other</w:t>
            </w:r>
          </w:p>
        </w:tc>
        <w:tc>
          <w:tcPr>
            <w:tcW w:w="2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Un-</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315"/>
              <w:spacing w:after="0"/>
              <w:rPr>
                <w:sz w:val="20"/>
                <w:szCs w:val="20"/>
                <w:color w:val="auto"/>
              </w:rPr>
            </w:pPr>
            <w:r>
              <w:rPr>
                <w:rFonts w:ascii="Arial" w:cs="Arial" w:eastAsia="Arial" w:hAnsi="Arial"/>
                <w:sz w:val="17"/>
                <w:szCs w:val="17"/>
                <w:color w:val="auto"/>
                <w:w w:val="90"/>
              </w:rPr>
              <w:t>Fair Value</w:t>
            </w:r>
          </w:p>
        </w:tc>
        <w:tc>
          <w:tcPr>
            <w:tcW w:w="880" w:type="dxa"/>
            <w:vAlign w:val="bottom"/>
          </w:tcPr>
          <w:p>
            <w:pPr>
              <w:jc w:val="center"/>
              <w:ind w:left="176"/>
              <w:spacing w:after="0"/>
              <w:rPr>
                <w:sz w:val="20"/>
                <w:szCs w:val="20"/>
                <w:color w:val="auto"/>
              </w:rPr>
            </w:pPr>
            <w:r>
              <w:rPr>
                <w:rFonts w:ascii="Arial" w:cs="Arial" w:eastAsia="Arial" w:hAnsi="Arial"/>
                <w:sz w:val="17"/>
                <w:szCs w:val="17"/>
                <w:color w:val="auto"/>
                <w:w w:val="91"/>
              </w:rPr>
              <w:t>Identical</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center"/>
              <w:ind w:right="175"/>
              <w:spacing w:after="0"/>
              <w:rPr>
                <w:sz w:val="20"/>
                <w:szCs w:val="20"/>
                <w:color w:val="auto"/>
              </w:rPr>
            </w:pPr>
            <w:r>
              <w:rPr>
                <w:rFonts w:ascii="Arial" w:cs="Arial" w:eastAsia="Arial" w:hAnsi="Arial"/>
                <w:sz w:val="17"/>
                <w:szCs w:val="17"/>
                <w:color w:val="auto"/>
                <w:w w:val="89"/>
              </w:rPr>
              <w:t>Observable</w:t>
            </w:r>
          </w:p>
        </w:tc>
        <w:tc>
          <w:tcPr>
            <w:tcW w:w="2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color w:val="auto"/>
                <w:w w:val="86"/>
              </w:rPr>
              <w:t>observable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295"/>
              <w:spacing w:after="0"/>
              <w:rPr>
                <w:sz w:val="20"/>
                <w:szCs w:val="20"/>
                <w:color w:val="auto"/>
              </w:rPr>
            </w:pPr>
            <w:r>
              <w:rPr>
                <w:rFonts w:ascii="Arial" w:cs="Arial" w:eastAsia="Arial" w:hAnsi="Arial"/>
                <w:sz w:val="17"/>
                <w:szCs w:val="17"/>
                <w:color w:val="auto"/>
                <w:w w:val="89"/>
              </w:rPr>
              <w:t>Measure-</w:t>
            </w:r>
          </w:p>
        </w:tc>
        <w:tc>
          <w:tcPr>
            <w:tcW w:w="880" w:type="dxa"/>
            <w:vAlign w:val="bottom"/>
          </w:tcPr>
          <w:p>
            <w:pPr>
              <w:jc w:val="center"/>
              <w:ind w:left="196"/>
              <w:spacing w:after="0"/>
              <w:rPr>
                <w:sz w:val="20"/>
                <w:szCs w:val="20"/>
                <w:color w:val="auto"/>
              </w:rPr>
            </w:pPr>
            <w:r>
              <w:rPr>
                <w:rFonts w:ascii="Arial" w:cs="Arial" w:eastAsia="Arial" w:hAnsi="Arial"/>
                <w:sz w:val="17"/>
                <w:szCs w:val="17"/>
                <w:color w:val="auto"/>
                <w:w w:val="86"/>
              </w:rPr>
              <w:t>Assets</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center"/>
              <w:ind w:right="175"/>
              <w:spacing w:after="0"/>
              <w:rPr>
                <w:sz w:val="20"/>
                <w:szCs w:val="20"/>
                <w:color w:val="auto"/>
              </w:rPr>
            </w:pPr>
            <w:r>
              <w:rPr>
                <w:rFonts w:ascii="Arial" w:cs="Arial" w:eastAsia="Arial" w:hAnsi="Arial"/>
                <w:sz w:val="17"/>
                <w:szCs w:val="17"/>
                <w:color w:val="auto"/>
                <w:w w:val="90"/>
              </w:rPr>
              <w:t>Inputs</w:t>
            </w:r>
          </w:p>
        </w:tc>
        <w:tc>
          <w:tcPr>
            <w:tcW w:w="2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color w:val="auto"/>
                <w:w w:val="90"/>
              </w:rPr>
              <w:t>Inputs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295"/>
              <w:spacing w:after="0"/>
              <w:rPr>
                <w:sz w:val="20"/>
                <w:szCs w:val="20"/>
                <w:color w:val="auto"/>
              </w:rPr>
            </w:pPr>
            <w:r>
              <w:rPr>
                <w:rFonts w:ascii="Arial" w:cs="Arial" w:eastAsia="Arial" w:hAnsi="Arial"/>
                <w:sz w:val="17"/>
                <w:szCs w:val="17"/>
                <w:color w:val="auto"/>
                <w:w w:val="86"/>
              </w:rPr>
              <w:t>ments</w:t>
            </w:r>
          </w:p>
        </w:tc>
        <w:tc>
          <w:tcPr>
            <w:tcW w:w="880" w:type="dxa"/>
            <w:vAlign w:val="bottom"/>
          </w:tcPr>
          <w:p>
            <w:pPr>
              <w:jc w:val="center"/>
              <w:ind w:left="176"/>
              <w:spacing w:after="0"/>
              <w:rPr>
                <w:sz w:val="20"/>
                <w:szCs w:val="20"/>
                <w:color w:val="auto"/>
              </w:rPr>
            </w:pPr>
            <w:r>
              <w:rPr>
                <w:rFonts w:ascii="Arial" w:cs="Arial" w:eastAsia="Arial" w:hAnsi="Arial"/>
                <w:sz w:val="17"/>
                <w:szCs w:val="17"/>
                <w:color w:val="auto"/>
                <w:w w:val="93"/>
              </w:rPr>
              <w:t>(Level 1)</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center"/>
              <w:ind w:right="175"/>
              <w:spacing w:after="0"/>
              <w:rPr>
                <w:sz w:val="20"/>
                <w:szCs w:val="20"/>
                <w:color w:val="auto"/>
              </w:rPr>
            </w:pPr>
            <w:r>
              <w:rPr>
                <w:rFonts w:ascii="Arial" w:cs="Arial" w:eastAsia="Arial" w:hAnsi="Arial"/>
                <w:sz w:val="17"/>
                <w:szCs w:val="17"/>
                <w:color w:val="auto"/>
                <w:w w:val="93"/>
              </w:rPr>
              <w:t>(Level 2)</w:t>
            </w:r>
          </w:p>
        </w:tc>
        <w:tc>
          <w:tcPr>
            <w:tcW w:w="26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color w:val="auto"/>
                <w:w w:val="96"/>
              </w:rPr>
              <w:t>(Level 3)</w:t>
            </w:r>
          </w:p>
        </w:tc>
        <w:tc>
          <w:tcPr>
            <w:tcW w:w="0" w:type="dxa"/>
            <w:vAlign w:val="bottom"/>
          </w:tcPr>
          <w:p>
            <w:pPr>
              <w:spacing w:after="0"/>
              <w:rPr>
                <w:sz w:val="1"/>
                <w:szCs w:val="1"/>
                <w:color w:val="auto"/>
              </w:rPr>
            </w:pPr>
          </w:p>
        </w:tc>
      </w:tr>
      <w:tr>
        <w:trPr>
          <w:trHeight w:val="215"/>
        </w:trPr>
        <w:tc>
          <w:tcPr>
            <w:tcW w:w="5060" w:type="dxa"/>
            <w:vAlign w:val="bottom"/>
            <w:gridSpan w:val="2"/>
            <w:vMerge w:val="restart"/>
          </w:tcPr>
          <w:p>
            <w:pPr>
              <w:spacing w:after="0"/>
              <w:rPr>
                <w:sz w:val="20"/>
                <w:szCs w:val="20"/>
                <w:color w:val="auto"/>
              </w:rPr>
            </w:pPr>
            <w:r>
              <w:rPr>
                <w:rFonts w:ascii="Arial" w:cs="Arial" w:eastAsia="Arial" w:hAnsi="Arial"/>
                <w:sz w:val="17"/>
                <w:szCs w:val="17"/>
                <w:color w:val="auto"/>
              </w:rPr>
              <w:t>June 30, 2016:</w:t>
            </w:r>
          </w:p>
        </w:tc>
        <w:tc>
          <w:tcPr>
            <w:tcW w:w="1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gridSpan w:val="4"/>
          </w:tcPr>
          <w:p>
            <w:pPr>
              <w:jc w:val="right"/>
              <w:ind w:right="815"/>
              <w:spacing w:after="0"/>
              <w:rPr>
                <w:sz w:val="20"/>
                <w:szCs w:val="20"/>
                <w:color w:val="auto"/>
              </w:rPr>
            </w:pPr>
            <w:r>
              <w:rPr>
                <w:rFonts w:ascii="Arial" w:cs="Arial" w:eastAsia="Arial" w:hAnsi="Arial"/>
                <w:sz w:val="17"/>
                <w:szCs w:val="17"/>
                <w:color w:val="auto"/>
              </w:rPr>
              <w:t>(In thousands)</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60" w:type="dxa"/>
            <w:vAlign w:val="bottom"/>
            <w:tcBorders>
              <w:bottom w:val="single" w:sz="8" w:color="auto"/>
            </w:tcBorders>
            <w:gridSpan w:val="2"/>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060" w:type="dxa"/>
            <w:vAlign w:val="bottom"/>
            <w:gridSpan w:val="2"/>
          </w:tcPr>
          <w:p>
            <w:pPr>
              <w:spacing w:after="0" w:line="191" w:lineRule="exact"/>
              <w:rPr>
                <w:sz w:val="20"/>
                <w:szCs w:val="20"/>
                <w:color w:val="auto"/>
              </w:rPr>
            </w:pPr>
            <w:r>
              <w:rPr>
                <w:rFonts w:ascii="Arial" w:cs="Arial" w:eastAsia="Arial" w:hAnsi="Arial"/>
                <w:sz w:val="17"/>
                <w:szCs w:val="17"/>
                <w:color w:val="auto"/>
              </w:rPr>
              <w:t>Measured at Fair Value on a Recurring Basis:</w:t>
            </w: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40"/>
              <w:spacing w:after="0"/>
              <w:rPr>
                <w:sz w:val="20"/>
                <w:szCs w:val="20"/>
                <w:color w:val="auto"/>
              </w:rPr>
            </w:pPr>
            <w:r>
              <w:rPr>
                <w:rFonts w:ascii="Arial" w:cs="Arial" w:eastAsia="Arial" w:hAnsi="Arial"/>
                <w:sz w:val="17"/>
                <w:szCs w:val="17"/>
                <w:color w:val="auto"/>
              </w:rPr>
              <w:t>Assets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Trading securities</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212</w:t>
            </w:r>
          </w:p>
        </w:tc>
        <w:tc>
          <w:tcPr>
            <w:tcW w:w="880" w:type="dxa"/>
            <w:vAlign w:val="bottom"/>
            <w:shd w:val="clear" w:color="auto" w:fill="CCEEFF"/>
          </w:tcPr>
          <w:p>
            <w:pPr>
              <w:jc w:val="right"/>
              <w:ind w:right="71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212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280"/>
              <w:spacing w:after="0"/>
              <w:rPr>
                <w:sz w:val="20"/>
                <w:szCs w:val="20"/>
                <w:color w:val="auto"/>
              </w:rPr>
            </w:pPr>
            <w:r>
              <w:rPr>
                <w:rFonts w:ascii="Arial" w:cs="Arial" w:eastAsia="Arial" w:hAnsi="Arial"/>
                <w:sz w:val="17"/>
                <w:szCs w:val="17"/>
                <w:color w:val="auto"/>
              </w:rPr>
              <w:t>Securities available for sale</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U.S. agency</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31,679</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31,679</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440"/>
              <w:spacing w:after="0"/>
              <w:rPr>
                <w:sz w:val="20"/>
                <w:szCs w:val="20"/>
                <w:color w:val="auto"/>
              </w:rPr>
            </w:pPr>
            <w:r>
              <w:rPr>
                <w:rFonts w:ascii="Arial" w:cs="Arial" w:eastAsia="Arial" w:hAnsi="Arial"/>
                <w:sz w:val="17"/>
                <w:szCs w:val="17"/>
                <w:color w:val="auto"/>
              </w:rPr>
              <w:t>U.S. agency residential mortgage-backed</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182,063</w:t>
            </w:r>
          </w:p>
        </w:tc>
        <w:tc>
          <w:tcPr>
            <w:tcW w:w="880" w:type="dxa"/>
            <w:vAlign w:val="bottom"/>
          </w:tcPr>
          <w:p>
            <w:pPr>
              <w:spacing w:after="0"/>
              <w:rPr>
                <w:sz w:val="17"/>
                <w:szCs w:val="17"/>
                <w:color w:val="auto"/>
              </w:rPr>
            </w:pPr>
          </w:p>
        </w:tc>
        <w:tc>
          <w:tcPr>
            <w:tcW w:w="3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182,063</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U.S. agency commercial mortgage-backed</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7,996</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7,996</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440"/>
              <w:spacing w:after="0"/>
              <w:rPr>
                <w:sz w:val="20"/>
                <w:szCs w:val="20"/>
                <w:color w:val="auto"/>
              </w:rPr>
            </w:pPr>
            <w:r>
              <w:rPr>
                <w:rFonts w:ascii="Arial" w:cs="Arial" w:eastAsia="Arial" w:hAnsi="Arial"/>
                <w:sz w:val="17"/>
                <w:szCs w:val="17"/>
                <w:color w:val="auto"/>
              </w:rPr>
              <w:t>Private label mortgage-backed</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26,246</w:t>
            </w:r>
          </w:p>
        </w:tc>
        <w:tc>
          <w:tcPr>
            <w:tcW w:w="880" w:type="dxa"/>
            <w:vAlign w:val="bottom"/>
          </w:tcPr>
          <w:p>
            <w:pPr>
              <w:spacing w:after="0"/>
              <w:rPr>
                <w:sz w:val="17"/>
                <w:szCs w:val="17"/>
                <w:color w:val="auto"/>
              </w:rPr>
            </w:pPr>
          </w:p>
        </w:tc>
        <w:tc>
          <w:tcPr>
            <w:tcW w:w="3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26,246</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asset backed</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139,846</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139,846</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440"/>
              <w:spacing w:after="0"/>
              <w:rPr>
                <w:sz w:val="20"/>
                <w:szCs w:val="20"/>
                <w:color w:val="auto"/>
              </w:rPr>
            </w:pPr>
            <w:r>
              <w:rPr>
                <w:rFonts w:ascii="Arial" w:cs="Arial" w:eastAsia="Arial" w:hAnsi="Arial"/>
                <w:sz w:val="17"/>
                <w:szCs w:val="17"/>
                <w:color w:val="auto"/>
              </w:rPr>
              <w:t>Obligations of states and political subdivisions</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158,341</w:t>
            </w:r>
          </w:p>
        </w:tc>
        <w:tc>
          <w:tcPr>
            <w:tcW w:w="880" w:type="dxa"/>
            <w:vAlign w:val="bottom"/>
          </w:tcPr>
          <w:p>
            <w:pPr>
              <w:spacing w:after="0"/>
              <w:rPr>
                <w:sz w:val="17"/>
                <w:szCs w:val="17"/>
                <w:color w:val="auto"/>
              </w:rPr>
            </w:pPr>
          </w:p>
        </w:tc>
        <w:tc>
          <w:tcPr>
            <w:tcW w:w="3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158,341</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Corporate</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49,527</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49,527</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440"/>
              <w:spacing w:after="0"/>
              <w:rPr>
                <w:sz w:val="20"/>
                <w:szCs w:val="20"/>
                <w:color w:val="auto"/>
              </w:rPr>
            </w:pPr>
            <w:r>
              <w:rPr>
                <w:rFonts w:ascii="Arial" w:cs="Arial" w:eastAsia="Arial" w:hAnsi="Arial"/>
                <w:sz w:val="17"/>
                <w:szCs w:val="17"/>
                <w:color w:val="auto"/>
              </w:rPr>
              <w:t>Trust preferred</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2,397</w:t>
            </w:r>
          </w:p>
        </w:tc>
        <w:tc>
          <w:tcPr>
            <w:tcW w:w="880" w:type="dxa"/>
            <w:vAlign w:val="bottom"/>
          </w:tcPr>
          <w:p>
            <w:pPr>
              <w:spacing w:after="0"/>
              <w:rPr>
                <w:sz w:val="17"/>
                <w:szCs w:val="17"/>
                <w:color w:val="auto"/>
              </w:rPr>
            </w:pPr>
          </w:p>
        </w:tc>
        <w:tc>
          <w:tcPr>
            <w:tcW w:w="3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2,397</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Foreign government</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1,660</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1,660</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280"/>
              <w:spacing w:after="0"/>
              <w:rPr>
                <w:sz w:val="20"/>
                <w:szCs w:val="20"/>
                <w:color w:val="auto"/>
              </w:rPr>
            </w:pPr>
            <w:r>
              <w:rPr>
                <w:rFonts w:ascii="Arial" w:cs="Arial" w:eastAsia="Arial" w:hAnsi="Arial"/>
                <w:sz w:val="17"/>
                <w:szCs w:val="17"/>
                <w:color w:val="auto"/>
              </w:rPr>
              <w:t>Loans held for sale</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31,713</w:t>
            </w:r>
          </w:p>
        </w:tc>
        <w:tc>
          <w:tcPr>
            <w:tcW w:w="880" w:type="dxa"/>
            <w:vAlign w:val="bottom"/>
          </w:tcPr>
          <w:p>
            <w:pPr>
              <w:spacing w:after="0"/>
              <w:rPr>
                <w:sz w:val="17"/>
                <w:szCs w:val="17"/>
                <w:color w:val="auto"/>
              </w:rPr>
            </w:pPr>
          </w:p>
        </w:tc>
        <w:tc>
          <w:tcPr>
            <w:tcW w:w="3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31,713</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Derivatives (1)</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3,307</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3,307</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140"/>
              <w:spacing w:after="0"/>
              <w:rPr>
                <w:sz w:val="20"/>
                <w:szCs w:val="20"/>
                <w:color w:val="auto"/>
              </w:rPr>
            </w:pPr>
            <w:r>
              <w:rPr>
                <w:rFonts w:ascii="Arial" w:cs="Arial" w:eastAsia="Arial" w:hAnsi="Arial"/>
                <w:sz w:val="17"/>
                <w:szCs w:val="17"/>
                <w:color w:val="auto"/>
              </w:rPr>
              <w:t>Liabilities</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Derivatives (2)</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2,785</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2,785</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Measured at Fair Value on a Non-recurring basis:</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140"/>
              <w:spacing w:after="0"/>
              <w:rPr>
                <w:sz w:val="20"/>
                <w:szCs w:val="20"/>
                <w:color w:val="auto"/>
              </w:rPr>
            </w:pPr>
            <w:r>
              <w:rPr>
                <w:rFonts w:ascii="Arial" w:cs="Arial" w:eastAsia="Arial" w:hAnsi="Arial"/>
                <w:sz w:val="17"/>
                <w:szCs w:val="17"/>
                <w:color w:val="auto"/>
              </w:rPr>
              <w:t>Assets</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Capitalized mortgage loan servicing rights (3)</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10,007</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280"/>
              <w:spacing w:after="0"/>
              <w:rPr>
                <w:sz w:val="20"/>
                <w:szCs w:val="20"/>
                <w:color w:val="auto"/>
              </w:rPr>
            </w:pPr>
            <w:r>
              <w:rPr>
                <w:rFonts w:ascii="Arial" w:cs="Arial" w:eastAsia="Arial" w:hAnsi="Arial"/>
                <w:sz w:val="17"/>
                <w:szCs w:val="17"/>
                <w:color w:val="auto"/>
              </w:rPr>
              <w:t>Impaired loans (4)</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Commercial</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600"/>
              <w:spacing w:after="0"/>
              <w:rPr>
                <w:sz w:val="20"/>
                <w:szCs w:val="20"/>
                <w:color w:val="auto"/>
              </w:rPr>
            </w:pPr>
            <w:r>
              <w:rPr>
                <w:rFonts w:ascii="Arial" w:cs="Arial" w:eastAsia="Arial" w:hAnsi="Arial"/>
                <w:sz w:val="17"/>
                <w:szCs w:val="17"/>
                <w:color w:val="auto"/>
              </w:rPr>
              <w:t>Income producing - real estate</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649</w:t>
            </w:r>
          </w:p>
        </w:tc>
        <w:tc>
          <w:tcPr>
            <w:tcW w:w="880" w:type="dxa"/>
            <w:vAlign w:val="bottom"/>
          </w:tcPr>
          <w:p>
            <w:pPr>
              <w:spacing w:after="0"/>
              <w:rPr>
                <w:sz w:val="17"/>
                <w:szCs w:val="17"/>
                <w:color w:val="auto"/>
              </w:rPr>
            </w:pPr>
          </w:p>
        </w:tc>
        <w:tc>
          <w:tcPr>
            <w:tcW w:w="3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649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600"/>
              <w:spacing w:after="0"/>
              <w:rPr>
                <w:sz w:val="20"/>
                <w:szCs w:val="20"/>
                <w:color w:val="auto"/>
              </w:rPr>
            </w:pPr>
            <w:r>
              <w:rPr>
                <w:rFonts w:ascii="Arial" w:cs="Arial" w:eastAsia="Arial" w:hAnsi="Arial"/>
                <w:sz w:val="17"/>
                <w:szCs w:val="17"/>
                <w:color w:val="auto"/>
              </w:rPr>
              <w:t>Land, land development &amp; construction-real estate</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158</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600"/>
              <w:spacing w:after="0"/>
              <w:rPr>
                <w:sz w:val="20"/>
                <w:szCs w:val="20"/>
                <w:color w:val="auto"/>
              </w:rPr>
            </w:pPr>
            <w:r>
              <w:rPr>
                <w:rFonts w:ascii="Arial" w:cs="Arial" w:eastAsia="Arial" w:hAnsi="Arial"/>
                <w:sz w:val="17"/>
                <w:szCs w:val="17"/>
                <w:color w:val="auto"/>
              </w:rPr>
              <w:t>Commercial and industrial</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1,638</w:t>
            </w:r>
          </w:p>
        </w:tc>
        <w:tc>
          <w:tcPr>
            <w:tcW w:w="880" w:type="dxa"/>
            <w:vAlign w:val="bottom"/>
          </w:tcPr>
          <w:p>
            <w:pPr>
              <w:spacing w:after="0"/>
              <w:rPr>
                <w:sz w:val="17"/>
                <w:szCs w:val="17"/>
                <w:color w:val="auto"/>
              </w:rPr>
            </w:pPr>
          </w:p>
        </w:tc>
        <w:tc>
          <w:tcPr>
            <w:tcW w:w="3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Mortgage</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600"/>
              <w:spacing w:after="0"/>
              <w:rPr>
                <w:sz w:val="20"/>
                <w:szCs w:val="20"/>
                <w:color w:val="auto"/>
              </w:rPr>
            </w:pPr>
            <w:r>
              <w:rPr>
                <w:rFonts w:ascii="Arial" w:cs="Arial" w:eastAsia="Arial" w:hAnsi="Arial"/>
                <w:sz w:val="17"/>
                <w:szCs w:val="17"/>
                <w:color w:val="auto"/>
              </w:rPr>
              <w:t>1-4 Family</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651</w:t>
            </w:r>
          </w:p>
        </w:tc>
        <w:tc>
          <w:tcPr>
            <w:tcW w:w="880" w:type="dxa"/>
            <w:vAlign w:val="bottom"/>
          </w:tcPr>
          <w:p>
            <w:pPr>
              <w:spacing w:after="0"/>
              <w:rPr>
                <w:sz w:val="17"/>
                <w:szCs w:val="17"/>
                <w:color w:val="auto"/>
              </w:rPr>
            </w:pPr>
          </w:p>
        </w:tc>
        <w:tc>
          <w:tcPr>
            <w:tcW w:w="3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651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Other real estate (5)</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440"/>
              <w:spacing w:after="0"/>
              <w:rPr>
                <w:sz w:val="20"/>
                <w:szCs w:val="20"/>
                <w:color w:val="auto"/>
              </w:rPr>
            </w:pPr>
            <w:r>
              <w:rPr>
                <w:rFonts w:ascii="Arial" w:cs="Arial" w:eastAsia="Arial" w:hAnsi="Arial"/>
                <w:sz w:val="17"/>
                <w:szCs w:val="17"/>
                <w:color w:val="auto"/>
              </w:rPr>
              <w:t>Commercial</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600"/>
              <w:spacing w:after="0"/>
              <w:rPr>
                <w:sz w:val="20"/>
                <w:szCs w:val="20"/>
                <w:color w:val="auto"/>
              </w:rPr>
            </w:pPr>
            <w:r>
              <w:rPr>
                <w:rFonts w:ascii="Arial" w:cs="Arial" w:eastAsia="Arial" w:hAnsi="Arial"/>
                <w:sz w:val="17"/>
                <w:szCs w:val="17"/>
                <w:color w:val="auto"/>
              </w:rPr>
              <w:t>Land, land development &amp; construction-real estate</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176</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440"/>
              <w:spacing w:after="0"/>
              <w:rPr>
                <w:sz w:val="20"/>
                <w:szCs w:val="20"/>
                <w:color w:val="auto"/>
              </w:rPr>
            </w:pPr>
            <w:r>
              <w:rPr>
                <w:rFonts w:ascii="Arial" w:cs="Arial" w:eastAsia="Arial" w:hAnsi="Arial"/>
                <w:sz w:val="17"/>
                <w:szCs w:val="17"/>
                <w:color w:val="auto"/>
              </w:rPr>
              <w:t>Mortgage</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600"/>
              <w:spacing w:after="0"/>
              <w:rPr>
                <w:sz w:val="20"/>
                <w:szCs w:val="20"/>
                <w:color w:val="auto"/>
              </w:rPr>
            </w:pPr>
            <w:r>
              <w:rPr>
                <w:rFonts w:ascii="Arial" w:cs="Arial" w:eastAsia="Arial" w:hAnsi="Arial"/>
                <w:sz w:val="17"/>
                <w:szCs w:val="17"/>
                <w:color w:val="auto"/>
              </w:rPr>
              <w:t>1-4 Family</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48</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tcPr>
          <w:p>
            <w:pPr>
              <w:ind w:left="600"/>
              <w:spacing w:after="0"/>
              <w:rPr>
                <w:sz w:val="20"/>
                <w:szCs w:val="20"/>
                <w:color w:val="auto"/>
              </w:rPr>
            </w:pPr>
            <w:r>
              <w:rPr>
                <w:rFonts w:ascii="Arial" w:cs="Arial" w:eastAsia="Arial" w:hAnsi="Arial"/>
                <w:sz w:val="17"/>
                <w:szCs w:val="17"/>
                <w:color w:val="auto"/>
              </w:rPr>
              <w:t>Resort lending</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92</w:t>
            </w:r>
          </w:p>
        </w:tc>
        <w:tc>
          <w:tcPr>
            <w:tcW w:w="880" w:type="dxa"/>
            <w:vAlign w:val="bottom"/>
          </w:tcPr>
          <w:p>
            <w:pPr>
              <w:spacing w:after="0"/>
              <w:rPr>
                <w:sz w:val="18"/>
                <w:szCs w:val="18"/>
                <w:color w:val="auto"/>
              </w:rPr>
            </w:pPr>
          </w:p>
        </w:tc>
        <w:tc>
          <w:tcPr>
            <w:tcW w:w="3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(1)Included in accrued income and other assets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(2)Included in accrued expenses and other liabilities</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(3)Only includes servicing rights that are carried at fair value due to recognition of a valuation allowance.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(4)Only includes impaired loans with specific loss allocations based on collateral value.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(5)Only includes other real estate with subsequent write downs to fair value.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980" w:type="dxa"/>
            <w:vAlign w:val="bottom"/>
            <w:gridSpan w:val="7"/>
          </w:tcPr>
          <w:p>
            <w:pPr>
              <w:jc w:val="center"/>
              <w:ind w:right="80"/>
              <w:spacing w:after="0"/>
              <w:rPr>
                <w:sz w:val="20"/>
                <w:szCs w:val="20"/>
                <w:color w:val="auto"/>
              </w:rPr>
            </w:pPr>
            <w:r>
              <w:rPr>
                <w:rFonts w:ascii="Arial" w:cs="Arial" w:eastAsia="Arial" w:hAnsi="Arial"/>
                <w:sz w:val="17"/>
                <w:szCs w:val="17"/>
                <w:color w:val="auto"/>
                <w:w w:val="89"/>
              </w:rPr>
              <w:t>Fair Value Measurements Using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Borders>
              <w:top w:val="single" w:sz="8" w:color="auto"/>
            </w:tcBorders>
          </w:tcPr>
          <w:p>
            <w:pPr>
              <w:jc w:val="center"/>
              <w:ind w:left="176"/>
              <w:spacing w:after="0" w:line="191" w:lineRule="exact"/>
              <w:rPr>
                <w:sz w:val="20"/>
                <w:szCs w:val="20"/>
                <w:color w:val="auto"/>
              </w:rPr>
            </w:pPr>
            <w:r>
              <w:rPr>
                <w:rFonts w:ascii="Arial" w:cs="Arial" w:eastAsia="Arial" w:hAnsi="Arial"/>
                <w:sz w:val="17"/>
                <w:szCs w:val="17"/>
                <w:color w:val="auto"/>
                <w:w w:val="89"/>
              </w:rPr>
              <w:t>Quoted</w:t>
            </w:r>
          </w:p>
        </w:tc>
        <w:tc>
          <w:tcPr>
            <w:tcW w:w="3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jc w:val="center"/>
              <w:ind w:left="176"/>
              <w:spacing w:after="0"/>
              <w:rPr>
                <w:sz w:val="20"/>
                <w:szCs w:val="20"/>
                <w:color w:val="auto"/>
              </w:rPr>
            </w:pPr>
            <w:r>
              <w:rPr>
                <w:rFonts w:ascii="Arial" w:cs="Arial" w:eastAsia="Arial" w:hAnsi="Arial"/>
                <w:sz w:val="17"/>
                <w:szCs w:val="17"/>
                <w:color w:val="auto"/>
                <w:w w:val="88"/>
              </w:rPr>
              <w:t>Prices</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jc w:val="center"/>
              <w:ind w:left="176"/>
              <w:spacing w:after="0"/>
              <w:rPr>
                <w:sz w:val="20"/>
                <w:szCs w:val="20"/>
                <w:color w:val="auto"/>
              </w:rPr>
            </w:pPr>
            <w:r>
              <w:rPr>
                <w:rFonts w:ascii="Arial" w:cs="Arial" w:eastAsia="Arial" w:hAnsi="Arial"/>
                <w:sz w:val="17"/>
                <w:szCs w:val="17"/>
                <w:color w:val="auto"/>
                <w:w w:val="96"/>
              </w:rPr>
              <w:t>in Active</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jc w:val="center"/>
              <w:ind w:left="196"/>
              <w:spacing w:after="0"/>
              <w:rPr>
                <w:sz w:val="20"/>
                <w:szCs w:val="20"/>
                <w:color w:val="auto"/>
              </w:rPr>
            </w:pPr>
            <w:r>
              <w:rPr>
                <w:rFonts w:ascii="Arial" w:cs="Arial" w:eastAsia="Arial" w:hAnsi="Arial"/>
                <w:sz w:val="17"/>
                <w:szCs w:val="17"/>
                <w:color w:val="auto"/>
                <w:w w:val="92"/>
              </w:rPr>
              <w:t>Markets</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center"/>
              <w:ind w:right="175"/>
              <w:spacing w:after="0"/>
              <w:rPr>
                <w:sz w:val="20"/>
                <w:szCs w:val="20"/>
                <w:color w:val="auto"/>
              </w:rPr>
            </w:pPr>
            <w:r>
              <w:rPr>
                <w:rFonts w:ascii="Arial" w:cs="Arial" w:eastAsia="Arial" w:hAnsi="Arial"/>
                <w:sz w:val="17"/>
                <w:szCs w:val="17"/>
                <w:color w:val="auto"/>
                <w:w w:val="94"/>
              </w:rPr>
              <w:t>Significant</w:t>
            </w:r>
          </w:p>
        </w:tc>
        <w:tc>
          <w:tcPr>
            <w:tcW w:w="2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Significant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jc w:val="center"/>
              <w:ind w:left="196"/>
              <w:spacing w:after="0"/>
              <w:rPr>
                <w:sz w:val="20"/>
                <w:szCs w:val="20"/>
                <w:color w:val="auto"/>
              </w:rPr>
            </w:pPr>
            <w:r>
              <w:rPr>
                <w:rFonts w:ascii="Arial" w:cs="Arial" w:eastAsia="Arial" w:hAnsi="Arial"/>
                <w:sz w:val="17"/>
                <w:szCs w:val="17"/>
                <w:color w:val="auto"/>
              </w:rPr>
              <w:t>for</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center"/>
              <w:ind w:right="175"/>
              <w:spacing w:after="0"/>
              <w:rPr>
                <w:sz w:val="20"/>
                <w:szCs w:val="20"/>
                <w:color w:val="auto"/>
              </w:rPr>
            </w:pPr>
            <w:r>
              <w:rPr>
                <w:rFonts w:ascii="Arial" w:cs="Arial" w:eastAsia="Arial" w:hAnsi="Arial"/>
                <w:sz w:val="17"/>
                <w:szCs w:val="17"/>
                <w:color w:val="auto"/>
                <w:w w:val="89"/>
              </w:rPr>
              <w:t>Other</w:t>
            </w:r>
          </w:p>
        </w:tc>
        <w:tc>
          <w:tcPr>
            <w:tcW w:w="2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Un-</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315"/>
              <w:spacing w:after="0"/>
              <w:rPr>
                <w:sz w:val="20"/>
                <w:szCs w:val="20"/>
                <w:color w:val="auto"/>
              </w:rPr>
            </w:pPr>
            <w:r>
              <w:rPr>
                <w:rFonts w:ascii="Arial" w:cs="Arial" w:eastAsia="Arial" w:hAnsi="Arial"/>
                <w:sz w:val="17"/>
                <w:szCs w:val="17"/>
                <w:color w:val="auto"/>
                <w:w w:val="90"/>
              </w:rPr>
              <w:t>Fair Value</w:t>
            </w:r>
          </w:p>
        </w:tc>
        <w:tc>
          <w:tcPr>
            <w:tcW w:w="880" w:type="dxa"/>
            <w:vAlign w:val="bottom"/>
          </w:tcPr>
          <w:p>
            <w:pPr>
              <w:jc w:val="center"/>
              <w:ind w:left="176"/>
              <w:spacing w:after="0"/>
              <w:rPr>
                <w:sz w:val="20"/>
                <w:szCs w:val="20"/>
                <w:color w:val="auto"/>
              </w:rPr>
            </w:pPr>
            <w:r>
              <w:rPr>
                <w:rFonts w:ascii="Arial" w:cs="Arial" w:eastAsia="Arial" w:hAnsi="Arial"/>
                <w:sz w:val="17"/>
                <w:szCs w:val="17"/>
                <w:color w:val="auto"/>
                <w:w w:val="91"/>
              </w:rPr>
              <w:t>Identical</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center"/>
              <w:ind w:right="175"/>
              <w:spacing w:after="0"/>
              <w:rPr>
                <w:sz w:val="20"/>
                <w:szCs w:val="20"/>
                <w:color w:val="auto"/>
              </w:rPr>
            </w:pPr>
            <w:r>
              <w:rPr>
                <w:rFonts w:ascii="Arial" w:cs="Arial" w:eastAsia="Arial" w:hAnsi="Arial"/>
                <w:sz w:val="17"/>
                <w:szCs w:val="17"/>
                <w:color w:val="auto"/>
                <w:w w:val="89"/>
              </w:rPr>
              <w:t>Observable</w:t>
            </w:r>
          </w:p>
        </w:tc>
        <w:tc>
          <w:tcPr>
            <w:tcW w:w="2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color w:val="auto"/>
                <w:w w:val="86"/>
              </w:rPr>
              <w:t>observable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295"/>
              <w:spacing w:after="0"/>
              <w:rPr>
                <w:sz w:val="20"/>
                <w:szCs w:val="20"/>
                <w:color w:val="auto"/>
              </w:rPr>
            </w:pPr>
            <w:r>
              <w:rPr>
                <w:rFonts w:ascii="Arial" w:cs="Arial" w:eastAsia="Arial" w:hAnsi="Arial"/>
                <w:sz w:val="17"/>
                <w:szCs w:val="17"/>
                <w:color w:val="auto"/>
                <w:w w:val="89"/>
              </w:rPr>
              <w:t>Measure-</w:t>
            </w:r>
          </w:p>
        </w:tc>
        <w:tc>
          <w:tcPr>
            <w:tcW w:w="880" w:type="dxa"/>
            <w:vAlign w:val="bottom"/>
          </w:tcPr>
          <w:p>
            <w:pPr>
              <w:jc w:val="center"/>
              <w:ind w:left="196"/>
              <w:spacing w:after="0"/>
              <w:rPr>
                <w:sz w:val="20"/>
                <w:szCs w:val="20"/>
                <w:color w:val="auto"/>
              </w:rPr>
            </w:pPr>
            <w:r>
              <w:rPr>
                <w:rFonts w:ascii="Arial" w:cs="Arial" w:eastAsia="Arial" w:hAnsi="Arial"/>
                <w:sz w:val="17"/>
                <w:szCs w:val="17"/>
                <w:color w:val="auto"/>
                <w:w w:val="86"/>
              </w:rPr>
              <w:t>Assets</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center"/>
              <w:ind w:right="175"/>
              <w:spacing w:after="0"/>
              <w:rPr>
                <w:sz w:val="20"/>
                <w:szCs w:val="20"/>
                <w:color w:val="auto"/>
              </w:rPr>
            </w:pPr>
            <w:r>
              <w:rPr>
                <w:rFonts w:ascii="Arial" w:cs="Arial" w:eastAsia="Arial" w:hAnsi="Arial"/>
                <w:sz w:val="17"/>
                <w:szCs w:val="17"/>
                <w:color w:val="auto"/>
                <w:w w:val="90"/>
              </w:rPr>
              <w:t>Inputs</w:t>
            </w:r>
          </w:p>
        </w:tc>
        <w:tc>
          <w:tcPr>
            <w:tcW w:w="2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color w:val="auto"/>
                <w:w w:val="90"/>
              </w:rPr>
              <w:t>Inputs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295"/>
              <w:spacing w:after="0"/>
              <w:rPr>
                <w:sz w:val="20"/>
                <w:szCs w:val="20"/>
                <w:color w:val="auto"/>
              </w:rPr>
            </w:pPr>
            <w:r>
              <w:rPr>
                <w:rFonts w:ascii="Arial" w:cs="Arial" w:eastAsia="Arial" w:hAnsi="Arial"/>
                <w:sz w:val="17"/>
                <w:szCs w:val="17"/>
                <w:color w:val="auto"/>
                <w:w w:val="86"/>
              </w:rPr>
              <w:t>ments</w:t>
            </w:r>
          </w:p>
        </w:tc>
        <w:tc>
          <w:tcPr>
            <w:tcW w:w="880" w:type="dxa"/>
            <w:vAlign w:val="bottom"/>
          </w:tcPr>
          <w:p>
            <w:pPr>
              <w:jc w:val="center"/>
              <w:ind w:left="176"/>
              <w:spacing w:after="0"/>
              <w:rPr>
                <w:sz w:val="20"/>
                <w:szCs w:val="20"/>
                <w:color w:val="auto"/>
              </w:rPr>
            </w:pPr>
            <w:r>
              <w:rPr>
                <w:rFonts w:ascii="Arial" w:cs="Arial" w:eastAsia="Arial" w:hAnsi="Arial"/>
                <w:sz w:val="17"/>
                <w:szCs w:val="17"/>
                <w:color w:val="auto"/>
                <w:w w:val="93"/>
              </w:rPr>
              <w:t>(Level 1)</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center"/>
              <w:ind w:right="175"/>
              <w:spacing w:after="0"/>
              <w:rPr>
                <w:sz w:val="20"/>
                <w:szCs w:val="20"/>
                <w:color w:val="auto"/>
              </w:rPr>
            </w:pPr>
            <w:r>
              <w:rPr>
                <w:rFonts w:ascii="Arial" w:cs="Arial" w:eastAsia="Arial" w:hAnsi="Arial"/>
                <w:sz w:val="17"/>
                <w:szCs w:val="17"/>
                <w:color w:val="auto"/>
                <w:w w:val="93"/>
              </w:rPr>
              <w:t>(Level 2)</w:t>
            </w:r>
          </w:p>
        </w:tc>
        <w:tc>
          <w:tcPr>
            <w:tcW w:w="26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color w:val="auto"/>
                <w:w w:val="96"/>
              </w:rPr>
              <w:t>(Level 3)</w:t>
            </w:r>
          </w:p>
        </w:tc>
        <w:tc>
          <w:tcPr>
            <w:tcW w:w="0" w:type="dxa"/>
            <w:vAlign w:val="bottom"/>
          </w:tcPr>
          <w:p>
            <w:pPr>
              <w:spacing w:after="0"/>
              <w:rPr>
                <w:sz w:val="1"/>
                <w:szCs w:val="1"/>
                <w:color w:val="auto"/>
              </w:rPr>
            </w:pPr>
          </w:p>
        </w:tc>
      </w:tr>
      <w:tr>
        <w:trPr>
          <w:trHeight w:val="215"/>
        </w:trPr>
        <w:tc>
          <w:tcPr>
            <w:tcW w:w="5060" w:type="dxa"/>
            <w:vAlign w:val="bottom"/>
            <w:gridSpan w:val="2"/>
            <w:vMerge w:val="restart"/>
          </w:tcPr>
          <w:p>
            <w:pPr>
              <w:spacing w:after="0"/>
              <w:rPr>
                <w:sz w:val="20"/>
                <w:szCs w:val="20"/>
                <w:color w:val="auto"/>
              </w:rPr>
            </w:pPr>
            <w:r>
              <w:rPr>
                <w:rFonts w:ascii="Arial" w:cs="Arial" w:eastAsia="Arial" w:hAnsi="Arial"/>
                <w:sz w:val="17"/>
                <w:szCs w:val="17"/>
                <w:color w:val="auto"/>
              </w:rPr>
              <w:t>December 31, 2015:</w:t>
            </w:r>
          </w:p>
        </w:tc>
        <w:tc>
          <w:tcPr>
            <w:tcW w:w="1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gridSpan w:val="4"/>
          </w:tcPr>
          <w:p>
            <w:pPr>
              <w:jc w:val="right"/>
              <w:ind w:right="815"/>
              <w:spacing w:after="0"/>
              <w:rPr>
                <w:sz w:val="20"/>
                <w:szCs w:val="20"/>
                <w:color w:val="auto"/>
              </w:rPr>
            </w:pPr>
            <w:r>
              <w:rPr>
                <w:rFonts w:ascii="Arial" w:cs="Arial" w:eastAsia="Arial" w:hAnsi="Arial"/>
                <w:sz w:val="17"/>
                <w:szCs w:val="17"/>
                <w:color w:val="auto"/>
              </w:rPr>
              <w:t>(In thousands)</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60" w:type="dxa"/>
            <w:vAlign w:val="bottom"/>
            <w:tcBorders>
              <w:bottom w:val="single" w:sz="8" w:color="auto"/>
            </w:tcBorders>
            <w:gridSpan w:val="2"/>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060" w:type="dxa"/>
            <w:vAlign w:val="bottom"/>
            <w:gridSpan w:val="2"/>
          </w:tcPr>
          <w:p>
            <w:pPr>
              <w:spacing w:after="0" w:line="191" w:lineRule="exact"/>
              <w:rPr>
                <w:sz w:val="20"/>
                <w:szCs w:val="20"/>
                <w:color w:val="auto"/>
              </w:rPr>
            </w:pPr>
            <w:r>
              <w:rPr>
                <w:rFonts w:ascii="Arial" w:cs="Arial" w:eastAsia="Arial" w:hAnsi="Arial"/>
                <w:sz w:val="17"/>
                <w:szCs w:val="17"/>
                <w:color w:val="auto"/>
              </w:rPr>
              <w:t>Measured at Fair Value on a Recurring Basis:</w:t>
            </w: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40"/>
              <w:spacing w:after="0"/>
              <w:rPr>
                <w:sz w:val="20"/>
                <w:szCs w:val="20"/>
                <w:color w:val="auto"/>
              </w:rPr>
            </w:pPr>
            <w:r>
              <w:rPr>
                <w:rFonts w:ascii="Arial" w:cs="Arial" w:eastAsia="Arial" w:hAnsi="Arial"/>
                <w:sz w:val="17"/>
                <w:szCs w:val="17"/>
                <w:color w:val="auto"/>
              </w:rPr>
              <w:t>Assets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Trading securities</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148</w:t>
            </w:r>
          </w:p>
        </w:tc>
        <w:tc>
          <w:tcPr>
            <w:tcW w:w="880" w:type="dxa"/>
            <w:vAlign w:val="bottom"/>
            <w:shd w:val="clear" w:color="auto" w:fill="CCEEFF"/>
          </w:tcPr>
          <w:p>
            <w:pPr>
              <w:jc w:val="right"/>
              <w:ind w:right="71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148</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280"/>
              <w:spacing w:after="0"/>
              <w:rPr>
                <w:sz w:val="20"/>
                <w:szCs w:val="20"/>
                <w:color w:val="auto"/>
              </w:rPr>
            </w:pPr>
            <w:r>
              <w:rPr>
                <w:rFonts w:ascii="Arial" w:cs="Arial" w:eastAsia="Arial" w:hAnsi="Arial"/>
                <w:sz w:val="17"/>
                <w:szCs w:val="17"/>
                <w:color w:val="auto"/>
              </w:rPr>
              <w:t>Securities available for sale</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U.S. agency</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47,512</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47,512</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440"/>
              <w:spacing w:after="0"/>
              <w:rPr>
                <w:sz w:val="20"/>
                <w:szCs w:val="20"/>
                <w:color w:val="auto"/>
              </w:rPr>
            </w:pPr>
            <w:r>
              <w:rPr>
                <w:rFonts w:ascii="Arial" w:cs="Arial" w:eastAsia="Arial" w:hAnsi="Arial"/>
                <w:sz w:val="17"/>
                <w:szCs w:val="17"/>
                <w:color w:val="auto"/>
              </w:rPr>
              <w:t>U.S. agency residential mortgage-backed</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196,056</w:t>
            </w:r>
          </w:p>
        </w:tc>
        <w:tc>
          <w:tcPr>
            <w:tcW w:w="880" w:type="dxa"/>
            <w:vAlign w:val="bottom"/>
          </w:tcPr>
          <w:p>
            <w:pPr>
              <w:spacing w:after="0"/>
              <w:rPr>
                <w:sz w:val="17"/>
                <w:szCs w:val="17"/>
                <w:color w:val="auto"/>
              </w:rPr>
            </w:pPr>
          </w:p>
        </w:tc>
        <w:tc>
          <w:tcPr>
            <w:tcW w:w="3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196,056</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U.S. agency commercial mortgage-backed</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34,028</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34,028</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440"/>
              <w:spacing w:after="0"/>
              <w:rPr>
                <w:sz w:val="20"/>
                <w:szCs w:val="20"/>
                <w:color w:val="auto"/>
              </w:rPr>
            </w:pPr>
            <w:r>
              <w:rPr>
                <w:rFonts w:ascii="Arial" w:cs="Arial" w:eastAsia="Arial" w:hAnsi="Arial"/>
                <w:sz w:val="17"/>
                <w:szCs w:val="17"/>
                <w:color w:val="auto"/>
              </w:rPr>
              <w:t>Private label mortgage-backed</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4,903</w:t>
            </w:r>
          </w:p>
        </w:tc>
        <w:tc>
          <w:tcPr>
            <w:tcW w:w="880" w:type="dxa"/>
            <w:vAlign w:val="bottom"/>
          </w:tcPr>
          <w:p>
            <w:pPr>
              <w:spacing w:after="0"/>
              <w:rPr>
                <w:sz w:val="17"/>
                <w:szCs w:val="17"/>
                <w:color w:val="auto"/>
              </w:rPr>
            </w:pPr>
          </w:p>
        </w:tc>
        <w:tc>
          <w:tcPr>
            <w:tcW w:w="3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4,903</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asset backed</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116,904</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116,904</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440"/>
              <w:spacing w:after="0"/>
              <w:rPr>
                <w:sz w:val="20"/>
                <w:szCs w:val="20"/>
                <w:color w:val="auto"/>
              </w:rPr>
            </w:pPr>
            <w:r>
              <w:rPr>
                <w:rFonts w:ascii="Arial" w:cs="Arial" w:eastAsia="Arial" w:hAnsi="Arial"/>
                <w:sz w:val="17"/>
                <w:szCs w:val="17"/>
                <w:color w:val="auto"/>
              </w:rPr>
              <w:t>Obligations of states and political subdivisions</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144,984</w:t>
            </w:r>
          </w:p>
        </w:tc>
        <w:tc>
          <w:tcPr>
            <w:tcW w:w="880" w:type="dxa"/>
            <w:vAlign w:val="bottom"/>
          </w:tcPr>
          <w:p>
            <w:pPr>
              <w:spacing w:after="0"/>
              <w:rPr>
                <w:sz w:val="17"/>
                <w:szCs w:val="17"/>
                <w:color w:val="auto"/>
              </w:rPr>
            </w:pPr>
          </w:p>
        </w:tc>
        <w:tc>
          <w:tcPr>
            <w:tcW w:w="3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144,984</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Corporate</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38,614</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38,614</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440"/>
              <w:spacing w:after="0"/>
              <w:rPr>
                <w:sz w:val="20"/>
                <w:szCs w:val="20"/>
                <w:color w:val="auto"/>
              </w:rPr>
            </w:pPr>
            <w:r>
              <w:rPr>
                <w:rFonts w:ascii="Arial" w:cs="Arial" w:eastAsia="Arial" w:hAnsi="Arial"/>
                <w:sz w:val="17"/>
                <w:szCs w:val="17"/>
                <w:color w:val="auto"/>
              </w:rPr>
              <w:t>Trust preferred</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2,483</w:t>
            </w:r>
          </w:p>
        </w:tc>
        <w:tc>
          <w:tcPr>
            <w:tcW w:w="880" w:type="dxa"/>
            <w:vAlign w:val="bottom"/>
          </w:tcPr>
          <w:p>
            <w:pPr>
              <w:spacing w:after="0"/>
              <w:rPr>
                <w:sz w:val="17"/>
                <w:szCs w:val="17"/>
                <w:color w:val="auto"/>
              </w:rPr>
            </w:pPr>
          </w:p>
        </w:tc>
        <w:tc>
          <w:tcPr>
            <w:tcW w:w="3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2,483</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Loans held for sale</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27,866</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27,866</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280"/>
              <w:spacing w:after="0"/>
              <w:rPr>
                <w:sz w:val="20"/>
                <w:szCs w:val="20"/>
                <w:color w:val="auto"/>
              </w:rPr>
            </w:pPr>
            <w:r>
              <w:rPr>
                <w:rFonts w:ascii="Arial" w:cs="Arial" w:eastAsia="Arial" w:hAnsi="Arial"/>
                <w:sz w:val="17"/>
                <w:szCs w:val="17"/>
                <w:color w:val="auto"/>
              </w:rPr>
              <w:t>Derivatives (1)</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1,238</w:t>
            </w:r>
          </w:p>
        </w:tc>
        <w:tc>
          <w:tcPr>
            <w:tcW w:w="880" w:type="dxa"/>
            <w:vAlign w:val="bottom"/>
          </w:tcPr>
          <w:p>
            <w:pPr>
              <w:spacing w:after="0"/>
              <w:rPr>
                <w:sz w:val="17"/>
                <w:szCs w:val="17"/>
                <w:color w:val="auto"/>
              </w:rPr>
            </w:pPr>
          </w:p>
        </w:tc>
        <w:tc>
          <w:tcPr>
            <w:tcW w:w="3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1,238</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Liabilities</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280"/>
              <w:spacing w:after="0"/>
              <w:rPr>
                <w:sz w:val="20"/>
                <w:szCs w:val="20"/>
                <w:color w:val="auto"/>
              </w:rPr>
            </w:pPr>
            <w:r>
              <w:rPr>
                <w:rFonts w:ascii="Arial" w:cs="Arial" w:eastAsia="Arial" w:hAnsi="Arial"/>
                <w:sz w:val="17"/>
                <w:szCs w:val="17"/>
                <w:color w:val="auto"/>
              </w:rPr>
              <w:t>Derivatives (2)</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619</w:t>
            </w:r>
          </w:p>
        </w:tc>
        <w:tc>
          <w:tcPr>
            <w:tcW w:w="880" w:type="dxa"/>
            <w:vAlign w:val="bottom"/>
          </w:tcPr>
          <w:p>
            <w:pPr>
              <w:spacing w:after="0"/>
              <w:rPr>
                <w:sz w:val="17"/>
                <w:szCs w:val="17"/>
                <w:color w:val="auto"/>
              </w:rPr>
            </w:pPr>
          </w:p>
        </w:tc>
        <w:tc>
          <w:tcPr>
            <w:tcW w:w="3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619</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Measured at Fair Value on a Non-recurring basis:</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Assets</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280"/>
              <w:spacing w:after="0"/>
              <w:rPr>
                <w:sz w:val="20"/>
                <w:szCs w:val="20"/>
                <w:color w:val="auto"/>
              </w:rPr>
            </w:pPr>
            <w:r>
              <w:rPr>
                <w:rFonts w:ascii="Arial" w:cs="Arial" w:eastAsia="Arial" w:hAnsi="Arial"/>
                <w:sz w:val="17"/>
                <w:szCs w:val="17"/>
                <w:color w:val="auto"/>
              </w:rPr>
              <w:t>Capitalized mortgage loan servicing rights (3)</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8,481</w:t>
            </w:r>
          </w:p>
        </w:tc>
        <w:tc>
          <w:tcPr>
            <w:tcW w:w="880" w:type="dxa"/>
            <w:vAlign w:val="bottom"/>
          </w:tcPr>
          <w:p>
            <w:pPr>
              <w:spacing w:after="0"/>
              <w:rPr>
                <w:sz w:val="17"/>
                <w:szCs w:val="17"/>
                <w:color w:val="auto"/>
              </w:rPr>
            </w:pPr>
          </w:p>
        </w:tc>
        <w:tc>
          <w:tcPr>
            <w:tcW w:w="3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8,481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Impaired loans (4)</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440"/>
              <w:spacing w:after="0"/>
              <w:rPr>
                <w:sz w:val="20"/>
                <w:szCs w:val="20"/>
                <w:color w:val="auto"/>
              </w:rPr>
            </w:pPr>
            <w:r>
              <w:rPr>
                <w:rFonts w:ascii="Arial" w:cs="Arial" w:eastAsia="Arial" w:hAnsi="Arial"/>
                <w:sz w:val="17"/>
                <w:szCs w:val="17"/>
                <w:color w:val="auto"/>
              </w:rPr>
              <w:t>Commercial</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600"/>
              <w:spacing w:after="0"/>
              <w:rPr>
                <w:sz w:val="20"/>
                <w:szCs w:val="20"/>
                <w:color w:val="auto"/>
              </w:rPr>
            </w:pPr>
            <w:r>
              <w:rPr>
                <w:rFonts w:ascii="Arial" w:cs="Arial" w:eastAsia="Arial" w:hAnsi="Arial"/>
                <w:sz w:val="17"/>
                <w:szCs w:val="17"/>
                <w:color w:val="auto"/>
              </w:rPr>
              <w:t>Income producing - real estate</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711</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600"/>
              <w:spacing w:after="0"/>
              <w:rPr>
                <w:sz w:val="20"/>
                <w:szCs w:val="20"/>
                <w:color w:val="auto"/>
              </w:rPr>
            </w:pPr>
            <w:r>
              <w:rPr>
                <w:rFonts w:ascii="Arial" w:cs="Arial" w:eastAsia="Arial" w:hAnsi="Arial"/>
                <w:sz w:val="17"/>
                <w:szCs w:val="17"/>
                <w:color w:val="auto"/>
              </w:rPr>
              <w:t>Land, land development &amp; construction-real estate</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40</w:t>
            </w:r>
          </w:p>
        </w:tc>
        <w:tc>
          <w:tcPr>
            <w:tcW w:w="880" w:type="dxa"/>
            <w:vAlign w:val="bottom"/>
          </w:tcPr>
          <w:p>
            <w:pPr>
              <w:spacing w:after="0"/>
              <w:rPr>
                <w:sz w:val="17"/>
                <w:szCs w:val="17"/>
                <w:color w:val="auto"/>
              </w:rPr>
            </w:pPr>
          </w:p>
        </w:tc>
        <w:tc>
          <w:tcPr>
            <w:tcW w:w="3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600"/>
              <w:spacing w:after="0"/>
              <w:rPr>
                <w:sz w:val="20"/>
                <w:szCs w:val="20"/>
                <w:color w:val="auto"/>
              </w:rPr>
            </w:pPr>
            <w:r>
              <w:rPr>
                <w:rFonts w:ascii="Arial" w:cs="Arial" w:eastAsia="Arial" w:hAnsi="Arial"/>
                <w:sz w:val="17"/>
                <w:szCs w:val="17"/>
                <w:color w:val="auto"/>
              </w:rPr>
              <w:t>Commercial and industrial</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1,257</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440"/>
              <w:spacing w:after="0"/>
              <w:rPr>
                <w:sz w:val="20"/>
                <w:szCs w:val="20"/>
                <w:color w:val="auto"/>
              </w:rPr>
            </w:pPr>
            <w:r>
              <w:rPr>
                <w:rFonts w:ascii="Arial" w:cs="Arial" w:eastAsia="Arial" w:hAnsi="Arial"/>
                <w:sz w:val="17"/>
                <w:szCs w:val="17"/>
                <w:color w:val="auto"/>
              </w:rPr>
              <w:t>Mortgage</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600"/>
              <w:spacing w:after="0"/>
              <w:rPr>
                <w:sz w:val="20"/>
                <w:szCs w:val="20"/>
                <w:color w:val="auto"/>
              </w:rPr>
            </w:pPr>
            <w:r>
              <w:rPr>
                <w:rFonts w:ascii="Arial" w:cs="Arial" w:eastAsia="Arial" w:hAnsi="Arial"/>
                <w:sz w:val="17"/>
                <w:szCs w:val="17"/>
                <w:color w:val="auto"/>
              </w:rPr>
              <w:t>1-4 Family</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421</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600"/>
              <w:spacing w:after="0"/>
              <w:rPr>
                <w:sz w:val="20"/>
                <w:szCs w:val="20"/>
                <w:color w:val="auto"/>
              </w:rPr>
            </w:pPr>
            <w:r>
              <w:rPr>
                <w:rFonts w:ascii="Arial" w:cs="Arial" w:eastAsia="Arial" w:hAnsi="Arial"/>
                <w:sz w:val="17"/>
                <w:szCs w:val="17"/>
                <w:color w:val="auto"/>
              </w:rPr>
              <w:t>Resort lending</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129</w:t>
            </w:r>
          </w:p>
        </w:tc>
        <w:tc>
          <w:tcPr>
            <w:tcW w:w="880" w:type="dxa"/>
            <w:vAlign w:val="bottom"/>
          </w:tcPr>
          <w:p>
            <w:pPr>
              <w:spacing w:after="0"/>
              <w:rPr>
                <w:sz w:val="17"/>
                <w:szCs w:val="17"/>
                <w:color w:val="auto"/>
              </w:rPr>
            </w:pPr>
          </w:p>
        </w:tc>
        <w:tc>
          <w:tcPr>
            <w:tcW w:w="3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Other real estate (5)</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440"/>
              <w:spacing w:after="0"/>
              <w:rPr>
                <w:sz w:val="20"/>
                <w:szCs w:val="20"/>
                <w:color w:val="auto"/>
              </w:rPr>
            </w:pPr>
            <w:r>
              <w:rPr>
                <w:rFonts w:ascii="Arial" w:cs="Arial" w:eastAsia="Arial" w:hAnsi="Arial"/>
                <w:sz w:val="17"/>
                <w:szCs w:val="17"/>
                <w:color w:val="auto"/>
              </w:rPr>
              <w:t>Commercial</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600"/>
              <w:spacing w:after="0"/>
              <w:rPr>
                <w:sz w:val="20"/>
                <w:szCs w:val="20"/>
                <w:color w:val="auto"/>
              </w:rPr>
            </w:pPr>
            <w:r>
              <w:rPr>
                <w:rFonts w:ascii="Arial" w:cs="Arial" w:eastAsia="Arial" w:hAnsi="Arial"/>
                <w:sz w:val="17"/>
                <w:szCs w:val="17"/>
                <w:color w:val="auto"/>
              </w:rPr>
              <w:t>Land, land development &amp; construction-real estate</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639</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600"/>
              <w:spacing w:after="0"/>
              <w:rPr>
                <w:sz w:val="20"/>
                <w:szCs w:val="20"/>
                <w:color w:val="auto"/>
              </w:rPr>
            </w:pPr>
            <w:r>
              <w:rPr>
                <w:rFonts w:ascii="Arial" w:cs="Arial" w:eastAsia="Arial" w:hAnsi="Arial"/>
                <w:sz w:val="17"/>
                <w:szCs w:val="17"/>
                <w:color w:val="auto"/>
              </w:rPr>
              <w:t>Commercial and industrial</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165</w:t>
            </w:r>
          </w:p>
        </w:tc>
        <w:tc>
          <w:tcPr>
            <w:tcW w:w="880" w:type="dxa"/>
            <w:vAlign w:val="bottom"/>
          </w:tcPr>
          <w:p>
            <w:pPr>
              <w:spacing w:after="0"/>
              <w:rPr>
                <w:sz w:val="17"/>
                <w:szCs w:val="17"/>
                <w:color w:val="auto"/>
              </w:rPr>
            </w:pPr>
          </w:p>
        </w:tc>
        <w:tc>
          <w:tcPr>
            <w:tcW w:w="3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Mortgage</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600"/>
              <w:spacing w:after="0"/>
              <w:rPr>
                <w:sz w:val="20"/>
                <w:szCs w:val="20"/>
                <w:color w:val="auto"/>
              </w:rPr>
            </w:pPr>
            <w:r>
              <w:rPr>
                <w:rFonts w:ascii="Arial" w:cs="Arial" w:eastAsia="Arial" w:hAnsi="Arial"/>
                <w:sz w:val="17"/>
                <w:szCs w:val="17"/>
                <w:color w:val="auto"/>
              </w:rPr>
              <w:t>1-4 Family</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26</w:t>
            </w:r>
          </w:p>
        </w:tc>
        <w:tc>
          <w:tcPr>
            <w:tcW w:w="880" w:type="dxa"/>
            <w:vAlign w:val="bottom"/>
          </w:tcPr>
          <w:p>
            <w:pPr>
              <w:spacing w:after="0"/>
              <w:rPr>
                <w:sz w:val="17"/>
                <w:szCs w:val="17"/>
                <w:color w:val="auto"/>
              </w:rPr>
            </w:pPr>
          </w:p>
        </w:tc>
        <w:tc>
          <w:tcPr>
            <w:tcW w:w="3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600"/>
              <w:spacing w:after="0"/>
              <w:rPr>
                <w:sz w:val="20"/>
                <w:szCs w:val="20"/>
                <w:color w:val="auto"/>
              </w:rPr>
            </w:pPr>
            <w:r>
              <w:rPr>
                <w:rFonts w:ascii="Arial" w:cs="Arial" w:eastAsia="Arial" w:hAnsi="Arial"/>
                <w:sz w:val="17"/>
                <w:szCs w:val="17"/>
                <w:color w:val="auto"/>
              </w:rPr>
              <w:t>Resort lending</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107</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600"/>
              <w:spacing w:after="0"/>
              <w:rPr>
                <w:sz w:val="20"/>
                <w:szCs w:val="20"/>
                <w:color w:val="auto"/>
              </w:rPr>
            </w:pPr>
            <w:r>
              <w:rPr>
                <w:rFonts w:ascii="Arial" w:cs="Arial" w:eastAsia="Arial" w:hAnsi="Arial"/>
                <w:sz w:val="17"/>
                <w:szCs w:val="17"/>
                <w:color w:val="auto"/>
              </w:rPr>
              <w:t>Home equity - 1st lien</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14</w:t>
            </w:r>
          </w:p>
        </w:tc>
        <w:tc>
          <w:tcPr>
            <w:tcW w:w="880" w:type="dxa"/>
            <w:vAlign w:val="bottom"/>
          </w:tcPr>
          <w:p>
            <w:pPr>
              <w:spacing w:after="0"/>
              <w:rPr>
                <w:sz w:val="17"/>
                <w:szCs w:val="17"/>
                <w:color w:val="auto"/>
              </w:rPr>
            </w:pPr>
          </w:p>
        </w:tc>
        <w:tc>
          <w:tcPr>
            <w:tcW w:w="3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Installment</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tcPr>
          <w:p>
            <w:pPr>
              <w:ind w:left="600"/>
              <w:spacing w:after="0"/>
              <w:rPr>
                <w:sz w:val="20"/>
                <w:szCs w:val="20"/>
                <w:color w:val="auto"/>
              </w:rPr>
            </w:pPr>
            <w:r>
              <w:rPr>
                <w:rFonts w:ascii="Arial" w:cs="Arial" w:eastAsia="Arial" w:hAnsi="Arial"/>
                <w:sz w:val="17"/>
                <w:szCs w:val="17"/>
                <w:color w:val="auto"/>
              </w:rPr>
              <w:t>Home equity - 1st lien</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36</w:t>
            </w:r>
          </w:p>
        </w:tc>
        <w:tc>
          <w:tcPr>
            <w:tcW w:w="880" w:type="dxa"/>
            <w:vAlign w:val="bottom"/>
          </w:tcPr>
          <w:p>
            <w:pPr>
              <w:spacing w:after="0"/>
              <w:rPr>
                <w:sz w:val="18"/>
                <w:szCs w:val="18"/>
                <w:color w:val="auto"/>
              </w:rPr>
            </w:pPr>
          </w:p>
        </w:tc>
        <w:tc>
          <w:tcPr>
            <w:tcW w:w="3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(1)Included in accrued income and other assets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(2)Included in accrued expenses and other liabilities</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(3)Only includes servicing rights that are carried at fair value due to recognition of a valuation allowance.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(4)Only includes impaired loans with specific loss allocations based on collateral value.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(5)Only includes other real estate with subsequent write downs to fair value.</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There were no transfers between Level 1 and Level 2 during the six months ended June 30, 2016 and 2015.</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jc w:val="right"/>
        <w:ind w:right="2680"/>
        <w:spacing w:after="0" w:line="257" w:lineRule="auto"/>
        <w:rPr>
          <w:sz w:val="20"/>
          <w:szCs w:val="20"/>
          <w:color w:val="auto"/>
        </w:rPr>
      </w:pPr>
      <w:r>
        <w:rPr>
          <w:rFonts w:ascii="Arial" w:cs="Arial" w:eastAsia="Arial" w:hAnsi="Arial"/>
          <w:sz w:val="17"/>
          <w:szCs w:val="17"/>
          <w:color w:val="auto"/>
        </w:rPr>
        <w:t>Changes in fair values for financial assets which we have elected the fair value option for the periods presented were as follows: Changes in Fair Values for the Six-Month</w:t>
      </w:r>
    </w:p>
    <w:p>
      <w:pPr>
        <w:jc w:val="center"/>
        <w:ind w:left="3220"/>
        <w:spacing w:after="0"/>
        <w:rPr>
          <w:sz w:val="20"/>
          <w:szCs w:val="20"/>
          <w:color w:val="auto"/>
        </w:rPr>
      </w:pPr>
      <w:r>
        <w:rPr>
          <w:rFonts w:ascii="Arial" w:cs="Arial" w:eastAsia="Arial" w:hAnsi="Arial"/>
          <w:sz w:val="17"/>
          <w:szCs w:val="17"/>
          <w:color w:val="auto"/>
        </w:rPr>
        <w:t>Periods Ended June 30 for Items Measured at</w:t>
      </w:r>
    </w:p>
    <w:p>
      <w:pPr>
        <w:spacing w:after="0" w:line="8" w:lineRule="exact"/>
        <w:rPr>
          <w:sz w:val="20"/>
          <w:szCs w:val="20"/>
          <w:color w:val="auto"/>
        </w:rPr>
      </w:pPr>
    </w:p>
    <w:p>
      <w:pPr>
        <w:jc w:val="center"/>
        <w:ind w:left="3220"/>
        <w:spacing w:after="0"/>
        <w:rPr>
          <w:sz w:val="20"/>
          <w:szCs w:val="20"/>
          <w:color w:val="auto"/>
        </w:rPr>
      </w:pPr>
      <w:r>
        <w:rPr>
          <w:rFonts w:ascii="Arial" w:cs="Arial" w:eastAsia="Arial" w:hAnsi="Arial"/>
          <w:sz w:val="17"/>
          <w:szCs w:val="17"/>
          <w:color w:val="auto"/>
        </w:rPr>
        <w:t>Fair Value Pursuant to Election of the Fair Value Option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2016</w:t>
            </w:r>
          </w:p>
        </w:tc>
        <w:tc>
          <w:tcPr>
            <w:tcW w:w="3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7"/>
                <w:szCs w:val="17"/>
                <w:color w:val="auto"/>
              </w:rPr>
              <w:t>2015</w:t>
            </w:r>
          </w:p>
        </w:tc>
        <w:tc>
          <w:tcPr>
            <w:tcW w:w="3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3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jc w:val="center"/>
              <w:ind w:right="75"/>
              <w:spacing w:after="0" w:line="191" w:lineRule="exact"/>
              <w:rPr>
                <w:sz w:val="20"/>
                <w:szCs w:val="20"/>
                <w:color w:val="auto"/>
              </w:rPr>
            </w:pPr>
            <w:r>
              <w:rPr>
                <w:rFonts w:ascii="Arial" w:cs="Arial" w:eastAsia="Arial" w:hAnsi="Arial"/>
                <w:sz w:val="17"/>
                <w:szCs w:val="17"/>
                <w:color w:val="auto"/>
                <w:w w:val="89"/>
              </w:rPr>
              <w:t>Total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center"/>
              <w:ind w:right="55"/>
              <w:spacing w:after="0" w:line="191" w:lineRule="exact"/>
              <w:rPr>
                <w:sz w:val="20"/>
                <w:szCs w:val="20"/>
                <w:color w:val="auto"/>
              </w:rPr>
            </w:pPr>
            <w:r>
              <w:rPr>
                <w:rFonts w:ascii="Arial" w:cs="Arial" w:eastAsia="Arial" w:hAnsi="Arial"/>
                <w:sz w:val="17"/>
                <w:szCs w:val="17"/>
                <w:color w:val="auto"/>
                <w:w w:val="89"/>
              </w:rPr>
              <w:t>Total</w:t>
            </w:r>
          </w:p>
        </w:tc>
        <w:tc>
          <w:tcPr>
            <w:tcW w:w="100" w:type="dxa"/>
            <w:vAlign w:val="bottom"/>
          </w:tcPr>
          <w:p>
            <w:pPr>
              <w:spacing w:after="0"/>
              <w:rPr>
                <w:sz w:val="16"/>
                <w:szCs w:val="16"/>
                <w:color w:val="auto"/>
              </w:rPr>
            </w:pPr>
          </w:p>
        </w:tc>
      </w:tr>
      <w:tr>
        <w:trPr>
          <w:trHeight w:val="204"/>
        </w:trPr>
        <w:tc>
          <w:tcPr>
            <w:tcW w:w="3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7"/>
                <w:szCs w:val="17"/>
                <w:color w:val="auto"/>
                <w:w w:val="83"/>
              </w:rPr>
              <w:t>Change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color w:val="auto"/>
                <w:w w:val="87"/>
              </w:rPr>
              <w:t>Change</w:t>
            </w:r>
          </w:p>
        </w:tc>
      </w:tr>
      <w:tr>
        <w:trPr>
          <w:trHeight w:val="204"/>
        </w:trPr>
        <w:tc>
          <w:tcPr>
            <w:tcW w:w="3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7"/>
                <w:szCs w:val="17"/>
                <w:color w:val="auto"/>
                <w:w w:val="97"/>
              </w:rPr>
              <w:t>in Fair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in Fair</w:t>
            </w:r>
          </w:p>
        </w:tc>
      </w:tr>
      <w:tr>
        <w:trPr>
          <w:trHeight w:val="204"/>
        </w:trPr>
        <w:tc>
          <w:tcPr>
            <w:tcW w:w="3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7"/>
                <w:szCs w:val="17"/>
                <w:color w:val="auto"/>
                <w:w w:val="88"/>
              </w:rPr>
              <w:t>Values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7"/>
                <w:szCs w:val="17"/>
                <w:color w:val="auto"/>
                <w:w w:val="88"/>
              </w:rPr>
              <w:t>Values</w:t>
            </w:r>
          </w:p>
        </w:tc>
      </w:tr>
      <w:tr>
        <w:trPr>
          <w:trHeight w:val="204"/>
        </w:trPr>
        <w:tc>
          <w:tcPr>
            <w:tcW w:w="3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7"/>
                <w:szCs w:val="17"/>
                <w:color w:val="auto"/>
                <w:w w:val="90"/>
              </w:rPr>
              <w:t>Included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Included</w:t>
            </w:r>
          </w:p>
        </w:tc>
      </w:tr>
      <w:tr>
        <w:trPr>
          <w:trHeight w:val="204"/>
        </w:trPr>
        <w:tc>
          <w:tcPr>
            <w:tcW w:w="3320" w:type="dxa"/>
            <w:vAlign w:val="bottom"/>
          </w:tcPr>
          <w:p>
            <w:pPr>
              <w:spacing w:after="0"/>
              <w:rPr>
                <w:sz w:val="17"/>
                <w:szCs w:val="17"/>
                <w:color w:val="auto"/>
              </w:rPr>
            </w:pPr>
          </w:p>
        </w:tc>
        <w:tc>
          <w:tcPr>
            <w:tcW w:w="2220" w:type="dxa"/>
            <w:vAlign w:val="bottom"/>
            <w:gridSpan w:val="3"/>
          </w:tcPr>
          <w:p>
            <w:pPr>
              <w:jc w:val="center"/>
              <w:ind w:left="235"/>
              <w:spacing w:after="0"/>
              <w:rPr>
                <w:sz w:val="20"/>
                <w:szCs w:val="20"/>
                <w:color w:val="auto"/>
              </w:rPr>
            </w:pPr>
            <w:r>
              <w:rPr>
                <w:rFonts w:ascii="Arial" w:cs="Arial" w:eastAsia="Arial" w:hAnsi="Arial"/>
                <w:sz w:val="17"/>
                <w:szCs w:val="17"/>
                <w:color w:val="auto"/>
                <w:w w:val="89"/>
              </w:rPr>
              <w:t>Net Gains (Losses)</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in Current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gridSpan w:val="4"/>
          </w:tcPr>
          <w:p>
            <w:pPr>
              <w:jc w:val="center"/>
              <w:ind w:right="560"/>
              <w:spacing w:after="0"/>
              <w:rPr>
                <w:sz w:val="20"/>
                <w:szCs w:val="20"/>
                <w:color w:val="auto"/>
              </w:rPr>
            </w:pPr>
            <w:r>
              <w:rPr>
                <w:rFonts w:ascii="Arial" w:cs="Arial" w:eastAsia="Arial" w:hAnsi="Arial"/>
                <w:sz w:val="17"/>
                <w:szCs w:val="17"/>
                <w:color w:val="auto"/>
                <w:w w:val="89"/>
              </w:rPr>
              <w:t>Net Gains (Losses)</w:t>
            </w:r>
          </w:p>
        </w:tc>
        <w:tc>
          <w:tcPr>
            <w:tcW w:w="1060" w:type="dxa"/>
            <w:vAlign w:val="bottom"/>
            <w:gridSpan w:val="2"/>
          </w:tcPr>
          <w:p>
            <w:pPr>
              <w:jc w:val="center"/>
              <w:ind w:right="240"/>
              <w:spacing w:after="0"/>
              <w:rPr>
                <w:sz w:val="20"/>
                <w:szCs w:val="20"/>
                <w:color w:val="auto"/>
              </w:rPr>
            </w:pPr>
            <w:r>
              <w:rPr>
                <w:rFonts w:ascii="Arial" w:cs="Arial" w:eastAsia="Arial" w:hAnsi="Arial"/>
                <w:sz w:val="17"/>
                <w:szCs w:val="17"/>
                <w:color w:val="auto"/>
                <w:w w:val="93"/>
              </w:rPr>
              <w:t>in Current</w:t>
            </w:r>
          </w:p>
        </w:tc>
      </w:tr>
      <w:tr>
        <w:trPr>
          <w:trHeight w:val="222"/>
        </w:trPr>
        <w:tc>
          <w:tcPr>
            <w:tcW w:w="33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515"/>
              <w:spacing w:after="0"/>
              <w:rPr>
                <w:sz w:val="20"/>
                <w:szCs w:val="20"/>
                <w:color w:val="auto"/>
              </w:rPr>
            </w:pPr>
            <w:r>
              <w:rPr>
                <w:rFonts w:ascii="Arial" w:cs="Arial" w:eastAsia="Arial" w:hAnsi="Arial"/>
                <w:sz w:val="17"/>
                <w:szCs w:val="17"/>
                <w:color w:val="auto"/>
                <w:w w:val="88"/>
              </w:rPr>
              <w:t>on Assets</w:t>
            </w:r>
          </w:p>
        </w:tc>
        <w:tc>
          <w:tcPr>
            <w:tcW w:w="3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Period</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left="595"/>
              <w:spacing w:after="0"/>
              <w:rPr>
                <w:sz w:val="20"/>
                <w:szCs w:val="20"/>
                <w:color w:val="auto"/>
              </w:rPr>
            </w:pPr>
            <w:r>
              <w:rPr>
                <w:rFonts w:ascii="Arial" w:cs="Arial" w:eastAsia="Arial" w:hAnsi="Arial"/>
                <w:sz w:val="17"/>
                <w:szCs w:val="17"/>
                <w:color w:val="auto"/>
                <w:w w:val="88"/>
              </w:rPr>
              <w:t>on Assets</w:t>
            </w:r>
          </w:p>
        </w:tc>
        <w:tc>
          <w:tcPr>
            <w:tcW w:w="8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Period</w:t>
            </w:r>
          </w:p>
        </w:tc>
      </w:tr>
      <w:tr>
        <w:trPr>
          <w:trHeight w:val="209"/>
        </w:trPr>
        <w:tc>
          <w:tcPr>
            <w:tcW w:w="33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Securities</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left="335"/>
              <w:spacing w:after="0"/>
              <w:rPr>
                <w:sz w:val="20"/>
                <w:szCs w:val="20"/>
                <w:color w:val="auto"/>
              </w:rPr>
            </w:pPr>
            <w:r>
              <w:rPr>
                <w:rFonts w:ascii="Arial" w:cs="Arial" w:eastAsia="Arial" w:hAnsi="Arial"/>
                <w:sz w:val="17"/>
                <w:szCs w:val="17"/>
                <w:color w:val="auto"/>
                <w:w w:val="90"/>
              </w:rPr>
              <w:t>Loans</w:t>
            </w:r>
          </w:p>
        </w:tc>
        <w:tc>
          <w:tcPr>
            <w:tcW w:w="3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92"/>
              </w:rPr>
              <w:t>Earnings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w w:val="96"/>
              </w:rPr>
              <w:t>Securities</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215"/>
              <w:spacing w:after="0"/>
              <w:rPr>
                <w:sz w:val="20"/>
                <w:szCs w:val="20"/>
                <w:color w:val="auto"/>
              </w:rPr>
            </w:pPr>
            <w:r>
              <w:rPr>
                <w:rFonts w:ascii="Arial" w:cs="Arial" w:eastAsia="Arial" w:hAnsi="Arial"/>
                <w:sz w:val="17"/>
                <w:szCs w:val="17"/>
                <w:color w:val="auto"/>
                <w:w w:val="86"/>
              </w:rPr>
              <w:t>Loans</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89"/>
              </w:rPr>
              <w:t>Earnings</w:t>
            </w:r>
          </w:p>
        </w:tc>
        <w:tc>
          <w:tcPr>
            <w:tcW w:w="100" w:type="dxa"/>
            <w:vAlign w:val="bottom"/>
          </w:tcPr>
          <w:p>
            <w:pPr>
              <w:spacing w:after="0"/>
              <w:rPr>
                <w:sz w:val="18"/>
                <w:szCs w:val="18"/>
                <w:color w:val="auto"/>
              </w:rPr>
            </w:pPr>
          </w:p>
        </w:tc>
      </w:tr>
      <w:tr>
        <w:trPr>
          <w:trHeight w:val="204"/>
        </w:trPr>
        <w:tc>
          <w:tcPr>
            <w:tcW w:w="3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00" w:type="dxa"/>
            <w:vAlign w:val="bottom"/>
            <w:gridSpan w:val="5"/>
          </w:tcPr>
          <w:p>
            <w:pPr>
              <w:jc w:val="right"/>
              <w:ind w:right="895"/>
              <w:spacing w:after="0"/>
              <w:rPr>
                <w:sz w:val="20"/>
                <w:szCs w:val="20"/>
                <w:color w:val="auto"/>
              </w:rPr>
            </w:pPr>
            <w:r>
              <w:rPr>
                <w:rFonts w:ascii="Arial" w:cs="Arial" w:eastAsia="Arial" w:hAnsi="Arial"/>
                <w:sz w:val="17"/>
                <w:szCs w:val="17"/>
                <w:color w:val="auto"/>
              </w:rPr>
              <w:t>(In thousands)</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Trading securities</w:t>
            </w:r>
          </w:p>
        </w:tc>
        <w:tc>
          <w:tcPr>
            <w:tcW w:w="920" w:type="dxa"/>
            <w:vAlign w:val="bottom"/>
            <w:shd w:val="clear" w:color="auto" w:fill="CCEEFF"/>
          </w:tcPr>
          <w:p>
            <w:pPr>
              <w:jc w:val="right"/>
              <w:ind w:right="735"/>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64</w:t>
            </w:r>
          </w:p>
        </w:tc>
        <w:tc>
          <w:tcPr>
            <w:tcW w:w="960" w:type="dxa"/>
            <w:vAlign w:val="bottom"/>
            <w:shd w:val="clear" w:color="auto" w:fill="CCEEFF"/>
          </w:tcPr>
          <w:p>
            <w:pPr>
              <w:jc w:val="right"/>
              <w:ind w:right="675"/>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3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   $</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w:t>
            </w:r>
          </w:p>
        </w:tc>
      </w:tr>
      <w:tr>
        <w:trPr>
          <w:trHeight w:val="215"/>
        </w:trPr>
        <w:tc>
          <w:tcPr>
            <w:tcW w:w="3320" w:type="dxa"/>
            <w:vAlign w:val="bottom"/>
          </w:tcPr>
          <w:p>
            <w:pPr>
              <w:spacing w:after="0"/>
              <w:rPr>
                <w:sz w:val="20"/>
                <w:szCs w:val="20"/>
                <w:color w:val="auto"/>
              </w:rPr>
            </w:pPr>
            <w:r>
              <w:rPr>
                <w:rFonts w:ascii="Arial" w:cs="Arial" w:eastAsia="Arial" w:hAnsi="Arial"/>
                <w:sz w:val="17"/>
                <w:szCs w:val="17"/>
                <w:color w:val="auto"/>
              </w:rPr>
              <w:t>Loans held for sale</w:t>
            </w:r>
          </w:p>
        </w:tc>
        <w:tc>
          <w:tcPr>
            <w:tcW w:w="920" w:type="dxa"/>
            <w:vAlign w:val="bottom"/>
          </w:tcPr>
          <w:p>
            <w:pPr>
              <w:spacing w:after="0"/>
              <w:rPr>
                <w:sz w:val="18"/>
                <w:szCs w:val="18"/>
                <w:color w:val="auto"/>
              </w:rPr>
            </w:pPr>
          </w:p>
        </w:tc>
        <w:tc>
          <w:tcPr>
            <w:tcW w:w="3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7"/>
                <w:szCs w:val="17"/>
                <w:color w:val="auto"/>
                <w:w w:val="98"/>
              </w:rPr>
              <w:t>478</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478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7"/>
                <w:szCs w:val="17"/>
                <w:color w:val="auto"/>
              </w:rPr>
              <w:t>(121)</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(121)</w:t>
            </w:r>
          </w:p>
        </w:tc>
      </w:tr>
    </w:tbl>
    <w:p>
      <w:pPr>
        <w:spacing w:after="0" w:line="205" w:lineRule="exact"/>
        <w:rPr>
          <w:sz w:val="20"/>
          <w:szCs w:val="20"/>
          <w:color w:val="auto"/>
        </w:rPr>
      </w:pPr>
    </w:p>
    <w:p>
      <w:pPr>
        <w:jc w:val="both"/>
        <w:spacing w:after="0" w:line="343" w:lineRule="auto"/>
        <w:rPr>
          <w:sz w:val="20"/>
          <w:szCs w:val="20"/>
          <w:color w:val="auto"/>
        </w:rPr>
      </w:pPr>
      <w:r>
        <w:rPr>
          <w:rFonts w:ascii="Arial" w:cs="Arial" w:eastAsia="Arial" w:hAnsi="Arial"/>
          <w:sz w:val="15"/>
          <w:szCs w:val="15"/>
          <w:color w:val="auto"/>
        </w:rPr>
        <w:t>For those items measured at fair value pursuant to our election of the fair value option, interest income is recorded within the Condensed Consolidated Statements of Operations based on the contractual amount of interest income earned on these financial assets and dividend income is recorded based on cash dividends received.</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following represent impairment charges recognized during the three and six month periods ended June 30, 2016 and 2015 relating to assets measured at fair value on a non-recurring basis:</w:t>
      </w:r>
    </w:p>
    <w:p>
      <w:pPr>
        <w:jc w:val="both"/>
        <w:ind w:left="620" w:hanging="312"/>
        <w:spacing w:after="0" w:line="250"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Capitalized mortgage loan servicing rights, whose individual strata are measured at fair value, had a carrying amount of $10.0 million which is net of a valuation allowance of $5.4 million at June 30, 2016 and had a carrying amount of $8.5 million which is net of a valuation allowance of $3.3 million at December 31, 2015. A recovery (charge) of $(0.6) million and $(2.1) million was included in our results of operations for the three and six month periods ending June 30, 2016, respectively and $1.2 million and $0.5 million during the same periods in 2015.</w:t>
      </w:r>
    </w:p>
    <w:p>
      <w:pPr>
        <w:jc w:val="both"/>
        <w:ind w:left="620" w:hanging="312"/>
        <w:spacing w:after="0" w:line="250"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Loans which are measured for impairment using the fair value of collateral for collateral dependent loans, had a carrying amount of $5.4 million, with a valuation allowance of $2.3 million at June 30, 2016 and had a carrying amount of $5.1 million, with a valuation allowance of $2.5 million at December 31, 2015. The provision for loan losses included in our results of operations relating to impaired loans was a net expense (recovery) of $(0.1) million and $0.5 million for the three month periods ending June 30, 2016 and 2015, respectively, and a net expense of $0.3 million and $1.0 million for the six month periods ending June 30, 2016 and 2015, respectively.</w:t>
      </w:r>
    </w:p>
    <w:p>
      <w:pPr>
        <w:jc w:val="both"/>
        <w:ind w:left="620" w:hanging="312"/>
        <w:spacing w:after="0" w:line="274"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real estate, which is measured using the fair value of the property, had a carrying amount of $0.3 million which is net of a valuation allowance of $1.1 million at June 30, 2016 and a carrying amount of $1.0 million which is net of a valuation allowance of $1.7 million at December 31, 2015. An additional charge relating to other real estate measured at fair value of $0.04 million and $0.06 million was included in our results of operations during the three and six month periods ended June 30, 2016, respectively and $0.22 million and $0.37 million during the same periods in 2015.</w:t>
      </w:r>
    </w:p>
    <w:p>
      <w:pPr>
        <w:spacing w:after="0" w:line="19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We had no assets or liabilities measured at fair value on a recurring basis that used significant unobservable inputs (Level 3) during the six months ended June 30, 2016 and 2015.</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Quantitative information about Level 3 fair value measurements measured on a non-recurring basis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7"/>
                <w:szCs w:val="17"/>
                <w:color w:val="auto"/>
                <w:w w:val="89"/>
              </w:rPr>
              <w:t>Asset</w:t>
            </w:r>
          </w:p>
        </w:tc>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7"/>
                <w:szCs w:val="17"/>
                <w:color w:val="auto"/>
                <w:w w:val="95"/>
              </w:rPr>
              <w:t>Fair</w:t>
            </w:r>
          </w:p>
        </w:tc>
        <w:tc>
          <w:tcPr>
            <w:tcW w:w="2880" w:type="dxa"/>
            <w:vAlign w:val="bottom"/>
          </w:tcPr>
          <w:p>
            <w:pPr>
              <w:ind w:left="1120"/>
              <w:spacing w:after="0"/>
              <w:rPr>
                <w:sz w:val="20"/>
                <w:szCs w:val="20"/>
                <w:color w:val="auto"/>
              </w:rPr>
            </w:pPr>
            <w:r>
              <w:rPr>
                <w:rFonts w:ascii="Arial" w:cs="Arial" w:eastAsia="Arial" w:hAnsi="Arial"/>
                <w:sz w:val="17"/>
                <w:szCs w:val="17"/>
                <w:color w:val="auto"/>
              </w:rPr>
              <w:t>Valuation</w:t>
            </w:r>
          </w:p>
        </w:tc>
        <w:tc>
          <w:tcPr>
            <w:tcW w:w="100" w:type="dxa"/>
            <w:vAlign w:val="bottom"/>
          </w:tcPr>
          <w:p>
            <w:pPr>
              <w:spacing w:after="0"/>
              <w:rPr>
                <w:sz w:val="17"/>
                <w:szCs w:val="17"/>
                <w:color w:val="auto"/>
              </w:rPr>
            </w:pPr>
          </w:p>
        </w:tc>
        <w:tc>
          <w:tcPr>
            <w:tcW w:w="2860" w:type="dxa"/>
            <w:vAlign w:val="bottom"/>
          </w:tcPr>
          <w:p>
            <w:pPr>
              <w:ind w:left="960"/>
              <w:spacing w:after="0"/>
              <w:rPr>
                <w:sz w:val="20"/>
                <w:szCs w:val="20"/>
                <w:color w:val="auto"/>
              </w:rPr>
            </w:pPr>
            <w:r>
              <w:rPr>
                <w:rFonts w:ascii="Arial" w:cs="Arial" w:eastAsia="Arial" w:hAnsi="Arial"/>
                <w:sz w:val="17"/>
                <w:szCs w:val="17"/>
                <w:color w:val="auto"/>
              </w:rPr>
              <w:t>Unobservable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7"/>
                <w:szCs w:val="17"/>
                <w:color w:val="auto"/>
                <w:w w:val="97"/>
              </w:rPr>
              <w:t>Weighted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7"/>
                <w:szCs w:val="17"/>
                <w:color w:val="auto"/>
                <w:w w:val="87"/>
              </w:rPr>
              <w:t>Value</w:t>
            </w:r>
          </w:p>
        </w:tc>
        <w:tc>
          <w:tcPr>
            <w:tcW w:w="2880" w:type="dxa"/>
            <w:vAlign w:val="bottom"/>
          </w:tcPr>
          <w:p>
            <w:pPr>
              <w:ind w:left="1080"/>
              <w:spacing w:after="0"/>
              <w:rPr>
                <w:sz w:val="20"/>
                <w:szCs w:val="20"/>
                <w:color w:val="auto"/>
              </w:rPr>
            </w:pPr>
            <w:r>
              <w:rPr>
                <w:rFonts w:ascii="Arial" w:cs="Arial" w:eastAsia="Arial" w:hAnsi="Arial"/>
                <w:sz w:val="17"/>
                <w:szCs w:val="17"/>
                <w:color w:val="auto"/>
              </w:rPr>
              <w:t>Technique</w:t>
            </w:r>
          </w:p>
        </w:tc>
        <w:tc>
          <w:tcPr>
            <w:tcW w:w="100" w:type="dxa"/>
            <w:vAlign w:val="bottom"/>
          </w:tcPr>
          <w:p>
            <w:pPr>
              <w:spacing w:after="0"/>
              <w:rPr>
                <w:sz w:val="19"/>
                <w:szCs w:val="19"/>
                <w:color w:val="auto"/>
              </w:rPr>
            </w:pPr>
          </w:p>
        </w:tc>
        <w:tc>
          <w:tcPr>
            <w:tcW w:w="2860" w:type="dxa"/>
            <w:vAlign w:val="bottom"/>
          </w:tcPr>
          <w:p>
            <w:pPr>
              <w:ind w:left="1220"/>
              <w:spacing w:after="0"/>
              <w:rPr>
                <w:sz w:val="20"/>
                <w:szCs w:val="20"/>
                <w:color w:val="auto"/>
              </w:rPr>
            </w:pPr>
            <w:r>
              <w:rPr>
                <w:rFonts w:ascii="Arial" w:cs="Arial" w:eastAsia="Arial" w:hAnsi="Arial"/>
                <w:sz w:val="17"/>
                <w:szCs w:val="17"/>
                <w:color w:val="auto"/>
              </w:rPr>
              <w:t>Inputs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7"/>
                <w:szCs w:val="17"/>
                <w:color w:val="auto"/>
              </w:rPr>
              <w:t>Average</w:t>
            </w:r>
          </w:p>
        </w:tc>
        <w:tc>
          <w:tcPr>
            <w:tcW w:w="0" w:type="dxa"/>
            <w:vAlign w:val="bottom"/>
          </w:tcPr>
          <w:p>
            <w:pPr>
              <w:spacing w:after="0"/>
              <w:rPr>
                <w:sz w:val="1"/>
                <w:szCs w:val="1"/>
                <w:color w:val="auto"/>
              </w:rPr>
            </w:pPr>
          </w:p>
        </w:tc>
      </w:tr>
      <w:tr>
        <w:trPr>
          <w:trHeight w:val="215"/>
        </w:trPr>
        <w:tc>
          <w:tcPr>
            <w:tcW w:w="2940" w:type="dxa"/>
            <w:vAlign w:val="bottom"/>
            <w:gridSpan w:val="2"/>
            <w:vMerge w:val="restart"/>
          </w:tcPr>
          <w:p>
            <w:pPr>
              <w:spacing w:after="0"/>
              <w:rPr>
                <w:sz w:val="20"/>
                <w:szCs w:val="20"/>
                <w:color w:val="auto"/>
              </w:rPr>
            </w:pPr>
            <w:r>
              <w:rPr>
                <w:rFonts w:ascii="Arial" w:cs="Arial" w:eastAsia="Arial" w:hAnsi="Arial"/>
                <w:sz w:val="17"/>
                <w:szCs w:val="17"/>
                <w:color w:val="auto"/>
              </w:rPr>
              <w:t>June 30, 2016</w:t>
            </w: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(In thousands)</w:t>
            </w:r>
          </w:p>
        </w:tc>
        <w:tc>
          <w:tcPr>
            <w:tcW w:w="100" w:type="dxa"/>
            <w:vAlign w:val="bottom"/>
          </w:tcPr>
          <w:p>
            <w:pPr>
              <w:spacing w:after="0"/>
              <w:rPr>
                <w:sz w:val="18"/>
                <w:szCs w:val="18"/>
                <w:color w:val="auto"/>
              </w:rPr>
            </w:pPr>
          </w:p>
        </w:tc>
        <w:tc>
          <w:tcPr>
            <w:tcW w:w="2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9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20" w:type="dxa"/>
            <w:vAlign w:val="bottom"/>
            <w:shd w:val="clear" w:color="auto" w:fill="CCEEFF"/>
          </w:tcPr>
          <w:p>
            <w:pPr>
              <w:ind w:left="140"/>
              <w:spacing w:after="0" w:line="192" w:lineRule="exact"/>
              <w:rPr>
                <w:sz w:val="20"/>
                <w:szCs w:val="20"/>
                <w:color w:val="auto"/>
              </w:rPr>
            </w:pPr>
            <w:r>
              <w:rPr>
                <w:rFonts w:ascii="Arial" w:cs="Arial" w:eastAsia="Arial" w:hAnsi="Arial"/>
                <w:sz w:val="17"/>
                <w:szCs w:val="17"/>
                <w:color w:val="auto"/>
              </w:rPr>
              <w:t>Capitalized mortgage loan servicing</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rights</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10,007</w:t>
            </w: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w w:val="98"/>
              </w:rPr>
              <w:t>Present value of net servicing revenue</w:t>
            </w:r>
          </w:p>
        </w:tc>
        <w:tc>
          <w:tcPr>
            <w:tcW w:w="29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Discount rate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960" w:type="dxa"/>
            <w:vAlign w:val="bottom"/>
            <w:gridSpan w:val="2"/>
          </w:tcPr>
          <w:p>
            <w:pPr>
              <w:ind w:left="100"/>
              <w:spacing w:after="0"/>
              <w:rPr>
                <w:sz w:val="20"/>
                <w:szCs w:val="20"/>
                <w:color w:val="auto"/>
              </w:rPr>
            </w:pPr>
            <w:r>
              <w:rPr>
                <w:rFonts w:ascii="Arial" w:cs="Arial" w:eastAsia="Arial" w:hAnsi="Arial"/>
                <w:sz w:val="17"/>
                <w:szCs w:val="17"/>
                <w:color w:val="auto"/>
              </w:rPr>
              <w:t>Cost to service</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9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Ancillary income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960" w:type="dxa"/>
            <w:vAlign w:val="bottom"/>
            <w:gridSpan w:val="2"/>
          </w:tcPr>
          <w:p>
            <w:pPr>
              <w:ind w:left="100"/>
              <w:spacing w:after="0"/>
              <w:rPr>
                <w:sz w:val="20"/>
                <w:szCs w:val="20"/>
                <w:color w:val="auto"/>
              </w:rPr>
            </w:pPr>
            <w:r>
              <w:rPr>
                <w:rFonts w:ascii="Arial" w:cs="Arial" w:eastAsia="Arial" w:hAnsi="Arial"/>
                <w:sz w:val="17"/>
                <w:szCs w:val="17"/>
                <w:color w:val="auto"/>
              </w:rPr>
              <w:t>Float rate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0.98%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Impaired loans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20" w:type="dxa"/>
            <w:vAlign w:val="bottom"/>
          </w:tcPr>
          <w:p>
            <w:pPr>
              <w:ind w:left="280"/>
              <w:spacing w:after="0" w:line="191" w:lineRule="exact"/>
              <w:rPr>
                <w:sz w:val="20"/>
                <w:szCs w:val="20"/>
                <w:color w:val="auto"/>
              </w:rPr>
            </w:pPr>
            <w:r>
              <w:rPr>
                <w:rFonts w:ascii="Arial" w:cs="Arial" w:eastAsia="Arial" w:hAnsi="Arial"/>
                <w:sz w:val="17"/>
                <w:szCs w:val="17"/>
                <w:color w:val="auto"/>
              </w:rPr>
              <w:t>Commercial (1)</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960" w:type="dxa"/>
            <w:vAlign w:val="bottom"/>
            <w:gridSpan w:val="2"/>
          </w:tcPr>
          <w:p>
            <w:pPr>
              <w:ind w:left="100"/>
              <w:spacing w:after="0" w:line="191" w:lineRule="exact"/>
              <w:rPr>
                <w:sz w:val="20"/>
                <w:szCs w:val="20"/>
                <w:color w:val="auto"/>
              </w:rPr>
            </w:pPr>
            <w:r>
              <w:rPr>
                <w:rFonts w:ascii="Arial" w:cs="Arial" w:eastAsia="Arial" w:hAnsi="Arial"/>
                <w:sz w:val="17"/>
                <w:szCs w:val="17"/>
                <w:color w:val="auto"/>
              </w:rPr>
              <w:t>Adjustment for differences between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2,240</w:t>
            </w:r>
          </w:p>
        </w:tc>
        <w:tc>
          <w:tcPr>
            <w:tcW w:w="2880" w:type="dxa"/>
            <w:vAlign w:val="bottom"/>
          </w:tcPr>
          <w:p>
            <w:pPr>
              <w:spacing w:after="0"/>
              <w:rPr>
                <w:sz w:val="20"/>
                <w:szCs w:val="20"/>
                <w:color w:val="auto"/>
              </w:rPr>
            </w:pPr>
            <w:r>
              <w:rPr>
                <w:rFonts w:ascii="Arial" w:cs="Arial" w:eastAsia="Arial" w:hAnsi="Arial"/>
                <w:sz w:val="17"/>
                <w:szCs w:val="17"/>
                <w:color w:val="auto"/>
              </w:rPr>
              <w:t>Sales comparison approach</w:t>
            </w:r>
          </w:p>
        </w:tc>
        <w:tc>
          <w:tcPr>
            <w:tcW w:w="100" w:type="dxa"/>
            <w:vAlign w:val="bottom"/>
          </w:tcPr>
          <w:p>
            <w:pPr>
              <w:spacing w:after="0"/>
              <w:rPr>
                <w:sz w:val="18"/>
                <w:szCs w:val="18"/>
                <w:color w:val="auto"/>
              </w:rPr>
            </w:pPr>
          </w:p>
        </w:tc>
        <w:tc>
          <w:tcPr>
            <w:tcW w:w="2860" w:type="dxa"/>
            <w:vAlign w:val="bottom"/>
          </w:tcPr>
          <w:p>
            <w:pPr>
              <w:ind w:left="140"/>
              <w:spacing w:after="0"/>
              <w:rPr>
                <w:sz w:val="20"/>
                <w:szCs w:val="20"/>
                <w:color w:val="auto"/>
              </w:rPr>
            </w:pPr>
            <w:r>
              <w:rPr>
                <w:rFonts w:ascii="Arial" w:cs="Arial" w:eastAsia="Arial" w:hAnsi="Arial"/>
                <w:sz w:val="17"/>
                <w:szCs w:val="17"/>
                <w:color w:val="auto"/>
              </w:rPr>
              <w:t>comparable sales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20" w:type="dxa"/>
            <w:vAlign w:val="bottom"/>
            <w:shd w:val="clear" w:color="auto" w:fill="CCEEFF"/>
          </w:tcPr>
          <w:p>
            <w:pPr>
              <w:ind w:left="280"/>
              <w:spacing w:after="0" w:line="192" w:lineRule="exact"/>
              <w:rPr>
                <w:sz w:val="20"/>
                <w:szCs w:val="20"/>
                <w:color w:val="auto"/>
              </w:rPr>
            </w:pPr>
            <w:r>
              <w:rPr>
                <w:rFonts w:ascii="Arial" w:cs="Arial" w:eastAsia="Arial" w:hAnsi="Arial"/>
                <w:sz w:val="17"/>
                <w:szCs w:val="17"/>
                <w:color w:val="auto"/>
              </w:rPr>
              <w:t>Mortgage</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2960" w:type="dxa"/>
            <w:vAlign w:val="bottom"/>
            <w:gridSpan w:val="2"/>
            <w:shd w:val="clear" w:color="auto" w:fill="CCEEFF"/>
          </w:tcPr>
          <w:p>
            <w:pPr>
              <w:ind w:left="100"/>
              <w:spacing w:after="0" w:line="192" w:lineRule="exact"/>
              <w:rPr>
                <w:sz w:val="20"/>
                <w:szCs w:val="20"/>
                <w:color w:val="auto"/>
              </w:rPr>
            </w:pPr>
            <w:r>
              <w:rPr>
                <w:rFonts w:ascii="Arial" w:cs="Arial" w:eastAsia="Arial" w:hAnsi="Arial"/>
                <w:sz w:val="17"/>
                <w:szCs w:val="17"/>
                <w:color w:val="auto"/>
              </w:rPr>
              <w:t>Adjustment for differences between</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651</w:t>
            </w: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Sales comparison approach</w:t>
            </w: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comparable sales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20" w:type="dxa"/>
            <w:vAlign w:val="bottom"/>
          </w:tcPr>
          <w:p>
            <w:pPr>
              <w:ind w:left="140"/>
              <w:spacing w:after="0"/>
              <w:rPr>
                <w:sz w:val="20"/>
                <w:szCs w:val="20"/>
                <w:color w:val="auto"/>
              </w:rPr>
            </w:pPr>
            <w:r>
              <w:rPr>
                <w:rFonts w:ascii="Arial" w:cs="Arial" w:eastAsia="Arial" w:hAnsi="Arial"/>
                <w:sz w:val="17"/>
                <w:szCs w:val="17"/>
                <w:color w:val="auto"/>
              </w:rPr>
              <w:t>Other real estate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20" w:type="dxa"/>
            <w:vAlign w:val="bottom"/>
            <w:shd w:val="clear" w:color="auto" w:fill="CCEEFF"/>
          </w:tcPr>
          <w:p>
            <w:pPr>
              <w:ind w:left="280"/>
              <w:spacing w:after="0" w:line="191" w:lineRule="exact"/>
              <w:rPr>
                <w:sz w:val="20"/>
                <w:szCs w:val="20"/>
                <w:color w:val="auto"/>
              </w:rPr>
            </w:pPr>
            <w:r>
              <w:rPr>
                <w:rFonts w:ascii="Arial" w:cs="Arial" w:eastAsia="Arial" w:hAnsi="Arial"/>
                <w:sz w:val="17"/>
                <w:szCs w:val="17"/>
                <w:color w:val="auto"/>
              </w:rPr>
              <w:t>Commercial</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2960" w:type="dxa"/>
            <w:vAlign w:val="bottom"/>
            <w:gridSpan w:val="2"/>
            <w:shd w:val="clear" w:color="auto" w:fill="CCEEFF"/>
          </w:tcPr>
          <w:p>
            <w:pPr>
              <w:ind w:left="100"/>
              <w:spacing w:after="0" w:line="191" w:lineRule="exact"/>
              <w:rPr>
                <w:sz w:val="20"/>
                <w:szCs w:val="20"/>
                <w:color w:val="auto"/>
              </w:rPr>
            </w:pPr>
            <w:r>
              <w:rPr>
                <w:rFonts w:ascii="Arial" w:cs="Arial" w:eastAsia="Arial" w:hAnsi="Arial"/>
                <w:sz w:val="17"/>
                <w:szCs w:val="17"/>
                <w:color w:val="auto"/>
              </w:rPr>
              <w:t>Adjustment for differences between</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176</w:t>
            </w: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Sales comparison approach</w:t>
            </w: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comparable sales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20" w:type="dxa"/>
            <w:vAlign w:val="bottom"/>
          </w:tcPr>
          <w:p>
            <w:pPr>
              <w:ind w:left="280"/>
              <w:spacing w:after="0" w:line="191" w:lineRule="exact"/>
              <w:rPr>
                <w:sz w:val="20"/>
                <w:szCs w:val="20"/>
                <w:color w:val="auto"/>
              </w:rPr>
            </w:pPr>
            <w:r>
              <w:rPr>
                <w:rFonts w:ascii="Arial" w:cs="Arial" w:eastAsia="Arial" w:hAnsi="Arial"/>
                <w:sz w:val="17"/>
                <w:szCs w:val="17"/>
                <w:color w:val="auto"/>
              </w:rPr>
              <w:t>Mortgage and installment</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960" w:type="dxa"/>
            <w:vAlign w:val="bottom"/>
            <w:gridSpan w:val="2"/>
          </w:tcPr>
          <w:p>
            <w:pPr>
              <w:ind w:left="100"/>
              <w:spacing w:after="0" w:line="191" w:lineRule="exact"/>
              <w:rPr>
                <w:sz w:val="20"/>
                <w:szCs w:val="20"/>
                <w:color w:val="auto"/>
              </w:rPr>
            </w:pPr>
            <w:r>
              <w:rPr>
                <w:rFonts w:ascii="Arial" w:cs="Arial" w:eastAsia="Arial" w:hAnsi="Arial"/>
                <w:sz w:val="17"/>
                <w:szCs w:val="17"/>
                <w:color w:val="auto"/>
              </w:rPr>
              <w:t>Adjustment for differences between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140</w:t>
            </w:r>
          </w:p>
        </w:tc>
        <w:tc>
          <w:tcPr>
            <w:tcW w:w="2880" w:type="dxa"/>
            <w:vAlign w:val="bottom"/>
          </w:tcPr>
          <w:p>
            <w:pPr>
              <w:spacing w:after="0"/>
              <w:rPr>
                <w:sz w:val="20"/>
                <w:szCs w:val="20"/>
                <w:color w:val="auto"/>
              </w:rPr>
            </w:pPr>
            <w:r>
              <w:rPr>
                <w:rFonts w:ascii="Arial" w:cs="Arial" w:eastAsia="Arial" w:hAnsi="Arial"/>
                <w:sz w:val="17"/>
                <w:szCs w:val="17"/>
                <w:color w:val="auto"/>
              </w:rPr>
              <w:t>Sales comparison approach</w:t>
            </w:r>
          </w:p>
        </w:tc>
        <w:tc>
          <w:tcPr>
            <w:tcW w:w="100" w:type="dxa"/>
            <w:vAlign w:val="bottom"/>
          </w:tcPr>
          <w:p>
            <w:pPr>
              <w:spacing w:after="0"/>
              <w:rPr>
                <w:sz w:val="18"/>
                <w:szCs w:val="18"/>
                <w:color w:val="auto"/>
              </w:rPr>
            </w:pPr>
          </w:p>
        </w:tc>
        <w:tc>
          <w:tcPr>
            <w:tcW w:w="2860" w:type="dxa"/>
            <w:vAlign w:val="bottom"/>
          </w:tcPr>
          <w:p>
            <w:pPr>
              <w:ind w:left="140"/>
              <w:spacing w:after="0"/>
              <w:rPr>
                <w:sz w:val="20"/>
                <w:szCs w:val="20"/>
                <w:color w:val="auto"/>
              </w:rPr>
            </w:pPr>
            <w:r>
              <w:rPr>
                <w:rFonts w:ascii="Arial" w:cs="Arial" w:eastAsia="Arial" w:hAnsi="Arial"/>
                <w:sz w:val="17"/>
                <w:szCs w:val="17"/>
                <w:color w:val="auto"/>
              </w:rPr>
              <w:t>comparable sales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73.8</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2920" w:type="dxa"/>
            <w:vAlign w:val="bottom"/>
          </w:tcPr>
          <w:p>
            <w:pPr>
              <w:spacing w:after="0"/>
              <w:rPr>
                <w:sz w:val="20"/>
                <w:szCs w:val="20"/>
                <w:color w:val="auto"/>
              </w:rPr>
            </w:pPr>
            <w:r>
              <w:rPr>
                <w:rFonts w:ascii="Arial" w:cs="Arial" w:eastAsia="Arial" w:hAnsi="Arial"/>
                <w:sz w:val="17"/>
                <w:szCs w:val="17"/>
                <w:color w:val="auto"/>
              </w:rPr>
              <w:t>December 31, 2015</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20" w:type="dxa"/>
            <w:vAlign w:val="bottom"/>
            <w:shd w:val="clear" w:color="auto" w:fill="CCEEFF"/>
          </w:tcPr>
          <w:p>
            <w:pPr>
              <w:ind w:left="140"/>
              <w:spacing w:after="0" w:line="191" w:lineRule="exact"/>
              <w:rPr>
                <w:sz w:val="20"/>
                <w:szCs w:val="20"/>
                <w:color w:val="auto"/>
              </w:rPr>
            </w:pPr>
            <w:r>
              <w:rPr>
                <w:rFonts w:ascii="Arial" w:cs="Arial" w:eastAsia="Arial" w:hAnsi="Arial"/>
                <w:sz w:val="17"/>
                <w:szCs w:val="17"/>
                <w:color w:val="auto"/>
              </w:rPr>
              <w:t>Capitalized mortgage loan servicing</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rights</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8,481</w:t>
            </w: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w w:val="98"/>
              </w:rPr>
              <w:t>Present value of net servicing revenue</w:t>
            </w:r>
          </w:p>
        </w:tc>
        <w:tc>
          <w:tcPr>
            <w:tcW w:w="29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Discount rate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960" w:type="dxa"/>
            <w:vAlign w:val="bottom"/>
            <w:gridSpan w:val="2"/>
          </w:tcPr>
          <w:p>
            <w:pPr>
              <w:ind w:left="100"/>
              <w:spacing w:after="0"/>
              <w:rPr>
                <w:sz w:val="20"/>
                <w:szCs w:val="20"/>
                <w:color w:val="auto"/>
              </w:rPr>
            </w:pPr>
            <w:r>
              <w:rPr>
                <w:rFonts w:ascii="Arial" w:cs="Arial" w:eastAsia="Arial" w:hAnsi="Arial"/>
                <w:sz w:val="17"/>
                <w:szCs w:val="17"/>
                <w:color w:val="auto"/>
              </w:rPr>
              <w:t>Cost to service</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9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Ancillary income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960" w:type="dxa"/>
            <w:vAlign w:val="bottom"/>
            <w:gridSpan w:val="2"/>
          </w:tcPr>
          <w:p>
            <w:pPr>
              <w:ind w:left="100"/>
              <w:spacing w:after="0"/>
              <w:rPr>
                <w:sz w:val="20"/>
                <w:szCs w:val="20"/>
                <w:color w:val="auto"/>
              </w:rPr>
            </w:pPr>
            <w:r>
              <w:rPr>
                <w:rFonts w:ascii="Arial" w:cs="Arial" w:eastAsia="Arial" w:hAnsi="Arial"/>
                <w:sz w:val="17"/>
                <w:szCs w:val="17"/>
                <w:color w:val="auto"/>
              </w:rPr>
              <w:t>Float rate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Impaired loans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20" w:type="dxa"/>
            <w:vAlign w:val="bottom"/>
          </w:tcPr>
          <w:p>
            <w:pPr>
              <w:ind w:left="280"/>
              <w:spacing w:after="0" w:line="191" w:lineRule="exact"/>
              <w:rPr>
                <w:sz w:val="20"/>
                <w:szCs w:val="20"/>
                <w:color w:val="auto"/>
              </w:rPr>
            </w:pPr>
            <w:r>
              <w:rPr>
                <w:rFonts w:ascii="Arial" w:cs="Arial" w:eastAsia="Arial" w:hAnsi="Arial"/>
                <w:sz w:val="17"/>
                <w:szCs w:val="17"/>
                <w:color w:val="auto"/>
              </w:rPr>
              <w:t>Commercial (1)</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960" w:type="dxa"/>
            <w:vAlign w:val="bottom"/>
            <w:gridSpan w:val="2"/>
          </w:tcPr>
          <w:p>
            <w:pPr>
              <w:ind w:left="100"/>
              <w:spacing w:after="0" w:line="191" w:lineRule="exact"/>
              <w:rPr>
                <w:sz w:val="20"/>
                <w:szCs w:val="20"/>
                <w:color w:val="auto"/>
              </w:rPr>
            </w:pPr>
            <w:r>
              <w:rPr>
                <w:rFonts w:ascii="Arial" w:cs="Arial" w:eastAsia="Arial" w:hAnsi="Arial"/>
                <w:sz w:val="17"/>
                <w:szCs w:val="17"/>
                <w:color w:val="auto"/>
              </w:rPr>
              <w:t>Adjustment for differences between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1,605</w:t>
            </w:r>
          </w:p>
        </w:tc>
        <w:tc>
          <w:tcPr>
            <w:tcW w:w="2880" w:type="dxa"/>
            <w:vAlign w:val="bottom"/>
          </w:tcPr>
          <w:p>
            <w:pPr>
              <w:spacing w:after="0"/>
              <w:rPr>
                <w:sz w:val="20"/>
                <w:szCs w:val="20"/>
                <w:color w:val="auto"/>
              </w:rPr>
            </w:pPr>
            <w:r>
              <w:rPr>
                <w:rFonts w:ascii="Arial" w:cs="Arial" w:eastAsia="Arial" w:hAnsi="Arial"/>
                <w:sz w:val="17"/>
                <w:szCs w:val="17"/>
                <w:color w:val="auto"/>
              </w:rPr>
              <w:t>Sales comparison approach</w:t>
            </w:r>
          </w:p>
        </w:tc>
        <w:tc>
          <w:tcPr>
            <w:tcW w:w="100" w:type="dxa"/>
            <w:vAlign w:val="bottom"/>
          </w:tcPr>
          <w:p>
            <w:pPr>
              <w:spacing w:after="0"/>
              <w:rPr>
                <w:sz w:val="18"/>
                <w:szCs w:val="18"/>
                <w:color w:val="auto"/>
              </w:rPr>
            </w:pPr>
          </w:p>
        </w:tc>
        <w:tc>
          <w:tcPr>
            <w:tcW w:w="2860" w:type="dxa"/>
            <w:vAlign w:val="bottom"/>
          </w:tcPr>
          <w:p>
            <w:pPr>
              <w:ind w:left="140"/>
              <w:spacing w:after="0"/>
              <w:rPr>
                <w:sz w:val="20"/>
                <w:szCs w:val="20"/>
                <w:color w:val="auto"/>
              </w:rPr>
            </w:pPr>
            <w:r>
              <w:rPr>
                <w:rFonts w:ascii="Arial" w:cs="Arial" w:eastAsia="Arial" w:hAnsi="Arial"/>
                <w:sz w:val="17"/>
                <w:szCs w:val="17"/>
                <w:color w:val="auto"/>
              </w:rPr>
              <w:t>comparable sales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Income approach</w:t>
            </w:r>
          </w:p>
        </w:tc>
        <w:tc>
          <w:tcPr>
            <w:tcW w:w="29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Capitalization rate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20" w:type="dxa"/>
            <w:vAlign w:val="bottom"/>
          </w:tcPr>
          <w:p>
            <w:pPr>
              <w:ind w:left="280"/>
              <w:spacing w:after="0" w:line="191" w:lineRule="exact"/>
              <w:rPr>
                <w:sz w:val="20"/>
                <w:szCs w:val="20"/>
                <w:color w:val="auto"/>
              </w:rPr>
            </w:pPr>
            <w:r>
              <w:rPr>
                <w:rFonts w:ascii="Arial" w:cs="Arial" w:eastAsia="Arial" w:hAnsi="Arial"/>
                <w:sz w:val="17"/>
                <w:szCs w:val="17"/>
                <w:color w:val="auto"/>
              </w:rPr>
              <w:t>Mortgage</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960" w:type="dxa"/>
            <w:vAlign w:val="bottom"/>
            <w:gridSpan w:val="2"/>
          </w:tcPr>
          <w:p>
            <w:pPr>
              <w:ind w:left="100"/>
              <w:spacing w:after="0" w:line="191" w:lineRule="exact"/>
              <w:rPr>
                <w:sz w:val="20"/>
                <w:szCs w:val="20"/>
                <w:color w:val="auto"/>
              </w:rPr>
            </w:pPr>
            <w:r>
              <w:rPr>
                <w:rFonts w:ascii="Arial" w:cs="Arial" w:eastAsia="Arial" w:hAnsi="Arial"/>
                <w:sz w:val="17"/>
                <w:szCs w:val="17"/>
                <w:color w:val="auto"/>
              </w:rPr>
              <w:t>Adjustment for differences between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550</w:t>
            </w:r>
          </w:p>
        </w:tc>
        <w:tc>
          <w:tcPr>
            <w:tcW w:w="2880" w:type="dxa"/>
            <w:vAlign w:val="bottom"/>
          </w:tcPr>
          <w:p>
            <w:pPr>
              <w:spacing w:after="0"/>
              <w:rPr>
                <w:sz w:val="20"/>
                <w:szCs w:val="20"/>
                <w:color w:val="auto"/>
              </w:rPr>
            </w:pPr>
            <w:r>
              <w:rPr>
                <w:rFonts w:ascii="Arial" w:cs="Arial" w:eastAsia="Arial" w:hAnsi="Arial"/>
                <w:sz w:val="17"/>
                <w:szCs w:val="17"/>
                <w:color w:val="auto"/>
              </w:rPr>
              <w:t>Sales comparison approach</w:t>
            </w:r>
          </w:p>
        </w:tc>
        <w:tc>
          <w:tcPr>
            <w:tcW w:w="100" w:type="dxa"/>
            <w:vAlign w:val="bottom"/>
          </w:tcPr>
          <w:p>
            <w:pPr>
              <w:spacing w:after="0"/>
              <w:rPr>
                <w:sz w:val="18"/>
                <w:szCs w:val="18"/>
                <w:color w:val="auto"/>
              </w:rPr>
            </w:pPr>
          </w:p>
        </w:tc>
        <w:tc>
          <w:tcPr>
            <w:tcW w:w="2860" w:type="dxa"/>
            <w:vAlign w:val="bottom"/>
          </w:tcPr>
          <w:p>
            <w:pPr>
              <w:ind w:left="140"/>
              <w:spacing w:after="0"/>
              <w:rPr>
                <w:sz w:val="20"/>
                <w:szCs w:val="20"/>
                <w:color w:val="auto"/>
              </w:rPr>
            </w:pPr>
            <w:r>
              <w:rPr>
                <w:rFonts w:ascii="Arial" w:cs="Arial" w:eastAsia="Arial" w:hAnsi="Arial"/>
                <w:sz w:val="17"/>
                <w:szCs w:val="17"/>
                <w:color w:val="auto"/>
              </w:rPr>
              <w:t>comparable sales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real estate</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20" w:type="dxa"/>
            <w:vAlign w:val="bottom"/>
          </w:tcPr>
          <w:p>
            <w:pPr>
              <w:ind w:left="280"/>
              <w:spacing w:after="0" w:line="191" w:lineRule="exact"/>
              <w:rPr>
                <w:sz w:val="20"/>
                <w:szCs w:val="20"/>
                <w:color w:val="auto"/>
              </w:rPr>
            </w:pPr>
            <w:r>
              <w:rPr>
                <w:rFonts w:ascii="Arial" w:cs="Arial" w:eastAsia="Arial" w:hAnsi="Arial"/>
                <w:sz w:val="17"/>
                <w:szCs w:val="17"/>
                <w:color w:val="auto"/>
              </w:rPr>
              <w:t>Commercial</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960" w:type="dxa"/>
            <w:vAlign w:val="bottom"/>
            <w:gridSpan w:val="2"/>
          </w:tcPr>
          <w:p>
            <w:pPr>
              <w:ind w:left="100"/>
              <w:spacing w:after="0" w:line="191" w:lineRule="exact"/>
              <w:rPr>
                <w:sz w:val="20"/>
                <w:szCs w:val="20"/>
                <w:color w:val="auto"/>
              </w:rPr>
            </w:pPr>
            <w:r>
              <w:rPr>
                <w:rFonts w:ascii="Arial" w:cs="Arial" w:eastAsia="Arial" w:hAnsi="Arial"/>
                <w:sz w:val="17"/>
                <w:szCs w:val="17"/>
                <w:color w:val="auto"/>
              </w:rPr>
              <w:t>Adjustment for differences between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804</w:t>
            </w:r>
          </w:p>
        </w:tc>
        <w:tc>
          <w:tcPr>
            <w:tcW w:w="2880" w:type="dxa"/>
            <w:vAlign w:val="bottom"/>
          </w:tcPr>
          <w:p>
            <w:pPr>
              <w:spacing w:after="0"/>
              <w:rPr>
                <w:sz w:val="20"/>
                <w:szCs w:val="20"/>
                <w:color w:val="auto"/>
              </w:rPr>
            </w:pPr>
            <w:r>
              <w:rPr>
                <w:rFonts w:ascii="Arial" w:cs="Arial" w:eastAsia="Arial" w:hAnsi="Arial"/>
                <w:sz w:val="17"/>
                <w:szCs w:val="17"/>
                <w:color w:val="auto"/>
              </w:rPr>
              <w:t>Sales comparison approach</w:t>
            </w:r>
          </w:p>
        </w:tc>
        <w:tc>
          <w:tcPr>
            <w:tcW w:w="100" w:type="dxa"/>
            <w:vAlign w:val="bottom"/>
          </w:tcPr>
          <w:p>
            <w:pPr>
              <w:spacing w:after="0"/>
              <w:rPr>
                <w:sz w:val="18"/>
                <w:szCs w:val="18"/>
                <w:color w:val="auto"/>
              </w:rPr>
            </w:pPr>
          </w:p>
        </w:tc>
        <w:tc>
          <w:tcPr>
            <w:tcW w:w="2860" w:type="dxa"/>
            <w:vAlign w:val="bottom"/>
          </w:tcPr>
          <w:p>
            <w:pPr>
              <w:ind w:left="140"/>
              <w:spacing w:after="0"/>
              <w:rPr>
                <w:sz w:val="20"/>
                <w:szCs w:val="20"/>
                <w:color w:val="auto"/>
              </w:rPr>
            </w:pPr>
            <w:r>
              <w:rPr>
                <w:rFonts w:ascii="Arial" w:cs="Arial" w:eastAsia="Arial" w:hAnsi="Arial"/>
                <w:sz w:val="17"/>
                <w:szCs w:val="17"/>
                <w:color w:val="auto"/>
              </w:rPr>
              <w:t>comparable sales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20" w:type="dxa"/>
            <w:vAlign w:val="bottom"/>
            <w:shd w:val="clear" w:color="auto" w:fill="CCEEFF"/>
          </w:tcPr>
          <w:p>
            <w:pPr>
              <w:ind w:left="280"/>
              <w:spacing w:after="0" w:line="192" w:lineRule="exact"/>
              <w:rPr>
                <w:sz w:val="20"/>
                <w:szCs w:val="20"/>
                <w:color w:val="auto"/>
              </w:rPr>
            </w:pPr>
            <w:r>
              <w:rPr>
                <w:rFonts w:ascii="Arial" w:cs="Arial" w:eastAsia="Arial" w:hAnsi="Arial"/>
                <w:sz w:val="17"/>
                <w:szCs w:val="17"/>
                <w:color w:val="auto"/>
              </w:rPr>
              <w:t>Mortgage and installment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2960" w:type="dxa"/>
            <w:vAlign w:val="bottom"/>
            <w:gridSpan w:val="2"/>
            <w:shd w:val="clear" w:color="auto" w:fill="CCEEFF"/>
          </w:tcPr>
          <w:p>
            <w:pPr>
              <w:ind w:left="100"/>
              <w:spacing w:after="0" w:line="192" w:lineRule="exact"/>
              <w:rPr>
                <w:sz w:val="20"/>
                <w:szCs w:val="20"/>
                <w:color w:val="auto"/>
              </w:rPr>
            </w:pPr>
            <w:r>
              <w:rPr>
                <w:rFonts w:ascii="Arial" w:cs="Arial" w:eastAsia="Arial" w:hAnsi="Arial"/>
                <w:sz w:val="17"/>
                <w:szCs w:val="17"/>
                <w:color w:val="auto"/>
              </w:rPr>
              <w:t>Adjustment for differences between</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183</w:t>
            </w: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Sales comparison approach</w:t>
            </w: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comparable sales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183515</wp:posOffset>
            </wp:positionV>
            <wp:extent cx="146812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68120" cy="3683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both"/>
        <w:ind w:left="300" w:hanging="298"/>
        <w:spacing w:after="0" w:line="256" w:lineRule="auto"/>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addition to the valuation techniques and unobservable inputs discussed above, at June 30, 2016 and December 31, 2015, we had an impaired collateral dependent commercial relationship that totaled $0.2 million and $0.4 million, respectively that was primarily secured by collateral other than real estate. Collateral securing this relationship primarily included machinery and equipment and inventory at June 30, 2016 and December 31, 2015. Valuation techniques at June 30, 2016 and December 31, 2015, included appraisals and discounting restructuring firm valuations based on estimates of value recovery of each particular asset type. Discount rates used ranged from 0% to 100% of stated values.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following table reflects the difference between the aggregate fair value and the aggregate remaining contractual principal balance outstanding for loans held for sale for which the fair value option has been elected for the periods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7"/>
                <w:szCs w:val="17"/>
                <w:color w:val="auto"/>
                <w:w w:val="94"/>
              </w:rPr>
              <w:t>Aggregate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w w:val="94"/>
              </w:rPr>
              <w:t>Contractual</w:t>
            </w:r>
          </w:p>
        </w:tc>
        <w:tc>
          <w:tcPr>
            <w:tcW w:w="0" w:type="dxa"/>
            <w:vAlign w:val="bottom"/>
          </w:tcPr>
          <w:p>
            <w:pPr>
              <w:spacing w:after="0"/>
              <w:rPr>
                <w:sz w:val="1"/>
                <w:szCs w:val="1"/>
                <w:color w:val="auto"/>
              </w:rPr>
            </w:pPr>
          </w:p>
        </w:tc>
      </w:tr>
      <w:tr>
        <w:trPr>
          <w:trHeight w:val="222"/>
        </w:trPr>
        <w:tc>
          <w:tcPr>
            <w:tcW w:w="7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7"/>
                <w:szCs w:val="17"/>
                <w:color w:val="auto"/>
                <w:w w:val="95"/>
              </w:rPr>
              <w:t>Fair Value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7"/>
                <w:szCs w:val="17"/>
                <w:color w:val="auto"/>
                <w:w w:val="98"/>
              </w:rPr>
              <w:t>Difference</w:t>
            </w:r>
          </w:p>
        </w:tc>
        <w:tc>
          <w:tcPr>
            <w:tcW w:w="12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7"/>
                <w:szCs w:val="17"/>
                <w:color w:val="auto"/>
              </w:rPr>
              <w:t>Principal</w:t>
            </w:r>
          </w:p>
        </w:tc>
        <w:tc>
          <w:tcPr>
            <w:tcW w:w="0" w:type="dxa"/>
            <w:vAlign w:val="bottom"/>
          </w:tcPr>
          <w:p>
            <w:pPr>
              <w:spacing w:after="0"/>
              <w:rPr>
                <w:sz w:val="1"/>
                <w:szCs w:val="1"/>
                <w:color w:val="auto"/>
              </w:rPr>
            </w:pPr>
          </w:p>
        </w:tc>
      </w:tr>
      <w:tr>
        <w:trPr>
          <w:trHeight w:val="215"/>
        </w:trPr>
        <w:tc>
          <w:tcPr>
            <w:tcW w:w="7440" w:type="dxa"/>
            <w:vAlign w:val="bottom"/>
            <w:vMerge w:val="restart"/>
          </w:tcPr>
          <w:p>
            <w:pPr>
              <w:spacing w:after="0"/>
              <w:rPr>
                <w:sz w:val="20"/>
                <w:szCs w:val="20"/>
                <w:color w:val="auto"/>
              </w:rPr>
            </w:pPr>
            <w:r>
              <w:rPr>
                <w:rFonts w:ascii="Arial" w:cs="Arial" w:eastAsia="Arial" w:hAnsi="Arial"/>
                <w:sz w:val="17"/>
                <w:szCs w:val="17"/>
                <w:color w:val="auto"/>
              </w:rPr>
              <w:t>Loans held for sale</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95"/>
              </w:rPr>
              <w:t>(In thousands)</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4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June 30, 2016</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31,713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1,192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30,521</w:t>
            </w:r>
          </w:p>
        </w:tc>
        <w:tc>
          <w:tcPr>
            <w:tcW w:w="0" w:type="dxa"/>
            <w:vAlign w:val="bottom"/>
          </w:tcPr>
          <w:p>
            <w:pPr>
              <w:spacing w:after="0"/>
              <w:rPr>
                <w:sz w:val="1"/>
                <w:szCs w:val="1"/>
                <w:color w:val="auto"/>
              </w:rPr>
            </w:pPr>
          </w:p>
        </w:tc>
      </w:tr>
      <w:tr>
        <w:trPr>
          <w:trHeight w:val="215"/>
        </w:trPr>
        <w:tc>
          <w:tcPr>
            <w:tcW w:w="7440" w:type="dxa"/>
            <w:vAlign w:val="bottom"/>
          </w:tcPr>
          <w:p>
            <w:pPr>
              <w:ind w:left="160"/>
              <w:spacing w:after="0"/>
              <w:rPr>
                <w:sz w:val="20"/>
                <w:szCs w:val="20"/>
                <w:color w:val="auto"/>
              </w:rPr>
            </w:pPr>
            <w:r>
              <w:rPr>
                <w:rFonts w:ascii="Arial" w:cs="Arial" w:eastAsia="Arial" w:hAnsi="Arial"/>
                <w:sz w:val="17"/>
                <w:szCs w:val="17"/>
                <w:color w:val="auto"/>
              </w:rPr>
              <w:t>December 31, 2015</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27,866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714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27,152</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300" w:hanging="298"/>
        <w:spacing w:after="0"/>
        <w:tabs>
          <w:tab w:leader="none" w:pos="30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Fair Values of Financial Instruments</w:t>
      </w:r>
    </w:p>
    <w:p>
      <w:pPr>
        <w:spacing w:after="0" w:line="23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u w:val="single" w:color="auto"/>
          <w:color w:val="auto"/>
        </w:rPr>
        <w:t>Cash and due from banks and interest bearing deposits</w:t>
      </w:r>
      <w:r>
        <w:rPr>
          <w:rFonts w:ascii="Arial" w:cs="Arial" w:eastAsia="Arial" w:hAnsi="Arial"/>
          <w:sz w:val="17"/>
          <w:szCs w:val="17"/>
          <w:color w:val="auto"/>
        </w:rPr>
        <w:t>: The recorded book balance of cash and due from banks and interest bearing deposits approximate fair value and are classified as Level 1.</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u w:val="single" w:color="auto"/>
          <w:color w:val="auto"/>
        </w:rPr>
        <w:t>Interest bearing deposits - time</w:t>
      </w:r>
      <w:r>
        <w:rPr>
          <w:rFonts w:ascii="Arial" w:cs="Arial" w:eastAsia="Arial" w:hAnsi="Arial"/>
          <w:sz w:val="17"/>
          <w:szCs w:val="17"/>
          <w:color w:val="auto"/>
        </w:rPr>
        <w:t>: Interest bearing deposits - time have been valued based on a model using a benchmark yield curve plus a base spread and are classified as Level 2.</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u w:val="single" w:color="auto"/>
          <w:color w:val="auto"/>
        </w:rPr>
        <w:t>Securities</w:t>
      </w:r>
      <w:r>
        <w:rPr>
          <w:rFonts w:ascii="Arial" w:cs="Arial" w:eastAsia="Arial" w:hAnsi="Arial"/>
          <w:sz w:val="17"/>
          <w:szCs w:val="17"/>
          <w:color w:val="auto"/>
        </w:rPr>
        <w:t>: Financial instrument assets actively traded in a secondary market have been valued using quoted market prices. Trading securities are classified as Level 1 while securities available for sale are classified as Level 2 as described in Note #12.</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u w:val="single" w:color="auto"/>
          <w:color w:val="auto"/>
        </w:rPr>
        <w:t>Federal Home Loan Bank and Federal Reserve Bank Stock</w:t>
      </w:r>
      <w:r>
        <w:rPr>
          <w:rFonts w:ascii="Arial" w:cs="Arial" w:eastAsia="Arial" w:hAnsi="Arial"/>
          <w:sz w:val="17"/>
          <w:szCs w:val="17"/>
          <w:color w:val="auto"/>
        </w:rPr>
        <w:t>: It is not practicable to determine the fair value of FHLB and FRB Stock due to restrictions placed on transferability.</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u w:val="single" w:color="auto"/>
          <w:color w:val="auto"/>
        </w:rPr>
        <w:t>Net loans and loans held for sale</w:t>
      </w:r>
      <w:r>
        <w:rPr>
          <w:rFonts w:ascii="Arial" w:cs="Arial" w:eastAsia="Arial" w:hAnsi="Arial"/>
          <w:sz w:val="17"/>
          <w:szCs w:val="17"/>
          <w:color w:val="auto"/>
        </w:rPr>
        <w:t>: The fair value of loans is calculated by discounting estimated future cash flows using estimated market discount rates that reflect credit and interest-rate risk inherent in the loans and do not necessarily represent an exit price. Loans are classified as Level 3. Impaired loans are valued at the lower of cost or fair value as described in Note #12. Loans held for sale are classified as Level 2 as described in Note #12.</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u w:val="single" w:color="auto"/>
          <w:color w:val="auto"/>
        </w:rPr>
        <w:t>Accrued interest receivable and payable</w:t>
      </w:r>
      <w:r>
        <w:rPr>
          <w:rFonts w:ascii="Arial" w:cs="Arial" w:eastAsia="Arial" w:hAnsi="Arial"/>
          <w:sz w:val="17"/>
          <w:szCs w:val="17"/>
          <w:color w:val="auto"/>
        </w:rPr>
        <w:t>: The recorded book balance of accrued interest receivable and payable approximate fair value and are classified at the same Level as the asset and liability they are associated with.</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u w:val="single" w:color="auto"/>
          <w:color w:val="auto"/>
        </w:rPr>
        <w:t>Derivative financial instruments</w:t>
      </w:r>
      <w:r>
        <w:rPr>
          <w:rFonts w:ascii="Arial" w:cs="Arial" w:eastAsia="Arial" w:hAnsi="Arial"/>
          <w:sz w:val="17"/>
          <w:szCs w:val="17"/>
          <w:color w:val="auto"/>
        </w:rPr>
        <w:t>: The fair value of rate-lock mortgage loan commitments and mandatory commitments to sell mortgage loans is based on mortgage backed security pricing for comparable assets, the fair value of interest rate swap agreements is based on a discounted cash flow analysis whose significant fair value inputs can generally be observed in the market place and do not typically involve judgment by management and the fair value of purchased and written options is based on prices of financial instruments with similar characteristics and do not typically involve judgment by management. Each of these instruments has been classified as Level 2 as described in Note #12.</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u w:val="single" w:color="auto"/>
          <w:color w:val="auto"/>
        </w:rPr>
        <w:t>Deposits</w:t>
      </w:r>
      <w:r>
        <w:rPr>
          <w:rFonts w:ascii="Arial" w:cs="Arial" w:eastAsia="Arial" w:hAnsi="Arial"/>
          <w:sz w:val="17"/>
          <w:szCs w:val="17"/>
          <w:color w:val="auto"/>
        </w:rPr>
        <w:t>: Deposits without a stated maturity, including demand deposits, savings, NOW and money market accounts, have a fair value equal to the amount payable on demand. Each of these instruments is classified as Level 1. Deposits with a stated maturity, such as certificates of deposit have generally been valued based on the discounted value of contractual cash flows using a discount rate approximating current market rates for liabilities with a similar maturity resulting in a Level 2 classification.</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u w:val="single" w:color="auto"/>
          <w:color w:val="auto"/>
        </w:rPr>
        <w:t>Other borrowings</w:t>
      </w:r>
      <w:r>
        <w:rPr>
          <w:rFonts w:ascii="Arial" w:cs="Arial" w:eastAsia="Arial" w:hAnsi="Arial"/>
          <w:sz w:val="17"/>
          <w:szCs w:val="17"/>
          <w:color w:val="auto"/>
        </w:rPr>
        <w:t>: Other borrowings have been valued based on the discounted value of contractual cash flows using a discount rate approximating current market rates for liabilities with a similar maturity resulting in a Level 2 classification.</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u w:val="single" w:color="auto"/>
          <w:color w:val="auto"/>
        </w:rPr>
        <w:t>Subordinated debentures</w:t>
      </w:r>
      <w:r>
        <w:rPr>
          <w:rFonts w:ascii="Arial" w:cs="Arial" w:eastAsia="Arial" w:hAnsi="Arial"/>
          <w:sz w:val="17"/>
          <w:szCs w:val="17"/>
          <w:color w:val="auto"/>
        </w:rPr>
        <w:t>: Subordinated debentures have generally been valued based on a quoted market price of similar instruments resulting in a Level 2 classification.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gridSpan w:val="2"/>
          </w:tcPr>
          <w:p>
            <w:pPr>
              <w:spacing w:after="0"/>
              <w:rPr>
                <w:sz w:val="20"/>
                <w:szCs w:val="20"/>
                <w:color w:val="auto"/>
              </w:rPr>
            </w:pPr>
            <w:r>
              <w:rPr>
                <w:rFonts w:ascii="Arial" w:cs="Arial" w:eastAsia="Arial" w:hAnsi="Arial"/>
                <w:sz w:val="17"/>
                <w:szCs w:val="17"/>
                <w:color w:val="auto"/>
              </w:rPr>
              <w:t>The estimated recorded book balances and fair values follow:</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ind w:left="100"/>
              <w:spacing w:after="0"/>
              <w:rPr>
                <w:sz w:val="20"/>
                <w:szCs w:val="20"/>
                <w:color w:val="auto"/>
              </w:rPr>
            </w:pPr>
            <w:r>
              <w:rPr>
                <w:rFonts w:ascii="Arial" w:cs="Arial" w:eastAsia="Arial" w:hAnsi="Arial"/>
                <w:sz w:val="17"/>
                <w:szCs w:val="17"/>
                <w:color w:val="auto"/>
              </w:rPr>
              <w:t>Fair Value Using</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00"/>
              <w:spacing w:after="0" w:line="191" w:lineRule="exact"/>
              <w:rPr>
                <w:sz w:val="20"/>
                <w:szCs w:val="20"/>
                <w:color w:val="auto"/>
              </w:rPr>
            </w:pPr>
            <w:r>
              <w:rPr>
                <w:rFonts w:ascii="Arial" w:cs="Arial" w:eastAsia="Arial" w:hAnsi="Arial"/>
                <w:sz w:val="17"/>
                <w:szCs w:val="17"/>
                <w:color w:val="auto"/>
                <w:w w:val="89"/>
              </w:rPr>
              <w:t>Quoted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7"/>
                <w:szCs w:val="17"/>
                <w:color w:val="auto"/>
                <w:w w:val="88"/>
              </w:rPr>
              <w:t>Prices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7"/>
                <w:szCs w:val="17"/>
                <w:color w:val="auto"/>
                <w:w w:val="96"/>
              </w:rPr>
              <w:t>in Active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7"/>
                <w:szCs w:val="17"/>
                <w:color w:val="auto"/>
                <w:w w:val="92"/>
              </w:rPr>
              <w:t>Markets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color w:val="auto"/>
                <w:w w:val="94"/>
              </w:rPr>
              <w:t>Significant</w:t>
            </w:r>
          </w:p>
        </w:tc>
        <w:tc>
          <w:tcPr>
            <w:tcW w:w="140" w:type="dxa"/>
            <w:vAlign w:val="bottom"/>
          </w:tcPr>
          <w:p>
            <w:pPr>
              <w:spacing w:after="0"/>
              <w:rPr>
                <w:sz w:val="17"/>
                <w:szCs w:val="17"/>
                <w:color w:val="auto"/>
              </w:rPr>
            </w:pPr>
          </w:p>
        </w:tc>
        <w:tc>
          <w:tcPr>
            <w:tcW w:w="980" w:type="dxa"/>
            <w:vAlign w:val="bottom"/>
          </w:tcPr>
          <w:p>
            <w:pPr>
              <w:jc w:val="center"/>
              <w:ind w:right="75"/>
              <w:spacing w:after="0"/>
              <w:rPr>
                <w:sz w:val="20"/>
                <w:szCs w:val="20"/>
                <w:color w:val="auto"/>
              </w:rPr>
            </w:pPr>
            <w:r>
              <w:rPr>
                <w:rFonts w:ascii="Arial" w:cs="Arial" w:eastAsia="Arial" w:hAnsi="Arial"/>
                <w:sz w:val="17"/>
                <w:szCs w:val="17"/>
                <w:color w:val="auto"/>
                <w:w w:val="94"/>
              </w:rPr>
              <w:t>Significant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7"/>
                <w:szCs w:val="17"/>
                <w:color w:val="auto"/>
              </w:rPr>
              <w:t>for</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color w:val="auto"/>
                <w:w w:val="89"/>
              </w:rPr>
              <w:t>Other</w:t>
            </w:r>
          </w:p>
        </w:tc>
        <w:tc>
          <w:tcPr>
            <w:tcW w:w="140" w:type="dxa"/>
            <w:vAlign w:val="bottom"/>
          </w:tcPr>
          <w:p>
            <w:pPr>
              <w:spacing w:after="0"/>
              <w:rPr>
                <w:sz w:val="17"/>
                <w:szCs w:val="17"/>
                <w:color w:val="auto"/>
              </w:rPr>
            </w:pPr>
          </w:p>
        </w:tc>
        <w:tc>
          <w:tcPr>
            <w:tcW w:w="980" w:type="dxa"/>
            <w:vAlign w:val="bottom"/>
          </w:tcPr>
          <w:p>
            <w:pPr>
              <w:jc w:val="center"/>
              <w:ind w:right="75"/>
              <w:spacing w:after="0"/>
              <w:rPr>
                <w:sz w:val="20"/>
                <w:szCs w:val="20"/>
                <w:color w:val="auto"/>
              </w:rPr>
            </w:pPr>
            <w:r>
              <w:rPr>
                <w:rFonts w:ascii="Arial" w:cs="Arial" w:eastAsia="Arial" w:hAnsi="Arial"/>
                <w:sz w:val="17"/>
                <w:szCs w:val="17"/>
                <w:color w:val="auto"/>
                <w:w w:val="94"/>
              </w:rPr>
              <w:t>Un-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7"/>
                <w:szCs w:val="17"/>
                <w:color w:val="auto"/>
                <w:w w:val="86"/>
              </w:rPr>
              <w:t>Recorded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7"/>
                <w:szCs w:val="17"/>
                <w:color w:val="auto"/>
                <w:w w:val="91"/>
              </w:rPr>
              <w:t>Identical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color w:val="auto"/>
                <w:w w:val="89"/>
              </w:rPr>
              <w:t>Observable</w:t>
            </w:r>
          </w:p>
        </w:tc>
        <w:tc>
          <w:tcPr>
            <w:tcW w:w="140" w:type="dxa"/>
            <w:vAlign w:val="bottom"/>
          </w:tcPr>
          <w:p>
            <w:pPr>
              <w:spacing w:after="0"/>
              <w:rPr>
                <w:sz w:val="17"/>
                <w:szCs w:val="17"/>
                <w:color w:val="auto"/>
              </w:rPr>
            </w:pPr>
          </w:p>
        </w:tc>
        <w:tc>
          <w:tcPr>
            <w:tcW w:w="980" w:type="dxa"/>
            <w:vAlign w:val="bottom"/>
          </w:tcPr>
          <w:p>
            <w:pPr>
              <w:jc w:val="center"/>
              <w:ind w:right="55"/>
              <w:spacing w:after="0"/>
              <w:rPr>
                <w:sz w:val="20"/>
                <w:szCs w:val="20"/>
                <w:color w:val="auto"/>
              </w:rPr>
            </w:pPr>
            <w:r>
              <w:rPr>
                <w:rFonts w:ascii="Arial" w:cs="Arial" w:eastAsia="Arial" w:hAnsi="Arial"/>
                <w:sz w:val="17"/>
                <w:szCs w:val="17"/>
                <w:color w:val="auto"/>
                <w:w w:val="86"/>
              </w:rPr>
              <w:t>observable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7"/>
                <w:szCs w:val="17"/>
                <w:color w:val="auto"/>
                <w:w w:val="92"/>
              </w:rPr>
              <w:t>Book</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7"/>
                <w:szCs w:val="17"/>
                <w:color w:val="auto"/>
                <w:w w:val="86"/>
              </w:rPr>
              <w:t>Assets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color w:val="auto"/>
                <w:w w:val="90"/>
              </w:rPr>
              <w:t>Inputs</w:t>
            </w:r>
          </w:p>
        </w:tc>
        <w:tc>
          <w:tcPr>
            <w:tcW w:w="140" w:type="dxa"/>
            <w:vAlign w:val="bottom"/>
          </w:tcPr>
          <w:p>
            <w:pPr>
              <w:spacing w:after="0"/>
              <w:rPr>
                <w:sz w:val="17"/>
                <w:szCs w:val="17"/>
                <w:color w:val="auto"/>
              </w:rPr>
            </w:pPr>
          </w:p>
        </w:tc>
        <w:tc>
          <w:tcPr>
            <w:tcW w:w="980" w:type="dxa"/>
            <w:vAlign w:val="bottom"/>
          </w:tcPr>
          <w:p>
            <w:pPr>
              <w:jc w:val="center"/>
              <w:ind w:right="75"/>
              <w:spacing w:after="0"/>
              <w:rPr>
                <w:sz w:val="20"/>
                <w:szCs w:val="20"/>
                <w:color w:val="auto"/>
              </w:rPr>
            </w:pPr>
            <w:r>
              <w:rPr>
                <w:rFonts w:ascii="Arial" w:cs="Arial" w:eastAsia="Arial" w:hAnsi="Arial"/>
                <w:sz w:val="17"/>
                <w:szCs w:val="17"/>
                <w:color w:val="auto"/>
                <w:w w:val="90"/>
              </w:rPr>
              <w:t>Inputs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7"/>
                <w:szCs w:val="17"/>
                <w:color w:val="auto"/>
                <w:w w:val="91"/>
              </w:rPr>
              <w:t>Balance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60"/>
              <w:spacing w:after="0"/>
              <w:rPr>
                <w:sz w:val="20"/>
                <w:szCs w:val="20"/>
                <w:color w:val="auto"/>
              </w:rPr>
            </w:pPr>
            <w:r>
              <w:rPr>
                <w:rFonts w:ascii="Arial" w:cs="Arial" w:eastAsia="Arial" w:hAnsi="Arial"/>
                <w:sz w:val="17"/>
                <w:szCs w:val="17"/>
                <w:color w:val="auto"/>
              </w:rPr>
              <w:t>Fair Value</w:t>
            </w:r>
          </w:p>
        </w:tc>
        <w:tc>
          <w:tcPr>
            <w:tcW w:w="18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7"/>
                <w:szCs w:val="17"/>
                <w:color w:val="auto"/>
                <w:w w:val="93"/>
              </w:rPr>
              <w:t>(Level 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color w:val="auto"/>
                <w:w w:val="93"/>
              </w:rPr>
              <w:t>(Level 2)</w:t>
            </w:r>
          </w:p>
        </w:tc>
        <w:tc>
          <w:tcPr>
            <w:tcW w:w="140" w:type="dxa"/>
            <w:vAlign w:val="bottom"/>
          </w:tcPr>
          <w:p>
            <w:pPr>
              <w:spacing w:after="0"/>
              <w:rPr>
                <w:sz w:val="19"/>
                <w:szCs w:val="19"/>
                <w:color w:val="auto"/>
              </w:rPr>
            </w:pPr>
          </w:p>
        </w:tc>
        <w:tc>
          <w:tcPr>
            <w:tcW w:w="980" w:type="dxa"/>
            <w:vAlign w:val="bottom"/>
          </w:tcPr>
          <w:p>
            <w:pPr>
              <w:jc w:val="center"/>
              <w:ind w:right="55"/>
              <w:spacing w:after="0"/>
              <w:rPr>
                <w:sz w:val="20"/>
                <w:szCs w:val="20"/>
                <w:color w:val="auto"/>
              </w:rPr>
            </w:pPr>
            <w:r>
              <w:rPr>
                <w:rFonts w:ascii="Arial" w:cs="Arial" w:eastAsia="Arial" w:hAnsi="Arial"/>
                <w:sz w:val="17"/>
                <w:szCs w:val="17"/>
                <w:color w:val="auto"/>
                <w:w w:val="96"/>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80" w:type="dxa"/>
            <w:vAlign w:val="bottom"/>
            <w:gridSpan w:val="2"/>
            <w:vMerge w:val="restart"/>
          </w:tcPr>
          <w:p>
            <w:pPr>
              <w:spacing w:after="0"/>
              <w:rPr>
                <w:sz w:val="20"/>
                <w:szCs w:val="20"/>
                <w:color w:val="auto"/>
              </w:rPr>
            </w:pPr>
            <w:r>
              <w:rPr>
                <w:rFonts w:ascii="Arial" w:cs="Arial" w:eastAsia="Arial" w:hAnsi="Arial"/>
                <w:sz w:val="17"/>
                <w:szCs w:val="17"/>
                <w:color w:val="auto"/>
              </w:rPr>
              <w:t>June 30, 2016</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7"/>
                <w:szCs w:val="17"/>
                <w:color w:val="auto"/>
                <w:w w:val="90"/>
              </w:rPr>
              <w:t>(In thousands)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6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40"/>
              <w:spacing w:after="0"/>
              <w:rPr>
                <w:sz w:val="20"/>
                <w:szCs w:val="20"/>
                <w:color w:val="auto"/>
              </w:rPr>
            </w:pPr>
            <w:r>
              <w:rPr>
                <w:rFonts w:ascii="Arial" w:cs="Arial" w:eastAsia="Arial" w:hAnsi="Arial"/>
                <w:sz w:val="17"/>
                <w:szCs w:val="17"/>
                <w:color w:val="auto"/>
              </w:rPr>
              <w:t>Assets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Cash and due from banks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34,542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34,542</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34,542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280"/>
              <w:spacing w:after="0"/>
              <w:rPr>
                <w:sz w:val="20"/>
                <w:szCs w:val="20"/>
                <w:color w:val="auto"/>
              </w:rPr>
            </w:pPr>
            <w:r>
              <w:rPr>
                <w:rFonts w:ascii="Arial" w:cs="Arial" w:eastAsia="Arial" w:hAnsi="Arial"/>
                <w:sz w:val="17"/>
                <w:szCs w:val="17"/>
                <w:color w:val="auto"/>
              </w:rPr>
              <w:t>Interest bearing deposits</w:t>
            </w: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26,488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26,488</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26,488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Interest bearing deposits - time</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8,560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8,600</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8,600</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280"/>
              <w:spacing w:after="0"/>
              <w:rPr>
                <w:sz w:val="20"/>
                <w:szCs w:val="20"/>
                <w:color w:val="auto"/>
              </w:rPr>
            </w:pPr>
            <w:r>
              <w:rPr>
                <w:rFonts w:ascii="Arial" w:cs="Arial" w:eastAsia="Arial" w:hAnsi="Arial"/>
                <w:sz w:val="17"/>
                <w:szCs w:val="17"/>
                <w:color w:val="auto"/>
              </w:rPr>
              <w:t>Trading securities</w:t>
            </w: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212</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212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Securities available for sale</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599,755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599,755</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599,755</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280"/>
              <w:spacing w:after="0"/>
              <w:rPr>
                <w:sz w:val="20"/>
                <w:szCs w:val="20"/>
                <w:color w:val="auto"/>
              </w:rPr>
            </w:pPr>
            <w:r>
              <w:rPr>
                <w:rFonts w:ascii="Arial" w:cs="Arial" w:eastAsia="Arial" w:hAnsi="Arial"/>
                <w:sz w:val="17"/>
                <w:szCs w:val="17"/>
                <w:color w:val="auto"/>
              </w:rPr>
              <w:t>Federal Home Loan Bank and Federal</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Reserve Bank Stock</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15,229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NA</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NA</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NA</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NA</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280"/>
              <w:spacing w:after="0"/>
              <w:rPr>
                <w:sz w:val="20"/>
                <w:szCs w:val="20"/>
                <w:color w:val="auto"/>
              </w:rPr>
            </w:pPr>
            <w:r>
              <w:rPr>
                <w:rFonts w:ascii="Arial" w:cs="Arial" w:eastAsia="Arial" w:hAnsi="Arial"/>
                <w:sz w:val="17"/>
                <w:szCs w:val="17"/>
                <w:color w:val="auto"/>
              </w:rPr>
              <w:t>Net loans and loans held for sale</w:t>
            </w: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1,591,123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1,566,760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31,713</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1,535,047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Accrued interest receivable</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6,767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6,767</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2,178</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280"/>
              <w:spacing w:after="0"/>
              <w:rPr>
                <w:sz w:val="20"/>
                <w:szCs w:val="20"/>
                <w:color w:val="auto"/>
              </w:rPr>
            </w:pPr>
            <w:r>
              <w:rPr>
                <w:rFonts w:ascii="Arial" w:cs="Arial" w:eastAsia="Arial" w:hAnsi="Arial"/>
                <w:sz w:val="17"/>
                <w:szCs w:val="17"/>
                <w:color w:val="auto"/>
              </w:rPr>
              <w:t>Derivative financial instruments</w:t>
            </w: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3,307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3,307</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3,307</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140"/>
              <w:spacing w:after="0"/>
              <w:rPr>
                <w:sz w:val="20"/>
                <w:szCs w:val="20"/>
                <w:color w:val="auto"/>
              </w:rPr>
            </w:pPr>
            <w:r>
              <w:rPr>
                <w:rFonts w:ascii="Arial" w:cs="Arial" w:eastAsia="Arial" w:hAnsi="Arial"/>
                <w:sz w:val="17"/>
                <w:szCs w:val="17"/>
                <w:color w:val="auto"/>
              </w:rPr>
              <w:t>Liabilities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Deposits with no stated maturity (1)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1,687,965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1,687,965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1,687,965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280"/>
              <w:spacing w:after="0"/>
              <w:rPr>
                <w:sz w:val="20"/>
                <w:szCs w:val="20"/>
                <w:color w:val="auto"/>
              </w:rPr>
            </w:pPr>
            <w:r>
              <w:rPr>
                <w:rFonts w:ascii="Arial" w:cs="Arial" w:eastAsia="Arial" w:hAnsi="Arial"/>
                <w:sz w:val="17"/>
                <w:szCs w:val="17"/>
                <w:color w:val="auto"/>
              </w:rPr>
              <w:t>Deposits with stated maturity (1)</w:t>
            </w: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440,327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439,916</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439,916</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Other borrowings</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11,797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13,152</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13,152</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280"/>
              <w:spacing w:after="0"/>
              <w:rPr>
                <w:sz w:val="20"/>
                <w:szCs w:val="20"/>
                <w:color w:val="auto"/>
              </w:rPr>
            </w:pPr>
            <w:r>
              <w:rPr>
                <w:rFonts w:ascii="Arial" w:cs="Arial" w:eastAsia="Arial" w:hAnsi="Arial"/>
                <w:sz w:val="17"/>
                <w:szCs w:val="17"/>
                <w:color w:val="auto"/>
              </w:rPr>
              <w:t>Subordinated debentures</w:t>
            </w: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35,569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22,445</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22,445</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Accrued interest payable</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536</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518</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280"/>
              <w:spacing w:after="0"/>
              <w:rPr>
                <w:sz w:val="20"/>
                <w:szCs w:val="20"/>
                <w:color w:val="auto"/>
              </w:rPr>
            </w:pPr>
            <w:r>
              <w:rPr>
                <w:rFonts w:ascii="Arial" w:cs="Arial" w:eastAsia="Arial" w:hAnsi="Arial"/>
                <w:sz w:val="17"/>
                <w:szCs w:val="17"/>
                <w:color w:val="auto"/>
              </w:rPr>
              <w:t>Derivative financial instruments</w:t>
            </w: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2,785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2,785</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2,785</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December 31, 2015</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Assets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280"/>
              <w:spacing w:after="0"/>
              <w:rPr>
                <w:sz w:val="20"/>
                <w:szCs w:val="20"/>
                <w:color w:val="auto"/>
              </w:rPr>
            </w:pPr>
            <w:r>
              <w:rPr>
                <w:rFonts w:ascii="Arial" w:cs="Arial" w:eastAsia="Arial" w:hAnsi="Arial"/>
                <w:sz w:val="17"/>
                <w:szCs w:val="17"/>
                <w:color w:val="auto"/>
              </w:rPr>
              <w:t>Cash and due from banks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54,260</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54,260</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54,260</w:t>
            </w:r>
          </w:p>
        </w:tc>
        <w:tc>
          <w:tcPr>
            <w:tcW w:w="2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Interest bearing deposits</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31,523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31,523</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31,523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280"/>
              <w:spacing w:after="0"/>
              <w:rPr>
                <w:sz w:val="20"/>
                <w:szCs w:val="20"/>
                <w:color w:val="auto"/>
              </w:rPr>
            </w:pPr>
            <w:r>
              <w:rPr>
                <w:rFonts w:ascii="Arial" w:cs="Arial" w:eastAsia="Arial" w:hAnsi="Arial"/>
                <w:sz w:val="17"/>
                <w:szCs w:val="17"/>
                <w:color w:val="auto"/>
              </w:rPr>
              <w:t>Interest bearing deposits - time</w:t>
            </w: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11,866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11,858</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11,858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Trading securities</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148</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280"/>
              <w:spacing w:after="0"/>
              <w:rPr>
                <w:sz w:val="20"/>
                <w:szCs w:val="20"/>
                <w:color w:val="auto"/>
              </w:rPr>
            </w:pPr>
            <w:r>
              <w:rPr>
                <w:rFonts w:ascii="Arial" w:cs="Arial" w:eastAsia="Arial" w:hAnsi="Arial"/>
                <w:sz w:val="17"/>
                <w:szCs w:val="17"/>
                <w:color w:val="auto"/>
              </w:rPr>
              <w:t>Securities available for sale</w:t>
            </w: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585,484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585,484</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585,484</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Federal Home Loan Bank and Federal</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440"/>
              <w:spacing w:after="0"/>
              <w:rPr>
                <w:sz w:val="20"/>
                <w:szCs w:val="20"/>
                <w:color w:val="auto"/>
              </w:rPr>
            </w:pPr>
            <w:r>
              <w:rPr>
                <w:rFonts w:ascii="Arial" w:cs="Arial" w:eastAsia="Arial" w:hAnsi="Arial"/>
                <w:sz w:val="17"/>
                <w:szCs w:val="17"/>
                <w:color w:val="auto"/>
              </w:rPr>
              <w:t>Reserve Bank Stock</w:t>
            </w: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15,471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ind w:left="360"/>
              <w:spacing w:after="0"/>
              <w:rPr>
                <w:sz w:val="20"/>
                <w:szCs w:val="20"/>
                <w:color w:val="auto"/>
              </w:rPr>
            </w:pPr>
            <w:r>
              <w:rPr>
                <w:rFonts w:ascii="Arial" w:cs="Arial" w:eastAsia="Arial" w:hAnsi="Arial"/>
                <w:sz w:val="17"/>
                <w:szCs w:val="17"/>
                <w:color w:val="auto"/>
              </w:rPr>
              <w:t>NA</w:t>
            </w:r>
          </w:p>
        </w:tc>
        <w:tc>
          <w:tcPr>
            <w:tcW w:w="18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7"/>
                <w:szCs w:val="17"/>
                <w:color w:val="auto"/>
              </w:rPr>
              <w:t>NA</w:t>
            </w:r>
          </w:p>
        </w:tc>
        <w:tc>
          <w:tcPr>
            <w:tcW w:w="140" w:type="dxa"/>
            <w:vAlign w:val="bottom"/>
          </w:tcPr>
          <w:p>
            <w:pPr>
              <w:spacing w:after="0"/>
              <w:rPr>
                <w:sz w:val="17"/>
                <w:szCs w:val="17"/>
                <w:color w:val="auto"/>
              </w:rPr>
            </w:pPr>
          </w:p>
        </w:tc>
        <w:tc>
          <w:tcPr>
            <w:tcW w:w="980" w:type="dxa"/>
            <w:vAlign w:val="bottom"/>
          </w:tcPr>
          <w:p>
            <w:pPr>
              <w:jc w:val="right"/>
              <w:ind w:right="295"/>
              <w:spacing w:after="0"/>
              <w:rPr>
                <w:sz w:val="20"/>
                <w:szCs w:val="20"/>
                <w:color w:val="auto"/>
              </w:rPr>
            </w:pPr>
            <w:r>
              <w:rPr>
                <w:rFonts w:ascii="Arial" w:cs="Arial" w:eastAsia="Arial" w:hAnsi="Arial"/>
                <w:sz w:val="17"/>
                <w:szCs w:val="17"/>
                <w:color w:val="auto"/>
              </w:rPr>
              <w:t>NA</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Net loans and loans held for sale</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1,520,346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1,472,613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27,866</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1,444,747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280"/>
              <w:spacing w:after="0"/>
              <w:rPr>
                <w:sz w:val="20"/>
                <w:szCs w:val="20"/>
                <w:color w:val="auto"/>
              </w:rPr>
            </w:pPr>
            <w:r>
              <w:rPr>
                <w:rFonts w:ascii="Arial" w:cs="Arial" w:eastAsia="Arial" w:hAnsi="Arial"/>
                <w:sz w:val="17"/>
                <w:szCs w:val="17"/>
                <w:color w:val="auto"/>
              </w:rPr>
              <w:t>Accrued interest receivable</w:t>
            </w: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6,565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6,565</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1,969</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4,591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Derivative financial instruments</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1,238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1,238</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1,238</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Liabilities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280"/>
              <w:spacing w:after="0"/>
              <w:rPr>
                <w:sz w:val="20"/>
                <w:szCs w:val="20"/>
                <w:color w:val="auto"/>
              </w:rPr>
            </w:pPr>
            <w:r>
              <w:rPr>
                <w:rFonts w:ascii="Arial" w:cs="Arial" w:eastAsia="Arial" w:hAnsi="Arial"/>
                <w:sz w:val="17"/>
                <w:szCs w:val="17"/>
                <w:color w:val="auto"/>
              </w:rPr>
              <w:t>Deposits with no stated maturity (1)</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1,659,743</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1,659,743</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1,659,743</w:t>
            </w:r>
          </w:p>
        </w:tc>
        <w:tc>
          <w:tcPr>
            <w:tcW w:w="2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Deposits with stated maturity (1)</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426,220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423,776</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423,776</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280"/>
              <w:spacing w:after="0"/>
              <w:rPr>
                <w:sz w:val="20"/>
                <w:szCs w:val="20"/>
                <w:color w:val="auto"/>
              </w:rPr>
            </w:pPr>
            <w:r>
              <w:rPr>
                <w:rFonts w:ascii="Arial" w:cs="Arial" w:eastAsia="Arial" w:hAnsi="Arial"/>
                <w:sz w:val="17"/>
                <w:szCs w:val="17"/>
                <w:color w:val="auto"/>
              </w:rPr>
              <w:t>Other borrowings</w:t>
            </w: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11,954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13,448</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13,448</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Subordinated debentures</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35,569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23,069</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23,069</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280"/>
              <w:spacing w:after="0"/>
              <w:rPr>
                <w:sz w:val="20"/>
                <w:szCs w:val="20"/>
                <w:color w:val="auto"/>
              </w:rPr>
            </w:pPr>
            <w:r>
              <w:rPr>
                <w:rFonts w:ascii="Arial" w:cs="Arial" w:eastAsia="Arial" w:hAnsi="Arial"/>
                <w:sz w:val="17"/>
                <w:szCs w:val="17"/>
                <w:color w:val="auto"/>
              </w:rPr>
              <w:t>Accrued interest payable</w:t>
            </w: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466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466</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445</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Derivative financial instruments</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619</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619</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ind w:left="300" w:hanging="298"/>
        <w:spacing w:after="0" w:line="262" w:lineRule="auto"/>
        <w:tabs>
          <w:tab w:leader="none" w:pos="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Deposits with no stated maturity include reciprocal deposits with a recorded book balance of $12.4 million and $11.8 million at June 30, 2016 and December 31, 2015, respectively. Deposits with a stated maturity include reciprocal deposits with a recorded book balance of $37.0 million and $38.4 million at June 30, 2016 and December 31, 2015, respectively.</w:t>
      </w:r>
    </w:p>
    <w:p>
      <w:pPr>
        <w:spacing w:after="0" w:line="200"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fair values for commitments to extend credit and standby letters of credit are estimated to approximate their aggregate book balance, which is nominal and therefore are not disclosed.</w:t>
      </w:r>
    </w:p>
    <w:p>
      <w:pPr>
        <w:sectPr>
          <w:pgSz w:w="11900" w:h="16838" w:orient="portrait"/>
          <w:cols w:equalWidth="0" w:num="1">
            <w:col w:w="11420"/>
          </w:cols>
          <w:pgMar w:left="240" w:top="121" w:right="239"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45085</wp:posOffset>
            </wp:positionV>
            <wp:extent cx="725424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168"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190" w:lineRule="exact"/>
        <w:rPr>
          <w:sz w:val="20"/>
          <w:szCs w:val="20"/>
          <w:color w:val="auto"/>
        </w:rPr>
      </w:pPr>
    </w:p>
    <w:p>
      <w:pPr>
        <w:ind w:left="300" w:hanging="298"/>
        <w:spacing w:after="0"/>
        <w:tabs>
          <w:tab w:leader="none" w:pos="30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Contingent Liabilities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approximately $1.0 million. However, because of a number of factors, including the fact that certain of these litigation matters are still in their early stages, this maximum amount may change in the future.</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or vehicle service contract counterparty receivables).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Our Mepco segment conducts its payment plan business activities across the United States. Mepco acquires the payment plans from companies (which we refer to as Mepco’s “counterparties”) at a discount from the face amount of the payment plan. Each payment plan (which are classified as payment plan receivables in our Condensed Consolidated Statements of Financial Condition) permits a consumer to purchase a vehicle service contract by making installment payments, generally for a term of 12 to 24 months, to the sellers of those contracts (one of the “counterparties”). Mepco thereafter collects the payments from consumers. In acquiring the payment plan, Mepco generally funds a portion of the cost to the seller of the service contract and a portion of the cost to the administrator of the service contract. The administrator, in turn, pays the necessary contractual liability insurance policy (“CLIP”) premium to the insurer or risk retention group.</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Consumers are allowed to voluntarily cancel the service contract at any time and are generally entitled to receive a refund from the administrator of the unearned portion of the service contract at the time of cancellation. As a result, while Mepco does not owe any refund to the consumer, it also does not have any recourse against the consumer for nonpayment of a payment plan and therefore does not evaluate the creditworthiness of the individual consumer. If a consumer stops making payments on a payment plan or exercises the right to voluntarily cancel the service contract, the service contract seller and administrator are each obligated to refund to Mepco the amount necessary to make Mepco whole as a result of its funding of the service contract. In addition, the insurer or risk retention group that issued the CLIP for the service contract often guarantees all or a portion of the refund to Mepco. See Note #4 above for a breakdown of Mepco’s payment plan receivables by the level of recourse Mepco has against various counterparties.</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Upon the cancellation of a service contract and the completion of the billing process to the counterparties for amounts due to Mepco, there is a decrease in the amount of “payment plan receivables” and an increase in the amount of “vehicle service contract counterparty receivables” until such time as the amount due from the counterparty is collected. These amounts represent funds actually due to Mepco from its counterparties for cancelled service contracts. Mepco is currently in the process of working to recover these receivables, primarily through negotiated settlements with the counterparties. In some cases, Mepco requires collateral or guaranties by the principals of the counterparties to secure these refund obligations; however, this is generally only the case when no insurance company is involved to guarantee the repayment obligation of the seller and administrator counterparties. In most cases, there is no collateral to secure the counterparties’ refund obligations to Mepco, but Mepco has the contractual right to offset unpaid refund obligations against amounts Mepco would otherwise be obligated to fund to the counterparties. In addition, even when collateral is involved, the refund obligations of these counterparties are not fully secured. Mepco incurs losses when it is unable to fully recover funds owing to it by counterparties upon cancellation of the underlying service contracts. The sudden failure of one of Mepco’s major counterparties (an insurance company, administrator, or seller/dealer) could expose us to significant losses.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When counterparties do not honor their contractual obligations to Mepco to repay funds, we recognize estimated losses. Mepco pursues collection (including commencing legal action if necessary) of funds due to it under its various contracts with counterparties. Mepco has had to initiate litigation against certain counterparties, including third party insurers, to collect amounts owed to Mepco as a result of those parties’ dispute of their contractual obligations to Mepco. During the first quarter of 2016, we settled our last significant remaining litigation matter with certain of Mepco’s counterparties. This settlement resulted in our receipt of a cash payment of $4.0 million and reduced vehicle service contract counterparty receivables, net which totaled $3.0 million as of June 30, 2016 compared to $7.2 million as of December 31, 2015. This settlement also resulted in our receipt of an interest-bearing promissory note from one of Mepco’s counterparties for $1.5 million with monthly payments scheduled over a five-year period beginning in May 2016. Due to the lack of any payment history and limited financial information on this counterparty, we established a full reserve on this promissory note as of March 31, 2016. A full reserve on the remaining balance ($1.45 million) on this note was maintained at June 30, 2016. This counterparty has made the first three required monthly payments on the note. As a longer-term payment history is developed on this note, we will continue to evaluate the need for all or any part of a reserve. Expense/(credit) related to vehicle service contract counterparty contingencies included in non-interest expense totaled $(0.001) million and $0.030 million for the three month periods ended June 30, 2016 and 2015, respectively and totaled $0.029 million and $0.059 million for the six month periods ended June 30, 2016 and 2015, respectively. These charges (recoveries) are being classified in non-interest expense because they are associated with a default or potential default of a contractual obligation under our counterparty contracts as opposed to loss on the administration of the payment plan itself.</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estimate of probable incurred losses from vehicle service contract counterparty contingencies requires a significant amount of judgment because a number of factors can influence the amount of loss that we may ultimately incur. These factors include our estimate of future cancellations of vehicle service contracts, our evaluation of collateral that may be available to recover funds due from our counterparties, and our assessment of the amount that may ultimately be collected from counterparties in connection with their contractual obligations. We apply a rigorous process, based upon historical payment plan activity and past experience, to estimate probable incurred losses and quantify the necessary reserves for our vehicle service contract counterparty contingencies, but there can be no assurance that our modeling process will successfully identify all such losses.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believe our assumptions regarding the collection of vehicle service contract counterparty receivables are reasonable, and we based them on our good faith judgments using data currently available. We also believe the current amount of reserves we have established and the vehicle service contract counterparty contingencies expense that we have recorded are appropriate given our estimate of probable incurred losses at the applicable Condensed Consolidated Statement of Financial Condition date. However, because of the uncertainty surrounding the numerous and complex assumptions made, actual losses could exceed the charges we have taken to date.</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provision for loss reimbursement on sold loans represents our estimate of incurred losses related to mortgage loans that we have sold to investors (primarily Fannie Mae, Freddie Mac and Ginnie Mae). Since we sell mortgage loans without recourse, loss reimbursements only occur in those instances where we have breached a representation or warranty or other contractual requirement related to the loan sale. The provision for loss reimbursement on sold loans was an expense of zero and $0.05 million for the three months ended June 30, 2016 and 2015, respectively and a credit of $0.02 million for both six month periods ended June 30, 2016 and 2015, respectively. The credit provision for each six month period is due primarily to the settlement of certain loss reimbursement claims at slightly lower amounts than what had been specifically reserved for previously. The reserve for loss reimbursements on sold mortgage loans totaled $0.5 million at both June 30, 2016 and December 31, 2015. This reserve is included in accrued expenses and other liabilities in our Condensed Consolidated Statements of Financial Condition. This reserve is based on an analysis of mortgage loans that we have sold which are further categorized by delinquency status, loan to value, and year of origination. The calculation includes factors such as probability of default, probability of loss reimbursement (breach of representation or warranty) and estimated loss severity. The reserve levels at June 30, 2016 and December 31, 2015 also reflect the resolution of the mortgage loan origination years of 2000 to 2008 with Fannie Mae and Freddie Mac. We believe that the amounts that we have accrued for incurred losses on sold mortgage loans are appropriate given our analyses. However, future losses could exceed our current estimate.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gridSpan w:val="4"/>
          </w:tcPr>
          <w:p>
            <w:pPr>
              <w:spacing w:after="0"/>
              <w:rPr>
                <w:sz w:val="20"/>
                <w:szCs w:val="20"/>
                <w:color w:val="auto"/>
              </w:rPr>
            </w:pPr>
            <w:r>
              <w:rPr>
                <w:rFonts w:ascii="Arial" w:cs="Arial" w:eastAsia="Arial" w:hAnsi="Arial"/>
                <w:sz w:val="17"/>
                <w:szCs w:val="17"/>
                <w:color w:val="auto"/>
              </w:rPr>
              <w:t>15. Accumulated Other Comprehensive Loss (“AOCL”)</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7440" w:type="dxa"/>
            <w:vAlign w:val="bottom"/>
            <w:gridSpan w:val="4"/>
          </w:tcPr>
          <w:p>
            <w:pPr>
              <w:spacing w:after="0"/>
              <w:rPr>
                <w:sz w:val="20"/>
                <w:szCs w:val="20"/>
                <w:color w:val="auto"/>
              </w:rPr>
            </w:pPr>
            <w:r>
              <w:rPr>
                <w:rFonts w:ascii="Arial" w:cs="Arial" w:eastAsia="Arial" w:hAnsi="Arial"/>
                <w:sz w:val="17"/>
                <w:szCs w:val="17"/>
                <w:color w:val="auto"/>
              </w:rPr>
              <w:t>A summary of changes in AOCL follows: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7"/>
                <w:szCs w:val="17"/>
                <w:color w:val="auto"/>
                <w:w w:val="93"/>
              </w:rPr>
              <w:t>Dispropor-</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7"/>
                <w:szCs w:val="17"/>
                <w:color w:val="auto"/>
                <w:w w:val="91"/>
              </w:rPr>
              <w:t>Unrealized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color w:val="auto"/>
                <w:w w:val="90"/>
              </w:rPr>
              <w:t>tionate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Gains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color w:val="auto"/>
                <w:w w:val="91"/>
              </w:rPr>
              <w:t>Tax Effects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7"/>
                <w:szCs w:val="17"/>
                <w:color w:val="auto"/>
                <w:w w:val="87"/>
              </w:rPr>
              <w:t>(Losses) 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color w:val="auto"/>
                <w:w w:val="99"/>
              </w:rPr>
              <w:t>from</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7"/>
                <w:szCs w:val="17"/>
                <w:color w:val="auto"/>
                <w:w w:val="88"/>
              </w:rPr>
              <w:t>Securities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color w:val="auto"/>
                <w:w w:val="88"/>
              </w:rPr>
              <w:t>Securities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7"/>
                <w:szCs w:val="17"/>
                <w:color w:val="auto"/>
                <w:w w:val="95"/>
              </w:rPr>
              <w:t>Available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color w:val="auto"/>
                <w:w w:val="95"/>
              </w:rPr>
              <w:t>Available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7"/>
                <w:szCs w:val="17"/>
                <w:color w:val="auto"/>
                <w:w w:val="92"/>
              </w:rPr>
              <w:t>for Sale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color w:val="auto"/>
                <w:w w:val="92"/>
              </w:rPr>
              <w:t>for Sale</w:t>
            </w:r>
          </w:p>
        </w:tc>
        <w:tc>
          <w:tcPr>
            <w:tcW w:w="24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191"/>
        </w:trPr>
        <w:tc>
          <w:tcPr>
            <w:tcW w:w="7440" w:type="dxa"/>
            <w:vAlign w:val="bottom"/>
            <w:gridSpan w:val="4"/>
          </w:tcPr>
          <w:p>
            <w:pPr>
              <w:spacing w:after="0" w:line="191" w:lineRule="exact"/>
              <w:rPr>
                <w:sz w:val="20"/>
                <w:szCs w:val="20"/>
                <w:color w:val="auto"/>
              </w:rPr>
            </w:pPr>
            <w:r>
              <w:rPr>
                <w:rFonts w:ascii="Arial" w:cs="Arial" w:eastAsia="Arial" w:hAnsi="Arial"/>
                <w:sz w:val="17"/>
                <w:szCs w:val="17"/>
                <w:color w:val="auto"/>
              </w:rPr>
              <w:t>For the three months ended June 30,</w:t>
            </w: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80" w:type="dxa"/>
            <w:vAlign w:val="bottom"/>
            <w:gridSpan w:val="3"/>
          </w:tcPr>
          <w:p>
            <w:pPr>
              <w:jc w:val="right"/>
              <w:ind w:right="3295"/>
              <w:spacing w:after="0"/>
              <w:rPr>
                <w:sz w:val="20"/>
                <w:szCs w:val="20"/>
                <w:color w:val="auto"/>
              </w:rPr>
            </w:pPr>
            <w:r>
              <w:rPr>
                <w:rFonts w:ascii="Arial" w:cs="Arial" w:eastAsia="Arial" w:hAnsi="Arial"/>
                <w:sz w:val="17"/>
                <w:szCs w:val="17"/>
                <w:color w:val="auto"/>
              </w:rPr>
              <w:t>2016</w:t>
            </w: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Balances at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999</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(5,798)</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(4,799)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40" w:type="dxa"/>
            <w:vAlign w:val="bottom"/>
            <w:gridSpan w:val="2"/>
          </w:tcPr>
          <w:p>
            <w:pPr>
              <w:ind w:left="160"/>
              <w:spacing w:after="0"/>
              <w:rPr>
                <w:sz w:val="20"/>
                <w:szCs w:val="20"/>
                <w:color w:val="auto"/>
              </w:rPr>
            </w:pPr>
            <w:r>
              <w:rPr>
                <w:rFonts w:ascii="Arial" w:cs="Arial" w:eastAsia="Arial" w:hAnsi="Arial"/>
                <w:sz w:val="17"/>
                <w:szCs w:val="17"/>
                <w:color w:val="auto"/>
              </w:rPr>
              <w:t>Other comprehensive income before reclassifications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1,588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Amounts reclassified from AOCL</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140" w:type="dxa"/>
            <w:vAlign w:val="bottom"/>
            <w:tcBorders>
              <w:top w:val="single" w:sz="8" w:color="CCEEFF"/>
            </w:tcBorders>
            <w:gridSpan w:val="2"/>
          </w:tcPr>
          <w:p>
            <w:pPr>
              <w:ind w:left="320"/>
              <w:spacing w:after="0"/>
              <w:rPr>
                <w:sz w:val="20"/>
                <w:szCs w:val="20"/>
                <w:color w:val="auto"/>
              </w:rPr>
            </w:pPr>
            <w:r>
              <w:rPr>
                <w:rFonts w:ascii="Arial" w:cs="Arial" w:eastAsia="Arial" w:hAnsi="Arial"/>
                <w:sz w:val="17"/>
                <w:szCs w:val="17"/>
                <w:color w:val="auto"/>
              </w:rPr>
              <w:t>Net current period other comprehensive income</w:t>
            </w: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1,516</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1,516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Balances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(5,798)</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860" w:type="dxa"/>
            <w:vAlign w:val="bottom"/>
            <w:gridSpan w:val="2"/>
            <w:shd w:val="clear" w:color="auto" w:fill="CCEEFF"/>
          </w:tcPr>
          <w:p>
            <w:pPr>
              <w:jc w:val="right"/>
              <w:ind w:right="3295"/>
              <w:spacing w:after="0"/>
              <w:rPr>
                <w:sz w:val="20"/>
                <w:szCs w:val="20"/>
                <w:color w:val="auto"/>
              </w:rPr>
            </w:pPr>
            <w:r>
              <w:rPr>
                <w:rFonts w:ascii="Arial" w:cs="Arial" w:eastAsia="Arial" w:hAnsi="Arial"/>
                <w:sz w:val="17"/>
                <w:szCs w:val="17"/>
                <w:color w:val="auto"/>
              </w:rPr>
              <w:t>2015</w:t>
            </w:r>
          </w:p>
        </w:tc>
        <w:tc>
          <w:tcPr>
            <w:tcW w:w="3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40" w:type="dxa"/>
            <w:vAlign w:val="bottom"/>
            <w:gridSpan w:val="2"/>
          </w:tcPr>
          <w:p>
            <w:pPr>
              <w:spacing w:after="0"/>
              <w:rPr>
                <w:sz w:val="20"/>
                <w:szCs w:val="20"/>
                <w:color w:val="auto"/>
              </w:rPr>
            </w:pPr>
            <w:r>
              <w:rPr>
                <w:rFonts w:ascii="Arial" w:cs="Arial" w:eastAsia="Arial" w:hAnsi="Arial"/>
                <w:sz w:val="17"/>
                <w:szCs w:val="17"/>
                <w:color w:val="auto"/>
              </w:rPr>
              <w:t>Balances at beginning of period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1,596</w:t>
            </w:r>
          </w:p>
        </w:tc>
        <w:tc>
          <w:tcPr>
            <w:tcW w:w="1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(5,798)</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(4,202)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1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Other comprehensive income (loss) before reclassifications</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(1,188)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140" w:type="dxa"/>
            <w:vAlign w:val="bottom"/>
            <w:gridSpan w:val="2"/>
          </w:tcPr>
          <w:p>
            <w:pPr>
              <w:ind w:left="160"/>
              <w:spacing w:after="0"/>
              <w:rPr>
                <w:sz w:val="20"/>
                <w:szCs w:val="20"/>
                <w:color w:val="auto"/>
              </w:rPr>
            </w:pPr>
            <w:r>
              <w:rPr>
                <w:rFonts w:ascii="Arial" w:cs="Arial" w:eastAsia="Arial" w:hAnsi="Arial"/>
                <w:sz w:val="17"/>
                <w:szCs w:val="17"/>
                <w:color w:val="auto"/>
              </w:rPr>
              <w:t>Amounts reclassified from AOCL</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1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Net current period other comprehensive income (loss)</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40" w:type="dxa"/>
            <w:vAlign w:val="bottom"/>
            <w:gridSpan w:val="2"/>
          </w:tcPr>
          <w:p>
            <w:pPr>
              <w:spacing w:after="0"/>
              <w:rPr>
                <w:sz w:val="20"/>
                <w:szCs w:val="20"/>
                <w:color w:val="auto"/>
              </w:rPr>
            </w:pPr>
            <w:r>
              <w:rPr>
                <w:rFonts w:ascii="Arial" w:cs="Arial" w:eastAsia="Arial" w:hAnsi="Arial"/>
                <w:sz w:val="17"/>
                <w:szCs w:val="17"/>
                <w:color w:val="auto"/>
              </w:rPr>
              <w:t>Balances at end of period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408</w:t>
            </w:r>
          </w:p>
        </w:tc>
        <w:tc>
          <w:tcPr>
            <w:tcW w:w="1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(5,798)</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(5,390)</w:t>
            </w: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580" w:type="dxa"/>
            <w:vAlign w:val="bottom"/>
            <w:shd w:val="clear" w:color="auto" w:fill="CCEEFF"/>
          </w:tcPr>
          <w:p>
            <w:pPr>
              <w:spacing w:after="0"/>
              <w:rPr>
                <w:sz w:val="16"/>
                <w:szCs w:val="16"/>
                <w:color w:val="auto"/>
              </w:rPr>
            </w:pPr>
          </w:p>
        </w:tc>
        <w:tc>
          <w:tcPr>
            <w:tcW w:w="3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420" w:type="dxa"/>
            <w:vAlign w:val="bottom"/>
            <w:gridSpan w:val="3"/>
          </w:tcPr>
          <w:p>
            <w:pPr>
              <w:spacing w:after="0"/>
              <w:rPr>
                <w:sz w:val="20"/>
                <w:szCs w:val="20"/>
                <w:color w:val="auto"/>
              </w:rPr>
            </w:pPr>
            <w:r>
              <w:rPr>
                <w:rFonts w:ascii="Arial" w:cs="Arial" w:eastAsia="Arial" w:hAnsi="Arial"/>
                <w:sz w:val="17"/>
                <w:szCs w:val="17"/>
                <w:color w:val="auto"/>
              </w:rPr>
              <w:t>For the six months ended June 30,</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60" w:type="dxa"/>
            <w:vAlign w:val="bottom"/>
            <w:gridSpan w:val="2"/>
            <w:shd w:val="clear" w:color="auto" w:fill="CCEEFF"/>
          </w:tcPr>
          <w:p>
            <w:pPr>
              <w:jc w:val="right"/>
              <w:ind w:right="3295"/>
              <w:spacing w:after="0"/>
              <w:rPr>
                <w:sz w:val="20"/>
                <w:szCs w:val="20"/>
                <w:color w:val="auto"/>
              </w:rPr>
            </w:pPr>
            <w:r>
              <w:rPr>
                <w:rFonts w:ascii="Arial" w:cs="Arial" w:eastAsia="Arial" w:hAnsi="Arial"/>
                <w:sz w:val="17"/>
                <w:szCs w:val="17"/>
                <w:color w:val="auto"/>
              </w:rPr>
              <w:t>2016</w:t>
            </w:r>
          </w:p>
        </w:tc>
        <w:tc>
          <w:tcPr>
            <w:tcW w:w="3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40" w:type="dxa"/>
            <w:vAlign w:val="bottom"/>
            <w:gridSpan w:val="2"/>
          </w:tcPr>
          <w:p>
            <w:pPr>
              <w:spacing w:after="0"/>
              <w:rPr>
                <w:sz w:val="20"/>
                <w:szCs w:val="20"/>
                <w:color w:val="auto"/>
              </w:rPr>
            </w:pPr>
            <w:r>
              <w:rPr>
                <w:rFonts w:ascii="Arial" w:cs="Arial" w:eastAsia="Arial" w:hAnsi="Arial"/>
                <w:sz w:val="17"/>
                <w:szCs w:val="17"/>
                <w:color w:val="auto"/>
              </w:rPr>
              <w:t>Balances at beginning of period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(238)</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(5,798)</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(6,036)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1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Other comprehensive income before reclassifications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140" w:type="dxa"/>
            <w:vAlign w:val="bottom"/>
            <w:gridSpan w:val="2"/>
          </w:tcPr>
          <w:p>
            <w:pPr>
              <w:ind w:left="160"/>
              <w:spacing w:after="0"/>
              <w:rPr>
                <w:sz w:val="20"/>
                <w:szCs w:val="20"/>
                <w:color w:val="auto"/>
              </w:rPr>
            </w:pPr>
            <w:r>
              <w:rPr>
                <w:rFonts w:ascii="Arial" w:cs="Arial" w:eastAsia="Arial" w:hAnsi="Arial"/>
                <w:sz w:val="17"/>
                <w:szCs w:val="17"/>
                <w:color w:val="auto"/>
              </w:rPr>
              <w:t>Amounts reclassified from AOCL</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1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Net current period other comprehensive income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40" w:type="dxa"/>
            <w:vAlign w:val="bottom"/>
            <w:gridSpan w:val="2"/>
          </w:tcPr>
          <w:p>
            <w:pPr>
              <w:spacing w:after="0"/>
              <w:rPr>
                <w:sz w:val="20"/>
                <w:szCs w:val="20"/>
                <w:color w:val="auto"/>
              </w:rPr>
            </w:pPr>
            <w:r>
              <w:rPr>
                <w:rFonts w:ascii="Arial" w:cs="Arial" w:eastAsia="Arial" w:hAnsi="Arial"/>
                <w:sz w:val="17"/>
                <w:szCs w:val="17"/>
                <w:color w:val="auto"/>
              </w:rPr>
              <w:t>Balances at end of period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2,515</w:t>
            </w:r>
          </w:p>
        </w:tc>
        <w:tc>
          <w:tcPr>
            <w:tcW w:w="1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(5,798)</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(3,283)</w:t>
            </w: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580" w:type="dxa"/>
            <w:vAlign w:val="bottom"/>
            <w:shd w:val="clear" w:color="auto" w:fill="CCEEFF"/>
          </w:tcPr>
          <w:p>
            <w:pPr>
              <w:spacing w:after="0"/>
              <w:rPr>
                <w:sz w:val="16"/>
                <w:szCs w:val="16"/>
                <w:color w:val="auto"/>
              </w:rPr>
            </w:pPr>
          </w:p>
        </w:tc>
        <w:tc>
          <w:tcPr>
            <w:tcW w:w="3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860" w:type="dxa"/>
            <w:vAlign w:val="bottom"/>
            <w:gridSpan w:val="2"/>
          </w:tcPr>
          <w:p>
            <w:pPr>
              <w:jc w:val="right"/>
              <w:ind w:right="3295"/>
              <w:spacing w:after="0"/>
              <w:rPr>
                <w:sz w:val="20"/>
                <w:szCs w:val="20"/>
                <w:color w:val="auto"/>
              </w:rPr>
            </w:pPr>
            <w:r>
              <w:rPr>
                <w:rFonts w:ascii="Arial" w:cs="Arial" w:eastAsia="Arial" w:hAnsi="Arial"/>
                <w:sz w:val="17"/>
                <w:szCs w:val="17"/>
                <w:color w:val="auto"/>
              </w:rPr>
              <w:t>2015</w:t>
            </w:r>
          </w:p>
        </w:tc>
        <w:tc>
          <w:tcPr>
            <w:tcW w:w="3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Balances at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(5,798)</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(5,636)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40" w:type="dxa"/>
            <w:vAlign w:val="bottom"/>
            <w:gridSpan w:val="2"/>
          </w:tcPr>
          <w:p>
            <w:pPr>
              <w:ind w:left="160"/>
              <w:spacing w:after="0"/>
              <w:rPr>
                <w:sz w:val="20"/>
                <w:szCs w:val="20"/>
                <w:color w:val="auto"/>
              </w:rPr>
            </w:pPr>
            <w:r>
              <w:rPr>
                <w:rFonts w:ascii="Arial" w:cs="Arial" w:eastAsia="Arial" w:hAnsi="Arial"/>
                <w:sz w:val="17"/>
                <w:szCs w:val="17"/>
                <w:color w:val="auto"/>
              </w:rPr>
              <w:t>Other comprehensive income before reclassifications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295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1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Amounts reclassified from AOCL</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140" w:type="dxa"/>
            <w:vAlign w:val="bottom"/>
            <w:gridSpan w:val="2"/>
          </w:tcPr>
          <w:p>
            <w:pPr>
              <w:ind w:left="320"/>
              <w:spacing w:after="0"/>
              <w:rPr>
                <w:sz w:val="20"/>
                <w:szCs w:val="20"/>
                <w:color w:val="auto"/>
              </w:rPr>
            </w:pPr>
            <w:r>
              <w:rPr>
                <w:rFonts w:ascii="Arial" w:cs="Arial" w:eastAsia="Arial" w:hAnsi="Arial"/>
                <w:sz w:val="17"/>
                <w:szCs w:val="17"/>
                <w:color w:val="auto"/>
              </w:rPr>
              <w:t>Net current period other comprehensive income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Balances at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(5,798)</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(5,390)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disproportionate tax effects from securities available for sale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A summary of reclassifications out of each component of AOCL for the three months ended June 30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7"/>
                <w:szCs w:val="17"/>
                <w:color w:val="auto"/>
                <w:w w:val="95"/>
              </w:rPr>
              <w:t>Amount</w:t>
            </w: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7"/>
                <w:szCs w:val="17"/>
                <w:color w:val="auto"/>
                <w:w w:val="91"/>
              </w:rPr>
              <w:t>Reclassified</w:t>
            </w: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7"/>
                <w:szCs w:val="17"/>
                <w:color w:val="auto"/>
                <w:w w:val="90"/>
              </w:rPr>
              <w:t>From</w:t>
            </w:r>
          </w:p>
        </w:tc>
        <w:tc>
          <w:tcPr>
            <w:tcW w:w="5020" w:type="dxa"/>
            <w:vAlign w:val="bottom"/>
          </w:tcPr>
          <w:p>
            <w:pPr>
              <w:ind w:left="1380"/>
              <w:spacing w:after="0"/>
              <w:rPr>
                <w:sz w:val="20"/>
                <w:szCs w:val="20"/>
                <w:color w:val="auto"/>
              </w:rPr>
            </w:pPr>
            <w:r>
              <w:rPr>
                <w:rFonts w:ascii="Arial" w:cs="Arial" w:eastAsia="Arial" w:hAnsi="Arial"/>
                <w:sz w:val="17"/>
                <w:szCs w:val="17"/>
                <w:color w:val="auto"/>
              </w:rPr>
              <w:t>Affected Line Item in Condensed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Borders>
              <w:bottom w:val="single" w:sz="8" w:color="auto"/>
            </w:tcBorders>
          </w:tcPr>
          <w:p>
            <w:pPr>
              <w:jc w:val="right"/>
              <w:ind w:right="1795"/>
              <w:spacing w:after="0"/>
              <w:rPr>
                <w:sz w:val="20"/>
                <w:szCs w:val="20"/>
                <w:color w:val="auto"/>
              </w:rPr>
            </w:pPr>
            <w:r>
              <w:rPr>
                <w:rFonts w:ascii="Arial" w:cs="Arial" w:eastAsia="Arial" w:hAnsi="Arial"/>
                <w:sz w:val="17"/>
                <w:szCs w:val="17"/>
                <w:color w:val="auto"/>
              </w:rPr>
              <w:t>AOCL Component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rPr>
              <w:t>AOCL</w:t>
            </w:r>
          </w:p>
        </w:tc>
        <w:tc>
          <w:tcPr>
            <w:tcW w:w="100" w:type="dxa"/>
            <w:vAlign w:val="bottom"/>
            <w:gridSpan w:val="2"/>
          </w:tcPr>
          <w:p>
            <w:pPr>
              <w:spacing w:after="0"/>
              <w:rPr>
                <w:sz w:val="19"/>
                <w:szCs w:val="19"/>
                <w:color w:val="auto"/>
              </w:rPr>
            </w:pPr>
          </w:p>
        </w:tc>
        <w:tc>
          <w:tcPr>
            <w:tcW w:w="5020" w:type="dxa"/>
            <w:vAlign w:val="bottom"/>
            <w:tcBorders>
              <w:bottom w:val="single" w:sz="8" w:color="auto"/>
            </w:tcBorders>
          </w:tcPr>
          <w:p>
            <w:pPr>
              <w:ind w:left="1200"/>
              <w:spacing w:after="0"/>
              <w:rPr>
                <w:sz w:val="20"/>
                <w:szCs w:val="20"/>
                <w:color w:val="auto"/>
              </w:rPr>
            </w:pPr>
            <w:r>
              <w:rPr>
                <w:rFonts w:ascii="Arial" w:cs="Arial" w:eastAsia="Arial" w:hAnsi="Arial"/>
                <w:sz w:val="17"/>
                <w:szCs w:val="17"/>
                <w:color w:val="auto"/>
              </w:rPr>
              <w:t>Consolidated Statements of Operations</w:t>
            </w:r>
          </w:p>
        </w:tc>
        <w:tc>
          <w:tcPr>
            <w:tcW w:w="0" w:type="dxa"/>
            <w:vAlign w:val="bottom"/>
          </w:tcPr>
          <w:p>
            <w:pPr>
              <w:spacing w:after="0"/>
              <w:rPr>
                <w:sz w:val="1"/>
                <w:szCs w:val="1"/>
                <w:color w:val="auto"/>
              </w:rPr>
            </w:pPr>
          </w:p>
        </w:tc>
      </w:tr>
      <w:tr>
        <w:trPr>
          <w:trHeight w:val="215"/>
        </w:trPr>
        <w:tc>
          <w:tcPr>
            <w:tcW w:w="5040" w:type="dxa"/>
            <w:vAlign w:val="bottom"/>
            <w:gridSpan w:val="2"/>
            <w:vMerge w:val="restart"/>
          </w:tcPr>
          <w:p>
            <w:pPr>
              <w:jc w:val="right"/>
              <w:ind w:right="4615"/>
              <w:spacing w:after="0"/>
              <w:rPr>
                <w:sz w:val="20"/>
                <w:szCs w:val="20"/>
                <w:color w:val="auto"/>
              </w:rPr>
            </w:pPr>
            <w:r>
              <w:rPr>
                <w:rFonts w:ascii="Arial" w:cs="Arial" w:eastAsia="Arial" w:hAnsi="Arial"/>
                <w:sz w:val="17"/>
                <w:szCs w:val="17"/>
                <w:color w:val="auto"/>
                <w:w w:val="84"/>
              </w:rPr>
              <w:t>2016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5"/>
              <w:spacing w:after="0"/>
              <w:rPr>
                <w:sz w:val="20"/>
                <w:szCs w:val="20"/>
                <w:color w:val="auto"/>
              </w:rPr>
            </w:pPr>
            <w:r>
              <w:rPr>
                <w:rFonts w:ascii="Arial" w:cs="Arial" w:eastAsia="Arial" w:hAnsi="Arial"/>
                <w:sz w:val="17"/>
                <w:szCs w:val="17"/>
                <w:color w:val="auto"/>
                <w:w w:val="88"/>
              </w:rPr>
              <w:t>(In 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20" w:type="dxa"/>
            <w:vAlign w:val="bottom"/>
            <w:gridSpan w:val="3"/>
          </w:tcPr>
          <w:p>
            <w:pPr>
              <w:jc w:val="right"/>
              <w:ind w:right="1755"/>
              <w:spacing w:after="0"/>
              <w:rPr>
                <w:sz w:val="20"/>
                <w:szCs w:val="20"/>
                <w:color w:val="auto"/>
              </w:rPr>
            </w:pPr>
            <w:r>
              <w:rPr>
                <w:rFonts w:ascii="Arial" w:cs="Arial" w:eastAsia="Arial" w:hAnsi="Arial"/>
                <w:sz w:val="17"/>
                <w:szCs w:val="17"/>
                <w:color w:val="auto"/>
                <w:w w:val="93"/>
              </w:rPr>
              <w:t>Unrealized gains on securities available for sale</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109</w:t>
            </w:r>
          </w:p>
        </w:tc>
        <w:tc>
          <w:tcPr>
            <w:tcW w:w="80" w:type="dxa"/>
            <w:vAlign w:val="bottom"/>
            <w:shd w:val="clear" w:color="auto" w:fill="CCEEFF"/>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Net gains on securities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Net impairment loss recognized in earnings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109</w:t>
            </w:r>
          </w:p>
        </w:tc>
        <w:tc>
          <w:tcPr>
            <w:tcW w:w="80" w:type="dxa"/>
            <w:vAlign w:val="bottom"/>
            <w:shd w:val="clear" w:color="auto" w:fill="CCEEFF"/>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Total reclassifications before tax</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37</w:t>
            </w:r>
          </w:p>
        </w:tc>
        <w:tc>
          <w:tcPr>
            <w:tcW w:w="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Income tax expense</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20" w:type="dxa"/>
            <w:vAlign w:val="bottom"/>
            <w:gridSpan w:val="2"/>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72</w:t>
            </w:r>
          </w:p>
        </w:tc>
        <w:tc>
          <w:tcPr>
            <w:tcW w:w="80" w:type="dxa"/>
            <w:vAlign w:val="bottom"/>
            <w:shd w:val="clear" w:color="auto" w:fill="CCEEFF"/>
          </w:tcPr>
          <w:p>
            <w:pPr>
              <w:spacing w:after="0"/>
              <w:rPr>
                <w:sz w:val="21"/>
                <w:szCs w:val="21"/>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Reclassifications, net of tax</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50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0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020" w:type="dxa"/>
            <w:vAlign w:val="bottom"/>
            <w:shd w:val="clear" w:color="auto" w:fill="CCEEFF"/>
          </w:tcPr>
          <w:p>
            <w:pPr>
              <w:jc w:val="right"/>
              <w:ind w:right="4615"/>
              <w:spacing w:after="0"/>
              <w:rPr>
                <w:sz w:val="20"/>
                <w:szCs w:val="20"/>
                <w:color w:val="auto"/>
              </w:rPr>
            </w:pPr>
            <w:r>
              <w:rPr>
                <w:rFonts w:ascii="Arial" w:cs="Arial" w:eastAsia="Arial" w:hAnsi="Arial"/>
                <w:sz w:val="17"/>
                <w:szCs w:val="17"/>
                <w:color w:val="auto"/>
                <w:w w:val="79"/>
              </w:rPr>
              <w:t>2015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220" w:type="dxa"/>
            <w:vAlign w:val="bottom"/>
            <w:gridSpan w:val="3"/>
          </w:tcPr>
          <w:p>
            <w:pPr>
              <w:jc w:val="right"/>
              <w:ind w:right="1755"/>
              <w:spacing w:after="0"/>
              <w:rPr>
                <w:sz w:val="20"/>
                <w:szCs w:val="20"/>
                <w:color w:val="auto"/>
              </w:rPr>
            </w:pPr>
            <w:r>
              <w:rPr>
                <w:rFonts w:ascii="Arial" w:cs="Arial" w:eastAsia="Arial" w:hAnsi="Arial"/>
                <w:sz w:val="17"/>
                <w:szCs w:val="17"/>
                <w:color w:val="auto"/>
                <w:w w:val="93"/>
              </w:rPr>
              <w:t>Unrealized gains on securities available for sale</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Net gains on securities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Net impairment loss recognized in earnings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Total reclassifications before tax</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Income tax expense</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Reclassifications, net of tax</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A summary of reclassifications out of each component of AOCL for the six months ended June 30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7"/>
                <w:szCs w:val="17"/>
                <w:color w:val="auto"/>
                <w:w w:val="95"/>
              </w:rPr>
              <w:t>Amount</w:t>
            </w: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7"/>
                <w:szCs w:val="17"/>
                <w:color w:val="auto"/>
                <w:w w:val="91"/>
              </w:rPr>
              <w:t>Reclassified</w:t>
            </w: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7"/>
                <w:szCs w:val="17"/>
                <w:color w:val="auto"/>
                <w:w w:val="90"/>
              </w:rPr>
              <w:t>From</w:t>
            </w:r>
          </w:p>
        </w:tc>
        <w:tc>
          <w:tcPr>
            <w:tcW w:w="5020" w:type="dxa"/>
            <w:vAlign w:val="bottom"/>
          </w:tcPr>
          <w:p>
            <w:pPr>
              <w:ind w:left="1380"/>
              <w:spacing w:after="0"/>
              <w:rPr>
                <w:sz w:val="20"/>
                <w:szCs w:val="20"/>
                <w:color w:val="auto"/>
              </w:rPr>
            </w:pPr>
            <w:r>
              <w:rPr>
                <w:rFonts w:ascii="Arial" w:cs="Arial" w:eastAsia="Arial" w:hAnsi="Arial"/>
                <w:sz w:val="17"/>
                <w:szCs w:val="17"/>
                <w:color w:val="auto"/>
              </w:rPr>
              <w:t>Affected Line Item in Condensed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Borders>
              <w:bottom w:val="single" w:sz="8" w:color="auto"/>
            </w:tcBorders>
          </w:tcPr>
          <w:p>
            <w:pPr>
              <w:jc w:val="right"/>
              <w:ind w:right="1795"/>
              <w:spacing w:after="0"/>
              <w:rPr>
                <w:sz w:val="20"/>
                <w:szCs w:val="20"/>
                <w:color w:val="auto"/>
              </w:rPr>
            </w:pPr>
            <w:r>
              <w:rPr>
                <w:rFonts w:ascii="Arial" w:cs="Arial" w:eastAsia="Arial" w:hAnsi="Arial"/>
                <w:sz w:val="17"/>
                <w:szCs w:val="17"/>
                <w:color w:val="auto"/>
              </w:rPr>
              <w:t>AOCL Component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color w:val="auto"/>
              </w:rPr>
              <w:t>AOCL</w:t>
            </w:r>
          </w:p>
        </w:tc>
        <w:tc>
          <w:tcPr>
            <w:tcW w:w="100" w:type="dxa"/>
            <w:vAlign w:val="bottom"/>
            <w:gridSpan w:val="2"/>
          </w:tcPr>
          <w:p>
            <w:pPr>
              <w:spacing w:after="0"/>
              <w:rPr>
                <w:sz w:val="19"/>
                <w:szCs w:val="19"/>
                <w:color w:val="auto"/>
              </w:rPr>
            </w:pPr>
          </w:p>
        </w:tc>
        <w:tc>
          <w:tcPr>
            <w:tcW w:w="5020" w:type="dxa"/>
            <w:vAlign w:val="bottom"/>
            <w:tcBorders>
              <w:bottom w:val="single" w:sz="8" w:color="auto"/>
            </w:tcBorders>
          </w:tcPr>
          <w:p>
            <w:pPr>
              <w:ind w:left="1200"/>
              <w:spacing w:after="0"/>
              <w:rPr>
                <w:sz w:val="20"/>
                <w:szCs w:val="20"/>
                <w:color w:val="auto"/>
              </w:rPr>
            </w:pPr>
            <w:r>
              <w:rPr>
                <w:rFonts w:ascii="Arial" w:cs="Arial" w:eastAsia="Arial" w:hAnsi="Arial"/>
                <w:sz w:val="17"/>
                <w:szCs w:val="17"/>
                <w:color w:val="auto"/>
              </w:rPr>
              <w:t>Consolidated Statements of Operations</w:t>
            </w:r>
          </w:p>
        </w:tc>
        <w:tc>
          <w:tcPr>
            <w:tcW w:w="0" w:type="dxa"/>
            <w:vAlign w:val="bottom"/>
          </w:tcPr>
          <w:p>
            <w:pPr>
              <w:spacing w:after="0"/>
              <w:rPr>
                <w:sz w:val="1"/>
                <w:szCs w:val="1"/>
                <w:color w:val="auto"/>
              </w:rPr>
            </w:pPr>
          </w:p>
        </w:tc>
      </w:tr>
      <w:tr>
        <w:trPr>
          <w:trHeight w:val="215"/>
        </w:trPr>
        <w:tc>
          <w:tcPr>
            <w:tcW w:w="5040" w:type="dxa"/>
            <w:vAlign w:val="bottom"/>
            <w:gridSpan w:val="2"/>
            <w:vMerge w:val="restart"/>
          </w:tcPr>
          <w:p>
            <w:pPr>
              <w:jc w:val="right"/>
              <w:ind w:right="4615"/>
              <w:spacing w:after="0"/>
              <w:rPr>
                <w:sz w:val="20"/>
                <w:szCs w:val="20"/>
                <w:color w:val="auto"/>
              </w:rPr>
            </w:pPr>
            <w:r>
              <w:rPr>
                <w:rFonts w:ascii="Arial" w:cs="Arial" w:eastAsia="Arial" w:hAnsi="Arial"/>
                <w:sz w:val="17"/>
                <w:szCs w:val="17"/>
                <w:color w:val="auto"/>
                <w:w w:val="84"/>
              </w:rPr>
              <w:t>2016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6"/>
              <w:spacing w:after="0"/>
              <w:rPr>
                <w:sz w:val="20"/>
                <w:szCs w:val="20"/>
                <w:color w:val="auto"/>
              </w:rPr>
            </w:pPr>
            <w:r>
              <w:rPr>
                <w:rFonts w:ascii="Arial" w:cs="Arial" w:eastAsia="Arial" w:hAnsi="Arial"/>
                <w:sz w:val="17"/>
                <w:szCs w:val="17"/>
                <w:color w:val="auto"/>
                <w:w w:val="88"/>
              </w:rPr>
              <w:t>(In 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20" w:type="dxa"/>
            <w:vAlign w:val="bottom"/>
            <w:gridSpan w:val="3"/>
          </w:tcPr>
          <w:p>
            <w:pPr>
              <w:jc w:val="right"/>
              <w:ind w:right="1755"/>
              <w:spacing w:after="0"/>
              <w:rPr>
                <w:sz w:val="20"/>
                <w:szCs w:val="20"/>
                <w:color w:val="auto"/>
              </w:rPr>
            </w:pPr>
            <w:r>
              <w:rPr>
                <w:rFonts w:ascii="Arial" w:cs="Arial" w:eastAsia="Arial" w:hAnsi="Arial"/>
                <w:sz w:val="17"/>
                <w:szCs w:val="17"/>
                <w:color w:val="auto"/>
                <w:w w:val="93"/>
              </w:rPr>
              <w:t>Unrealized gains on securities available for sale</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283</w:t>
            </w:r>
          </w:p>
        </w:tc>
        <w:tc>
          <w:tcPr>
            <w:tcW w:w="80" w:type="dxa"/>
            <w:vAlign w:val="bottom"/>
            <w:shd w:val="clear" w:color="auto" w:fill="CCEEFF"/>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Net gains on securities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Net impairment loss recognized in earnings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283</w:t>
            </w:r>
          </w:p>
        </w:tc>
        <w:tc>
          <w:tcPr>
            <w:tcW w:w="80" w:type="dxa"/>
            <w:vAlign w:val="bottom"/>
            <w:shd w:val="clear" w:color="auto" w:fill="CCEEFF"/>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Total reclassifications before tax</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99</w:t>
            </w:r>
          </w:p>
        </w:tc>
        <w:tc>
          <w:tcPr>
            <w:tcW w:w="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Income tax expense</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20" w:type="dxa"/>
            <w:vAlign w:val="bottom"/>
            <w:gridSpan w:val="2"/>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184</w:t>
            </w:r>
          </w:p>
        </w:tc>
        <w:tc>
          <w:tcPr>
            <w:tcW w:w="80" w:type="dxa"/>
            <w:vAlign w:val="bottom"/>
            <w:shd w:val="clear" w:color="auto" w:fill="CCEEFF"/>
          </w:tcPr>
          <w:p>
            <w:pPr>
              <w:spacing w:after="0"/>
              <w:rPr>
                <w:sz w:val="21"/>
                <w:szCs w:val="21"/>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Reclassifications, net of tax</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50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0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020" w:type="dxa"/>
            <w:vAlign w:val="bottom"/>
            <w:shd w:val="clear" w:color="auto" w:fill="CCEEFF"/>
          </w:tcPr>
          <w:p>
            <w:pPr>
              <w:jc w:val="right"/>
              <w:ind w:right="4615"/>
              <w:spacing w:after="0"/>
              <w:rPr>
                <w:sz w:val="20"/>
                <w:szCs w:val="20"/>
                <w:color w:val="auto"/>
              </w:rPr>
            </w:pPr>
            <w:r>
              <w:rPr>
                <w:rFonts w:ascii="Arial" w:cs="Arial" w:eastAsia="Arial" w:hAnsi="Arial"/>
                <w:sz w:val="17"/>
                <w:szCs w:val="17"/>
                <w:color w:val="auto"/>
                <w:w w:val="79"/>
              </w:rPr>
              <w:t>2015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220" w:type="dxa"/>
            <w:vAlign w:val="bottom"/>
            <w:gridSpan w:val="3"/>
          </w:tcPr>
          <w:p>
            <w:pPr>
              <w:jc w:val="right"/>
              <w:ind w:right="1755"/>
              <w:spacing w:after="0"/>
              <w:rPr>
                <w:sz w:val="20"/>
                <w:szCs w:val="20"/>
                <w:color w:val="auto"/>
              </w:rPr>
            </w:pPr>
            <w:r>
              <w:rPr>
                <w:rFonts w:ascii="Arial" w:cs="Arial" w:eastAsia="Arial" w:hAnsi="Arial"/>
                <w:sz w:val="17"/>
                <w:szCs w:val="17"/>
                <w:color w:val="auto"/>
                <w:w w:val="93"/>
              </w:rPr>
              <w:t>Unrealized gains on securities available for sale</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75</w:t>
            </w:r>
          </w:p>
        </w:tc>
        <w:tc>
          <w:tcPr>
            <w:tcW w:w="80" w:type="dxa"/>
            <w:vAlign w:val="bottom"/>
            <w:shd w:val="clear" w:color="auto" w:fill="CCEEFF"/>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Net gains on securities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Net impairment loss recognized in earnings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75</w:t>
            </w:r>
          </w:p>
        </w:tc>
        <w:tc>
          <w:tcPr>
            <w:tcW w:w="80" w:type="dxa"/>
            <w:vAlign w:val="bottom"/>
            <w:shd w:val="clear" w:color="auto" w:fill="CCEEFF"/>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Total reclassifications before tax</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26</w:t>
            </w:r>
          </w:p>
        </w:tc>
        <w:tc>
          <w:tcPr>
            <w:tcW w:w="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Income tax expense</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20" w:type="dxa"/>
            <w:vAlign w:val="bottom"/>
            <w:gridSpan w:val="2"/>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49</w:t>
            </w:r>
          </w:p>
        </w:tc>
        <w:tc>
          <w:tcPr>
            <w:tcW w:w="80" w:type="dxa"/>
            <w:vAlign w:val="bottom"/>
            <w:shd w:val="clear" w:color="auto" w:fill="CCEEFF"/>
          </w:tcPr>
          <w:p>
            <w:pPr>
              <w:spacing w:after="0"/>
              <w:rPr>
                <w:sz w:val="21"/>
                <w:szCs w:val="21"/>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Reclassifications, net of tax</w:t>
            </w:r>
          </w:p>
        </w:tc>
        <w:tc>
          <w:tcPr>
            <w:tcW w:w="0" w:type="dxa"/>
            <w:vAlign w:val="bottom"/>
          </w:tcPr>
          <w:p>
            <w:pPr>
              <w:spacing w:after="0"/>
              <w:rPr>
                <w:sz w:val="1"/>
                <w:szCs w:val="1"/>
                <w:color w:val="auto"/>
              </w:rPr>
            </w:pPr>
          </w:p>
        </w:tc>
      </w:tr>
      <w:tr>
        <w:trPr>
          <w:trHeight w:val="553"/>
        </w:trPr>
        <w:tc>
          <w:tcPr>
            <w:tcW w:w="20" w:type="dxa"/>
            <w:vAlign w:val="bottom"/>
          </w:tcPr>
          <w:p>
            <w:pPr>
              <w:spacing w:after="0"/>
              <w:rPr>
                <w:sz w:val="24"/>
                <w:szCs w:val="24"/>
                <w:color w:val="auto"/>
              </w:rPr>
            </w:pPr>
          </w:p>
        </w:tc>
        <w:tc>
          <w:tcPr>
            <w:tcW w:w="50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center"/>
              <w:ind w:right="36"/>
              <w:spacing w:after="0"/>
              <w:rPr>
                <w:sz w:val="20"/>
                <w:szCs w:val="20"/>
                <w:color w:val="auto"/>
              </w:rPr>
            </w:pPr>
            <w:r>
              <w:rPr>
                <w:rFonts w:ascii="Arial" w:cs="Arial" w:eastAsia="Arial" w:hAnsi="Arial"/>
                <w:sz w:val="14"/>
                <w:szCs w:val="14"/>
                <w:color w:val="auto"/>
                <w:w w:val="89"/>
              </w:rPr>
              <w:t>59</w:t>
            </w: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0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w:t>
      </w:r>
      <w:r>
        <w:rPr>
          <w:rFonts w:ascii="Arial" w:cs="Arial" w:eastAsia="Arial" w:hAnsi="Arial"/>
          <w:sz w:val="11"/>
          <w:szCs w:val="11"/>
          <w:b w:val="1"/>
          <w:bCs w:val="1"/>
          <w:color w:val="auto"/>
        </w:rPr>
        <w:t>ANAGEMENT</w:t>
      </w:r>
      <w:r>
        <w:rPr>
          <w:rFonts w:ascii="Arial" w:cs="Arial" w:eastAsia="Arial" w:hAnsi="Arial"/>
          <w:sz w:val="17"/>
          <w:szCs w:val="17"/>
          <w:b w:val="1"/>
          <w:bCs w:val="1"/>
          <w:color w:val="auto"/>
        </w:rPr>
        <w:t>’</w:t>
      </w:r>
      <w:r>
        <w:rPr>
          <w:rFonts w:ascii="Arial" w:cs="Arial" w:eastAsia="Arial" w:hAnsi="Arial"/>
          <w:sz w:val="11"/>
          <w:szCs w:val="11"/>
          <w:b w:val="1"/>
          <w:bCs w:val="1"/>
          <w:color w:val="auto"/>
        </w:rPr>
        <w:t>S</w:t>
      </w:r>
      <w:r>
        <w:rPr>
          <w:rFonts w:ascii="Arial" w:cs="Arial" w:eastAsia="Arial" w:hAnsi="Arial"/>
          <w:sz w:val="17"/>
          <w:szCs w:val="17"/>
          <w:b w:val="1"/>
          <w:bCs w:val="1"/>
          <w:color w:val="auto"/>
        </w:rPr>
        <w:t xml:space="preserve"> D</w:t>
      </w:r>
      <w:r>
        <w:rPr>
          <w:rFonts w:ascii="Arial" w:cs="Arial" w:eastAsia="Arial" w:hAnsi="Arial"/>
          <w:sz w:val="11"/>
          <w:szCs w:val="11"/>
          <w:b w:val="1"/>
          <w:bCs w:val="1"/>
          <w:color w:val="auto"/>
        </w:rPr>
        <w:t>ISCUSSION AND</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NALYSIS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 xml:space="preserve">OF </w:t>
      </w:r>
      <w:r>
        <w:rPr>
          <w:rFonts w:ascii="Arial" w:cs="Arial" w:eastAsia="Arial" w:hAnsi="Arial"/>
          <w:sz w:val="16"/>
          <w:szCs w:val="16"/>
          <w:b w:val="1"/>
          <w:bCs w:val="1"/>
          <w:color w:val="auto"/>
        </w:rPr>
        <w:t>F</w:t>
      </w:r>
      <w:r>
        <w:rPr>
          <w:rFonts w:ascii="Arial" w:cs="Arial" w:eastAsia="Arial" w:hAnsi="Arial"/>
          <w:sz w:val="11"/>
          <w:szCs w:val="11"/>
          <w:b w:val="1"/>
          <w:bCs w:val="1"/>
          <w:color w:val="auto"/>
        </w:rPr>
        <w:t xml:space="preserve">INANCIAL </w:t>
      </w:r>
      <w:r>
        <w:rPr>
          <w:rFonts w:ascii="Arial" w:cs="Arial" w:eastAsia="Arial" w:hAnsi="Arial"/>
          <w:sz w:val="16"/>
          <w:szCs w:val="16"/>
          <w:b w:val="1"/>
          <w:bCs w:val="1"/>
          <w:color w:val="auto"/>
        </w:rPr>
        <w:t>C</w:t>
      </w:r>
      <w:r>
        <w:rPr>
          <w:rFonts w:ascii="Arial" w:cs="Arial" w:eastAsia="Arial" w:hAnsi="Arial"/>
          <w:sz w:val="11"/>
          <w:szCs w:val="11"/>
          <w:b w:val="1"/>
          <w:bCs w:val="1"/>
          <w:color w:val="auto"/>
        </w:rPr>
        <w:t xml:space="preserve">ONDITION AND </w:t>
      </w:r>
      <w:r>
        <w:rPr>
          <w:rFonts w:ascii="Arial" w:cs="Arial" w:eastAsia="Arial" w:hAnsi="Arial"/>
          <w:sz w:val="16"/>
          <w:szCs w:val="16"/>
          <w:b w:val="1"/>
          <w:bCs w:val="1"/>
          <w:color w:val="auto"/>
        </w:rPr>
        <w:t>R</w:t>
      </w:r>
      <w:r>
        <w:rPr>
          <w:rFonts w:ascii="Arial" w:cs="Arial" w:eastAsia="Arial" w:hAnsi="Arial"/>
          <w:sz w:val="11"/>
          <w:szCs w:val="11"/>
          <w:b w:val="1"/>
          <w:bCs w:val="1"/>
          <w:color w:val="auto"/>
        </w:rPr>
        <w:t xml:space="preserve">ESULTS OF </w:t>
      </w:r>
      <w:r>
        <w:rPr>
          <w:rFonts w:ascii="Arial" w:cs="Arial" w:eastAsia="Arial" w:hAnsi="Arial"/>
          <w:sz w:val="16"/>
          <w:szCs w:val="16"/>
          <w:b w:val="1"/>
          <w:bCs w:val="1"/>
          <w:color w:val="auto"/>
        </w:rPr>
        <w:t>O</w:t>
      </w:r>
      <w:r>
        <w:rPr>
          <w:rFonts w:ascii="Arial" w:cs="Arial" w:eastAsia="Arial" w:hAnsi="Arial"/>
          <w:sz w:val="11"/>
          <w:szCs w:val="11"/>
          <w:b w:val="1"/>
          <w:bCs w:val="1"/>
          <w:color w:val="auto"/>
        </w:rPr>
        <w:t>PERATIONS</w:t>
      </w:r>
    </w:p>
    <w:p>
      <w:pPr>
        <w:spacing w:after="0" w:line="23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color w:val="auto"/>
        </w:rPr>
        <w:t>Introduction</w:t>
      </w:r>
      <w:r>
        <w:rPr>
          <w:rFonts w:ascii="Arial" w:cs="Arial" w:eastAsia="Arial" w:hAnsi="Arial"/>
          <w:sz w:val="16"/>
          <w:szCs w:val="16"/>
          <w:color w:val="auto"/>
        </w:rPr>
        <w:t>. The following section presents additional information to assess the financial condition and results of operations of Independent Bank Corporation, its</w:t>
      </w:r>
      <w:r>
        <w:rPr>
          <w:rFonts w:ascii="Arial" w:cs="Arial" w:eastAsia="Arial" w:hAnsi="Arial"/>
          <w:sz w:val="16"/>
          <w:szCs w:val="16"/>
          <w:b w:val="1"/>
          <w:bCs w:val="1"/>
          <w:color w:val="auto"/>
        </w:rPr>
        <w:t xml:space="preserve"> </w:t>
      </w:r>
      <w:r>
        <w:rPr>
          <w:rFonts w:ascii="Arial" w:cs="Arial" w:eastAsia="Arial" w:hAnsi="Arial"/>
          <w:sz w:val="16"/>
          <w:szCs w:val="16"/>
          <w:color w:val="auto"/>
        </w:rPr>
        <w:t>wholly-owned bank, Independent Bank (the “Bank”), and their subsidiaries. This section should be read in conjunction with the Condensed Consolidated Financial Statements. We also encourage you to read our 2015 Annual Report on Form 10-K filed with the U.S. Securities and Exchange Commission (“SEC”). That report includes a list of risk factors that you should consider in connection with any decision to buy or sell our securities.</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Overview</w:t>
      </w:r>
      <w:r>
        <w:rPr>
          <w:rFonts w:ascii="Arial" w:cs="Arial" w:eastAsia="Arial" w:hAnsi="Arial"/>
          <w:sz w:val="16"/>
          <w:szCs w:val="16"/>
          <w:color w:val="auto"/>
        </w:rPr>
        <w:t>. We provide banking services to customers located primarily in Michigan’s Lower Peninsula. As a result, our success depends to a great extent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economic conditions in Michigan’s Lower Peninsula. At times, we have experienced a difficult economy in Michigan. Economic conditions in Michigan began to show signs of improvement during 2010. Generally, these improvements have continued into 2016, albeit at an uneven pace. There has been an overall decline in the unemployment rate as well as generally improving housing prices and other related statistics (such as home sales and new building permits). In addition, since early- to mid-2009, we have seen an improvement in our asset quality metrics. In particular, since early 2012, we have generally experienced a decline in non-performing assets, reduced levels of new loan defaults, and reduced levels of loan net charge-offs.</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5"/>
          <w:szCs w:val="15"/>
          <w:b w:val="1"/>
          <w:bCs w:val="1"/>
          <w:color w:val="auto"/>
        </w:rPr>
        <w:t>Regulation</w:t>
      </w:r>
      <w:r>
        <w:rPr>
          <w:rFonts w:ascii="Arial" w:cs="Arial" w:eastAsia="Arial" w:hAnsi="Arial"/>
          <w:sz w:val="15"/>
          <w:szCs w:val="15"/>
          <w:color w:val="auto"/>
        </w:rPr>
        <w:t>. On July 2, 2013, the Federal Reserve Board (the “FRB”) approved a final rule that establishes an integrated regulatory capital framework (the “New</w:t>
      </w:r>
      <w:r>
        <w:rPr>
          <w:rFonts w:ascii="Arial" w:cs="Arial" w:eastAsia="Arial" w:hAnsi="Arial"/>
          <w:sz w:val="15"/>
          <w:szCs w:val="15"/>
          <w:b w:val="1"/>
          <w:bCs w:val="1"/>
          <w:color w:val="auto"/>
        </w:rPr>
        <w:t xml:space="preserve"> </w:t>
      </w:r>
      <w:r>
        <w:rPr>
          <w:rFonts w:ascii="Arial" w:cs="Arial" w:eastAsia="Arial" w:hAnsi="Arial"/>
          <w:sz w:val="15"/>
          <w:szCs w:val="15"/>
          <w:color w:val="auto"/>
        </w:rPr>
        <w:t>Capital Rules”). The rule implements in the United States the Basel III regulatory capital reforms from the Basel Committee on Banking Supervision and certain changes required by the 2010 Dodd-Frank Wall Street Reform and Consumer Protection Act (the “Dodd-Frank Act”). In general, under the New Capital Rules, minimum requirements have increased for both the quantity and quality of capital held by banking organizations. Consistent with the international Basel framework, the New Capital Rules include a new minimum ratio of common equity tier 1 capital to risk-weighted assets of 4.5% and a common equity tier 1 capital conservation buffer of 2.5% of risk-weighted assets that applies to all supervised financial institutions. The 2.5% capital conservation buffer is being phased in over a four-year period beginning in 2016 with 0.625% added to the minimum ratio for adequately capitalized institutions for 2016. To avoid limits on capital distributions and certain discretionary bonus payments we must meet the minimum ratio for adequately capitalized institutions plus the phased in buffer. The rule also raises the minimum ratio of tier 1 capital to risk-weighted assets from 4% to 6% and includes a minimum leverage ratio of 4% for all banking organizations. As to the quality of capital, the New Capital Rules emphasize common equity tier 1 capital, the most loss-absorbing form of capital, and implements strict eligibility criteria for regulatory capital instruments. The New Capital Rules also change the methodology for calculating risk-weighted assets to enhance risk sensitivity. Under the New Capital Rules our existing trust preferred securities are grandfathered as qualifying regulatory capital. We were subject to the New Capital Rules beginning on January 1, 2015, and as of June 30, 2016 and December 31, 2015 we exceeded all of the capital ratio requirements of the New Capital Rules.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It is against this backdrop that we discuss our results of operations and financial condition in the second quarter and first six months of 2016 as compared to 2015.</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1"/>
          <w:szCs w:val="11"/>
          <w:b w:val="1"/>
          <w:bCs w:val="1"/>
          <w:color w:val="auto"/>
        </w:rPr>
        <w:t>ESULTS OF</w:t>
      </w:r>
      <w:r>
        <w:rPr>
          <w:rFonts w:ascii="Arial" w:cs="Arial" w:eastAsia="Arial" w:hAnsi="Arial"/>
          <w:sz w:val="17"/>
          <w:szCs w:val="17"/>
          <w:b w:val="1"/>
          <w:bCs w:val="1"/>
          <w:color w:val="auto"/>
        </w:rPr>
        <w:t xml:space="preserve"> O</w:t>
      </w:r>
      <w:r>
        <w:rPr>
          <w:rFonts w:ascii="Arial" w:cs="Arial" w:eastAsia="Arial" w:hAnsi="Arial"/>
          <w:sz w:val="11"/>
          <w:szCs w:val="11"/>
          <w:b w:val="1"/>
          <w:bCs w:val="1"/>
          <w:color w:val="auto"/>
        </w:rPr>
        <w:t>PERATIONS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 xml:space="preserve">Summary. </w:t>
      </w:r>
      <w:r>
        <w:rPr>
          <w:rFonts w:ascii="Arial" w:cs="Arial" w:eastAsia="Arial" w:hAnsi="Arial"/>
          <w:sz w:val="17"/>
          <w:szCs w:val="17"/>
          <w:color w:val="auto"/>
        </w:rPr>
        <w:t>We recorded net income of $6.4 million and $5.6 million, respectively, during the three months ended June 30, 2016 and 2015. The increase in 2016</w:t>
      </w:r>
      <w:r>
        <w:rPr>
          <w:rFonts w:ascii="Arial" w:cs="Arial" w:eastAsia="Arial" w:hAnsi="Arial"/>
          <w:sz w:val="17"/>
          <w:szCs w:val="17"/>
          <w:b w:val="1"/>
          <w:bCs w:val="1"/>
          <w:color w:val="auto"/>
        </w:rPr>
        <w:t xml:space="preserve"> </w:t>
      </w:r>
      <w:r>
        <w:rPr>
          <w:rFonts w:ascii="Arial" w:cs="Arial" w:eastAsia="Arial" w:hAnsi="Arial"/>
          <w:sz w:val="17"/>
          <w:szCs w:val="17"/>
          <w:color w:val="auto"/>
        </w:rPr>
        <w:t>results as compared to 2015 primarily reflects an increase in net interest income and decreases in the provision for loan losses (a larger credit) and in non-interest expenses that were partially offset by a decrease in non-interest income.</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recorded net income of $10.5 million and $9.4 million, respectively, during the six months ended June 30, 2016 and 2015. The increase in 2016 year-to-date results as compared to 2015 is generally comparable to the quarterly changes described above.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400" w:type="dxa"/>
            <w:vAlign w:val="bottom"/>
            <w:gridSpan w:val="2"/>
          </w:tcPr>
          <w:p>
            <w:pPr>
              <w:spacing w:after="0"/>
              <w:rPr>
                <w:sz w:val="20"/>
                <w:szCs w:val="20"/>
                <w:color w:val="auto"/>
              </w:rPr>
            </w:pPr>
            <w:r>
              <w:rPr>
                <w:rFonts w:ascii="Arial" w:cs="Arial" w:eastAsia="Arial" w:hAnsi="Arial"/>
                <w:sz w:val="17"/>
                <w:szCs w:val="17"/>
                <w:b w:val="1"/>
                <w:bCs w:val="1"/>
                <w:color w:val="auto"/>
              </w:rPr>
              <w:t>Key performance ratios</w:t>
            </w:r>
          </w:p>
        </w:tc>
        <w:tc>
          <w:tcPr>
            <w:tcW w:w="1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60" w:type="dxa"/>
            <w:vAlign w:val="bottom"/>
            <w:gridSpan w:val="4"/>
          </w:tcPr>
          <w:p>
            <w:pPr>
              <w:jc w:val="center"/>
              <w:ind w:left="255"/>
              <w:spacing w:after="0"/>
              <w:rPr>
                <w:sz w:val="20"/>
                <w:szCs w:val="20"/>
                <w:color w:val="auto"/>
              </w:rPr>
            </w:pPr>
            <w:r>
              <w:rPr>
                <w:rFonts w:ascii="Arial" w:cs="Arial" w:eastAsia="Arial" w:hAnsi="Arial"/>
                <w:sz w:val="17"/>
                <w:szCs w:val="17"/>
                <w:color w:val="auto"/>
                <w:w w:val="87"/>
              </w:rPr>
              <w:t>Three months ended</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5"/>
          </w:tcPr>
          <w:p>
            <w:pPr>
              <w:ind w:left="400"/>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7"/>
                <w:szCs w:val="17"/>
                <w:color w:val="auto"/>
                <w:w w:val="85"/>
              </w:rPr>
              <w:t>June 30,</w:t>
            </w:r>
          </w:p>
        </w:tc>
        <w:tc>
          <w:tcPr>
            <w:tcW w:w="3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720"/>
              <w:spacing w:after="0"/>
              <w:rPr>
                <w:sz w:val="20"/>
                <w:szCs w:val="20"/>
                <w:color w:val="auto"/>
              </w:rPr>
            </w:pPr>
            <w:r>
              <w:rPr>
                <w:rFonts w:ascii="Arial" w:cs="Arial" w:eastAsia="Arial" w:hAnsi="Arial"/>
                <w:sz w:val="17"/>
                <w:szCs w:val="17"/>
                <w:color w:val="auto"/>
              </w:rPr>
              <w:t>June 30,</w:t>
            </w: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2016</w:t>
            </w:r>
          </w:p>
        </w:tc>
        <w:tc>
          <w:tcPr>
            <w:tcW w:w="3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2015</w:t>
            </w:r>
          </w:p>
        </w:tc>
        <w:tc>
          <w:tcPr>
            <w:tcW w:w="3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2016</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2015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rPr>
                <w:sz w:val="20"/>
                <w:szCs w:val="20"/>
                <w:color w:val="auto"/>
              </w:rPr>
            </w:pPr>
            <w:r>
              <w:rPr>
                <w:rFonts w:ascii="Arial" w:cs="Arial" w:eastAsia="Arial" w:hAnsi="Arial"/>
                <w:sz w:val="17"/>
                <w:szCs w:val="17"/>
                <w:color w:val="auto"/>
              </w:rPr>
              <w:t>Net income (annualized) to</w:t>
            </w:r>
          </w:p>
        </w:tc>
        <w:tc>
          <w:tcPr>
            <w:tcW w:w="1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Average assets</w:t>
            </w:r>
          </w:p>
        </w:tc>
        <w:tc>
          <w:tcPr>
            <w:tcW w:w="16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1.06%</w:t>
            </w:r>
          </w:p>
        </w:tc>
        <w:tc>
          <w:tcPr>
            <w:tcW w:w="7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99"/>
              </w:rPr>
              <w:t>0.98%</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0.87%</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w w:val="87"/>
              </w:rPr>
              <w:t>0.83%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ind w:left="140"/>
              <w:spacing w:after="0"/>
              <w:rPr>
                <w:sz w:val="20"/>
                <w:szCs w:val="20"/>
                <w:color w:val="auto"/>
              </w:rPr>
            </w:pPr>
            <w:r>
              <w:rPr>
                <w:rFonts w:ascii="Arial" w:cs="Arial" w:eastAsia="Arial" w:hAnsi="Arial"/>
                <w:sz w:val="17"/>
                <w:szCs w:val="17"/>
                <w:color w:val="auto"/>
              </w:rPr>
              <w:t>Average common shareholders’ equity</w:t>
            </w:r>
          </w:p>
        </w:tc>
        <w:tc>
          <w:tcPr>
            <w:tcW w:w="1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10.66</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gridSpan w:val="2"/>
          </w:tcPr>
          <w:p>
            <w:pPr>
              <w:ind w:left="40"/>
              <w:spacing w:after="0"/>
              <w:rPr>
                <w:sz w:val="20"/>
                <w:szCs w:val="20"/>
                <w:color w:val="auto"/>
              </w:rPr>
            </w:pPr>
            <w:r>
              <w:rPr>
                <w:rFonts w:ascii="Arial" w:cs="Arial" w:eastAsia="Arial" w:hAnsi="Arial"/>
                <w:sz w:val="17"/>
                <w:szCs w:val="17"/>
                <w:color w:val="auto"/>
              </w:rPr>
              <w:t>8.86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ind w:left="580"/>
              <w:spacing w:after="0"/>
              <w:rPr>
                <w:sz w:val="20"/>
                <w:szCs w:val="20"/>
                <w:color w:val="auto"/>
              </w:rPr>
            </w:pPr>
            <w:r>
              <w:rPr>
                <w:rFonts w:ascii="Arial" w:cs="Arial" w:eastAsia="Arial" w:hAnsi="Arial"/>
                <w:sz w:val="17"/>
                <w:szCs w:val="17"/>
                <w:color w:val="auto"/>
              </w:rPr>
              <w:t>8.67</w:t>
            </w:r>
          </w:p>
        </w:tc>
        <w:tc>
          <w:tcPr>
            <w:tcW w:w="260" w:type="dxa"/>
            <w:vAlign w:val="bottom"/>
          </w:tcPr>
          <w:p>
            <w:pPr>
              <w:spacing w:after="0"/>
              <w:rPr>
                <w:sz w:val="17"/>
                <w:szCs w:val="17"/>
                <w:color w:val="auto"/>
              </w:rPr>
            </w:pPr>
          </w:p>
        </w:tc>
        <w:tc>
          <w:tcPr>
            <w:tcW w:w="1000" w:type="dxa"/>
            <w:vAlign w:val="bottom"/>
            <w:gridSpan w:val="2"/>
          </w:tcPr>
          <w:p>
            <w:pPr>
              <w:ind w:left="560"/>
              <w:spacing w:after="0"/>
              <w:rPr>
                <w:sz w:val="20"/>
                <w:szCs w:val="20"/>
                <w:color w:val="auto"/>
              </w:rPr>
            </w:pPr>
            <w:r>
              <w:rPr>
                <w:rFonts w:ascii="Arial" w:cs="Arial" w:eastAsia="Arial" w:hAnsi="Arial"/>
                <w:sz w:val="17"/>
                <w:szCs w:val="17"/>
                <w:color w:val="auto"/>
              </w:rPr>
              <w:t>7.46</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380" w:type="dxa"/>
            <w:vAlign w:val="bottom"/>
          </w:tcPr>
          <w:p>
            <w:pPr>
              <w:spacing w:after="0"/>
              <w:rPr>
                <w:sz w:val="20"/>
                <w:szCs w:val="20"/>
                <w:color w:val="auto"/>
              </w:rPr>
            </w:pPr>
            <w:r>
              <w:rPr>
                <w:rFonts w:ascii="Arial" w:cs="Arial" w:eastAsia="Arial" w:hAnsi="Arial"/>
                <w:sz w:val="17"/>
                <w:szCs w:val="17"/>
                <w:color w:val="auto"/>
              </w:rPr>
              <w:t>Net income per common share</w:t>
            </w:r>
          </w:p>
        </w:tc>
        <w:tc>
          <w:tcPr>
            <w:tcW w:w="1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Basic</w:t>
            </w:r>
          </w:p>
        </w:tc>
        <w:tc>
          <w:tcPr>
            <w:tcW w:w="2360" w:type="dxa"/>
            <w:vAlign w:val="bottom"/>
            <w:gridSpan w:val="2"/>
            <w:shd w:val="clear" w:color="auto" w:fill="CCEEFF"/>
          </w:tcPr>
          <w:p>
            <w:pPr>
              <w:jc w:val="right"/>
              <w:ind w:right="555"/>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0.30</w:t>
            </w:r>
          </w:p>
        </w:tc>
        <w:tc>
          <w:tcPr>
            <w:tcW w:w="780" w:type="dxa"/>
            <w:vAlign w:val="bottom"/>
            <w:shd w:val="clear" w:color="auto" w:fill="CCEEFF"/>
          </w:tcPr>
          <w:p>
            <w:pPr>
              <w:jc w:val="right"/>
              <w:ind w:right="62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0.25</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0.49</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0.41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tcPr>
          <w:p>
            <w:pPr>
              <w:ind w:left="140"/>
              <w:spacing w:after="0"/>
              <w:rPr>
                <w:sz w:val="20"/>
                <w:szCs w:val="20"/>
                <w:color w:val="auto"/>
              </w:rPr>
            </w:pPr>
            <w:r>
              <w:rPr>
                <w:rFonts w:ascii="Arial" w:cs="Arial" w:eastAsia="Arial" w:hAnsi="Arial"/>
                <w:sz w:val="17"/>
                <w:szCs w:val="17"/>
                <w:color w:val="auto"/>
              </w:rPr>
              <w:t>Diluted</w:t>
            </w:r>
          </w:p>
        </w:tc>
        <w:tc>
          <w:tcPr>
            <w:tcW w:w="1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0.30</w:t>
            </w:r>
          </w:p>
        </w:tc>
        <w:tc>
          <w:tcPr>
            <w:tcW w:w="78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Arial" w:cs="Arial" w:eastAsia="Arial" w:hAnsi="Arial"/>
                <w:sz w:val="17"/>
                <w:szCs w:val="17"/>
                <w:color w:val="auto"/>
              </w:rPr>
              <w:t>0.24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ind w:left="580"/>
              <w:spacing w:after="0"/>
              <w:rPr>
                <w:sz w:val="20"/>
                <w:szCs w:val="20"/>
                <w:color w:val="auto"/>
              </w:rPr>
            </w:pPr>
            <w:r>
              <w:rPr>
                <w:rFonts w:ascii="Arial" w:cs="Arial" w:eastAsia="Arial" w:hAnsi="Arial"/>
                <w:sz w:val="17"/>
                <w:szCs w:val="17"/>
                <w:color w:val="auto"/>
              </w:rPr>
              <w:t>0.48</w:t>
            </w:r>
          </w:p>
        </w:tc>
        <w:tc>
          <w:tcPr>
            <w:tcW w:w="260" w:type="dxa"/>
            <w:vAlign w:val="bottom"/>
          </w:tcPr>
          <w:p>
            <w:pPr>
              <w:spacing w:after="0"/>
              <w:rPr>
                <w:sz w:val="18"/>
                <w:szCs w:val="18"/>
                <w:color w:val="auto"/>
              </w:rPr>
            </w:pPr>
          </w:p>
        </w:tc>
        <w:tc>
          <w:tcPr>
            <w:tcW w:w="1000" w:type="dxa"/>
            <w:vAlign w:val="bottom"/>
            <w:gridSpan w:val="2"/>
          </w:tcPr>
          <w:p>
            <w:pPr>
              <w:ind w:left="560"/>
              <w:spacing w:after="0"/>
              <w:rPr>
                <w:sz w:val="20"/>
                <w:szCs w:val="20"/>
                <w:color w:val="auto"/>
              </w:rPr>
            </w:pPr>
            <w:r>
              <w:rPr>
                <w:rFonts w:ascii="Arial" w:cs="Arial" w:eastAsia="Arial" w:hAnsi="Arial"/>
                <w:sz w:val="17"/>
                <w:szCs w:val="17"/>
                <w:color w:val="auto"/>
              </w:rPr>
              <w:t>0.40</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auto"/>
        </w:rPr>
        <w:t xml:space="preserve">Net interest income. </w:t>
      </w:r>
      <w:r>
        <w:rPr>
          <w:rFonts w:ascii="Arial" w:cs="Arial" w:eastAsia="Arial" w:hAnsi="Arial"/>
          <w:sz w:val="17"/>
          <w:szCs w:val="17"/>
          <w:color w:val="auto"/>
        </w:rPr>
        <w:t>Net interest income is the most important source of our earnings and thus is critical in evaluating our results of operations. Changes in our net</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net interest income totaled $19.6 million during the second quarter of 2016, an increase of $0.9 million, or 5.0% from the year-ago period. The increase in net interest income in 2016 compared to 2015 primarily reflects a $175.6 million increase in average interest-earning assets that was partially offset by a ten basis point decrease in our tax equivalent net interest income as a percent of average interest-earning assets (the “net interest margin”)</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For the first six months of 2016, net interest income totaled $39.4 million, an increase of $2.6 million, or 7.1% from 2015. Our net interest margin for the first six months of 2016 declined to 3.57% compared to 3.60% in 2015. The impact of the lower net interest margin was more than offset by a $163.0 million increase in average interest-earning assets.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Although the prolonged low interest rate environment has continued to pressure loan yields, this has been offset by growth in the amount of interest-earning assets, particularly loans. Total average interest-earning assets were $2.26 billion and $2.23 billion in the second quarter and first six months of 2016, respectively, compared to $2.08 billion and $2.07 billion in the second quarter and first six months of 2015, respectively.</w:t>
      </w:r>
    </w:p>
    <w:p>
      <w:pPr>
        <w:spacing w:after="0" w:line="200"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Interest rates have generally been at extremely low levels since 2008 due primarily to the Federal Reserve Bank’s (“FRB”) monetary policies and its efforts to stimulate the U.S. economy. This very low interest rate environment has created challenges as we seek to grow our interest income and net interest income. The FRB did move the target federal funds rate up by 0.25% in mid-December 2015. Future changes in the target federal funds rate are uncertain, however, we anticipate that any upward movements in short-term interest rates will be very gradual. Given the repricing characteristics of our interest-earning assets and interest-bearing liabilities (and our level of non-interest bearing demand deposits), we would expect that our net interest margin will generally benefit on a long-term basis from rising interest rates.</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net interest income is also adversely impacted by our level of non-accrual loans. In the second quarter and first six months of 2016 non-accrual loans averaged $10.6 million and $10.5 million, respectively compared to $13.2 million and $14.1 million, respectively for the same periods in 2015. In addition, in the second quarter and first six months of 2016 we had net recoveries of $0.13 million and $0.68 million, respectively, of accrued and unpaid interest on loans placed on or taken off non-accrual during each period compared to net recoveries of $0.13 million and $0.18 million, respectively, during the same periods in 2015.</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gridSpan w:val="2"/>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3320" w:type="dxa"/>
            <w:vAlign w:val="bottom"/>
            <w:gridSpan w:val="3"/>
          </w:tcPr>
          <w:p>
            <w:pPr>
              <w:spacing w:after="0"/>
              <w:rPr>
                <w:sz w:val="20"/>
                <w:szCs w:val="20"/>
                <w:color w:val="auto"/>
              </w:rPr>
            </w:pPr>
            <w:r>
              <w:rPr>
                <w:rFonts w:ascii="Arial" w:cs="Arial" w:eastAsia="Arial" w:hAnsi="Arial"/>
                <w:sz w:val="17"/>
                <w:szCs w:val="17"/>
                <w:b w:val="1"/>
                <w:bCs w:val="1"/>
                <w:color w:val="auto"/>
                <w:w w:val="92"/>
              </w:rPr>
              <w:t>Average Balances and Tax Equivalent Rates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gridSpan w:val="5"/>
          </w:tcPr>
          <w:p>
            <w:pPr>
              <w:jc w:val="right"/>
              <w:ind w:right="800"/>
              <w:spacing w:after="0"/>
              <w:rPr>
                <w:sz w:val="20"/>
                <w:szCs w:val="20"/>
                <w:color w:val="auto"/>
              </w:rPr>
            </w:pPr>
            <w:r>
              <w:rPr>
                <w:rFonts w:ascii="Arial" w:cs="Arial" w:eastAsia="Arial" w:hAnsi="Arial"/>
                <w:sz w:val="17"/>
                <w:szCs w:val="17"/>
                <w:color w:val="auto"/>
              </w:rPr>
              <w:t>Three Months Ended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restart"/>
          </w:tcPr>
          <w:p>
            <w:pPr>
              <w:jc w:val="right"/>
              <w:ind w:right="315"/>
              <w:spacing w:after="0"/>
              <w:rPr>
                <w:sz w:val="20"/>
                <w:szCs w:val="20"/>
                <w:color w:val="auto"/>
              </w:rPr>
            </w:pPr>
            <w:r>
              <w:rPr>
                <w:rFonts w:ascii="Arial" w:cs="Arial" w:eastAsia="Arial" w:hAnsi="Arial"/>
                <w:sz w:val="17"/>
                <w:szCs w:val="17"/>
                <w:color w:val="auto"/>
              </w:rPr>
              <w:t>2016</w:t>
            </w:r>
          </w:p>
        </w:tc>
        <w:tc>
          <w:tcPr>
            <w:tcW w:w="240" w:type="dxa"/>
            <w:vAlign w:val="bottom"/>
          </w:tcPr>
          <w:p>
            <w:pPr>
              <w:spacing w:after="0"/>
              <w:rPr>
                <w:sz w:val="18"/>
                <w:szCs w:val="18"/>
                <w:color w:val="auto"/>
              </w:rPr>
            </w:pPr>
          </w:p>
        </w:tc>
        <w:tc>
          <w:tcPr>
            <w:tcW w:w="1600" w:type="dxa"/>
            <w:vAlign w:val="bottom"/>
            <w:gridSpan w:val="3"/>
          </w:tcPr>
          <w:p>
            <w:pPr>
              <w:jc w:val="right"/>
              <w:ind w:right="26"/>
              <w:spacing w:after="0"/>
              <w:rPr>
                <w:sz w:val="20"/>
                <w:szCs w:val="20"/>
                <w:color w:val="auto"/>
              </w:rPr>
            </w:pPr>
            <w:r>
              <w:rPr>
                <w:rFonts w:ascii="Arial" w:cs="Arial" w:eastAsia="Arial" w:hAnsi="Arial"/>
                <w:sz w:val="17"/>
                <w:szCs w:val="17"/>
                <w:color w:val="auto"/>
              </w:rPr>
              <w:t>June 30,</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restart"/>
          </w:tcPr>
          <w:p>
            <w:pPr>
              <w:jc w:val="right"/>
              <w:ind w:right="295"/>
              <w:spacing w:after="0"/>
              <w:rPr>
                <w:sz w:val="20"/>
                <w:szCs w:val="20"/>
                <w:color w:val="auto"/>
              </w:rPr>
            </w:pPr>
            <w:r>
              <w:rPr>
                <w:rFonts w:ascii="Arial" w:cs="Arial" w:eastAsia="Arial" w:hAnsi="Arial"/>
                <w:sz w:val="17"/>
                <w:szCs w:val="17"/>
                <w:color w:val="auto"/>
              </w:rPr>
              <w:t>2015</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ind w:left="100"/>
              <w:spacing w:after="0" w:line="191" w:lineRule="exact"/>
              <w:rPr>
                <w:sz w:val="20"/>
                <w:szCs w:val="20"/>
                <w:color w:val="auto"/>
              </w:rPr>
            </w:pPr>
            <w:r>
              <w:rPr>
                <w:rFonts w:ascii="Arial" w:cs="Arial" w:eastAsia="Arial" w:hAnsi="Arial"/>
                <w:sz w:val="17"/>
                <w:szCs w:val="17"/>
                <w:color w:val="auto"/>
              </w:rPr>
              <w:t>Average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restart"/>
          </w:tcPr>
          <w:p>
            <w:pPr>
              <w:ind w:left="320"/>
              <w:spacing w:after="0"/>
              <w:rPr>
                <w:sz w:val="20"/>
                <w:szCs w:val="20"/>
                <w:color w:val="auto"/>
              </w:rPr>
            </w:pPr>
            <w:r>
              <w:rPr>
                <w:rFonts w:ascii="Arial" w:cs="Arial" w:eastAsia="Arial" w:hAnsi="Arial"/>
                <w:sz w:val="17"/>
                <w:szCs w:val="17"/>
                <w:color w:val="auto"/>
              </w:rPr>
              <w:t xml:space="preserve">Rate </w:t>
            </w:r>
            <w:r>
              <w:rPr>
                <w:rFonts w:ascii="Arial" w:cs="Arial" w:eastAsia="Arial" w:hAnsi="Arial"/>
                <w:sz w:val="28"/>
                <w:szCs w:val="28"/>
                <w:color w:val="auto"/>
                <w:vertAlign w:val="superscript"/>
              </w:rPr>
              <w:t>(3)</w:t>
            </w:r>
          </w:p>
        </w:tc>
        <w:tc>
          <w:tcPr>
            <w:tcW w:w="28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80"/>
              <w:spacing w:after="0" w:line="191" w:lineRule="exact"/>
              <w:rPr>
                <w:sz w:val="20"/>
                <w:szCs w:val="20"/>
                <w:color w:val="auto"/>
              </w:rPr>
            </w:pPr>
            <w:r>
              <w:rPr>
                <w:rFonts w:ascii="Arial" w:cs="Arial" w:eastAsia="Arial" w:hAnsi="Arial"/>
                <w:sz w:val="17"/>
                <w:szCs w:val="17"/>
                <w:color w:val="auto"/>
              </w:rPr>
              <w:t>Average</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restart"/>
          </w:tcPr>
          <w:p>
            <w:pPr>
              <w:ind w:left="300"/>
              <w:spacing w:after="0"/>
              <w:rPr>
                <w:sz w:val="20"/>
                <w:szCs w:val="20"/>
                <w:color w:val="auto"/>
              </w:rPr>
            </w:pPr>
            <w:r>
              <w:rPr>
                <w:rFonts w:ascii="Arial" w:cs="Arial" w:eastAsia="Arial" w:hAnsi="Arial"/>
                <w:sz w:val="17"/>
                <w:szCs w:val="17"/>
                <w:color w:val="auto"/>
              </w:rPr>
              <w:t xml:space="preserve">Rate </w:t>
            </w:r>
            <w:r>
              <w:rPr>
                <w:rFonts w:ascii="Arial" w:cs="Arial" w:eastAsia="Arial" w:hAnsi="Arial"/>
                <w:sz w:val="28"/>
                <w:szCs w:val="28"/>
                <w:color w:val="auto"/>
                <w:vertAlign w:val="superscript"/>
              </w:rPr>
              <w:t>(3)</w:t>
            </w:r>
          </w:p>
        </w:tc>
        <w:tc>
          <w:tcPr>
            <w:tcW w:w="14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Balance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color w:val="auto"/>
                <w:w w:val="88"/>
              </w:rPr>
              <w:t>Interest</w:t>
            </w:r>
          </w:p>
        </w:tc>
        <w:tc>
          <w:tcPr>
            <w:tcW w:w="240" w:type="dxa"/>
            <w:vAlign w:val="bottom"/>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Balance</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88"/>
              </w:rPr>
              <w:t>Interest</w:t>
            </w:r>
          </w:p>
        </w:tc>
        <w:tc>
          <w:tcPr>
            <w:tcW w:w="220" w:type="dxa"/>
            <w:vAlign w:val="bottom"/>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20" w:type="dxa"/>
            <w:vAlign w:val="bottom"/>
            <w:gridSpan w:val="3"/>
            <w:vMerge w:val="restart"/>
          </w:tcPr>
          <w:p>
            <w:pPr>
              <w:spacing w:after="0"/>
              <w:rPr>
                <w:sz w:val="20"/>
                <w:szCs w:val="20"/>
                <w:color w:val="auto"/>
              </w:rPr>
            </w:pPr>
            <w:r>
              <w:rPr>
                <w:rFonts w:ascii="Arial" w:cs="Arial" w:eastAsia="Arial" w:hAnsi="Arial"/>
                <w:sz w:val="17"/>
                <w:szCs w:val="17"/>
                <w:color w:val="auto"/>
              </w:rPr>
              <w:t xml:space="preserve">Assets </w:t>
            </w:r>
            <w:r>
              <w:rPr>
                <w:rFonts w:ascii="Arial" w:cs="Arial" w:eastAsia="Arial" w:hAnsi="Arial"/>
                <w:sz w:val="28"/>
                <w:szCs w:val="28"/>
                <w:color w:val="auto"/>
                <w:vertAlign w:val="superscript"/>
              </w:rPr>
              <w:t>(1)</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gridSpan w:val="5"/>
          </w:tcPr>
          <w:p>
            <w:pPr>
              <w:jc w:val="right"/>
              <w:ind w:right="760"/>
              <w:spacing w:after="0"/>
              <w:rPr>
                <w:sz w:val="20"/>
                <w:szCs w:val="20"/>
                <w:color w:val="auto"/>
              </w:rPr>
            </w:pPr>
            <w:r>
              <w:rPr>
                <w:rFonts w:ascii="Arial" w:cs="Arial" w:eastAsia="Arial" w:hAnsi="Arial"/>
                <w:sz w:val="17"/>
                <w:szCs w:val="17"/>
                <w:color w:val="auto"/>
              </w:rPr>
              <w:t>(Dollars in thousands)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3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Taxable loans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1,573,471</w:t>
            </w:r>
          </w:p>
        </w:tc>
        <w:tc>
          <w:tcPr>
            <w:tcW w:w="1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18,173</w:t>
            </w:r>
          </w:p>
        </w:tc>
        <w:tc>
          <w:tcPr>
            <w:tcW w:w="1420" w:type="dxa"/>
            <w:vAlign w:val="bottom"/>
            <w:tcBorders>
              <w:right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4.64%</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1,449,218</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17,707</w:t>
            </w: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w w:val="87"/>
              </w:rPr>
              <w:t>4.90%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gridSpan w:val="2"/>
          </w:tcPr>
          <w:p>
            <w:pPr>
              <w:spacing w:after="0" w:line="203" w:lineRule="exact"/>
              <w:rPr>
                <w:sz w:val="20"/>
                <w:szCs w:val="20"/>
                <w:color w:val="auto"/>
              </w:rPr>
            </w:pPr>
            <w:r>
              <w:rPr>
                <w:rFonts w:ascii="Arial" w:cs="Arial" w:eastAsia="Arial" w:hAnsi="Arial"/>
                <w:sz w:val="14"/>
                <w:szCs w:val="14"/>
                <w:color w:val="auto"/>
              </w:rPr>
              <w:t xml:space="preserve">Tax-exempt loans </w:t>
            </w:r>
            <w:r>
              <w:rPr>
                <w:rFonts w:ascii="Arial" w:cs="Arial" w:eastAsia="Arial" w:hAnsi="Arial"/>
                <w:sz w:val="23"/>
                <w:szCs w:val="23"/>
                <w:color w:val="auto"/>
                <w:vertAlign w:val="superscript"/>
              </w:rPr>
              <w:t>(2)</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3,555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55</w:t>
            </w:r>
          </w:p>
        </w:tc>
        <w:tc>
          <w:tcPr>
            <w:tcW w:w="1420" w:type="dxa"/>
            <w:vAlign w:val="bottom"/>
            <w:gridSpan w:val="2"/>
          </w:tcPr>
          <w:p>
            <w:pPr>
              <w:ind w:left="840"/>
              <w:spacing w:after="0"/>
              <w:rPr>
                <w:sz w:val="20"/>
                <w:szCs w:val="20"/>
                <w:color w:val="auto"/>
              </w:rPr>
            </w:pPr>
            <w:r>
              <w:rPr>
                <w:rFonts w:ascii="Arial" w:cs="Arial" w:eastAsia="Arial" w:hAnsi="Arial"/>
                <w:sz w:val="17"/>
                <w:szCs w:val="17"/>
                <w:color w:val="auto"/>
              </w:rPr>
              <w:t>6.22</w:t>
            </w: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4,198</w:t>
            </w:r>
          </w:p>
        </w:tc>
        <w:tc>
          <w:tcPr>
            <w:tcW w:w="2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67</w:t>
            </w:r>
          </w:p>
        </w:tc>
        <w:tc>
          <w:tcPr>
            <w:tcW w:w="1260" w:type="dxa"/>
            <w:vAlign w:val="bottom"/>
            <w:gridSpan w:val="2"/>
          </w:tcPr>
          <w:p>
            <w:pPr>
              <w:ind w:left="820"/>
              <w:spacing w:after="0"/>
              <w:rPr>
                <w:sz w:val="20"/>
                <w:szCs w:val="20"/>
                <w:color w:val="auto"/>
              </w:rPr>
            </w:pPr>
            <w:r>
              <w:rPr>
                <w:rFonts w:ascii="Arial" w:cs="Arial" w:eastAsia="Arial" w:hAnsi="Arial"/>
                <w:sz w:val="17"/>
                <w:szCs w:val="17"/>
                <w:color w:val="auto"/>
              </w:rPr>
              <w:t>6.40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Taxable securities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541,557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2,480</w:t>
            </w:r>
          </w:p>
        </w:tc>
        <w:tc>
          <w:tcPr>
            <w:tcW w:w="1420" w:type="dxa"/>
            <w:vAlign w:val="bottom"/>
            <w:tcBorders>
              <w:right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1.83</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529,345</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1,869</w:t>
            </w: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gridSpan w:val="2"/>
          </w:tcPr>
          <w:p>
            <w:pPr>
              <w:spacing w:after="0" w:line="203" w:lineRule="exact"/>
              <w:rPr>
                <w:sz w:val="20"/>
                <w:szCs w:val="20"/>
                <w:color w:val="auto"/>
              </w:rPr>
            </w:pPr>
            <w:r>
              <w:rPr>
                <w:rFonts w:ascii="Arial" w:cs="Arial" w:eastAsia="Arial" w:hAnsi="Arial"/>
                <w:sz w:val="14"/>
                <w:szCs w:val="14"/>
                <w:color w:val="auto"/>
              </w:rPr>
              <w:t xml:space="preserve">Tax-exempt securities </w:t>
            </w:r>
            <w:r>
              <w:rPr>
                <w:rFonts w:ascii="Arial" w:cs="Arial" w:eastAsia="Arial" w:hAnsi="Arial"/>
                <w:sz w:val="23"/>
                <w:szCs w:val="23"/>
                <w:color w:val="auto"/>
                <w:vertAlign w:val="superscript"/>
              </w:rPr>
              <w:t>(2)</w:t>
            </w:r>
          </w:p>
        </w:tc>
        <w:tc>
          <w:tcPr>
            <w:tcW w:w="2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50,091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432</w:t>
            </w:r>
          </w:p>
        </w:tc>
        <w:tc>
          <w:tcPr>
            <w:tcW w:w="1420" w:type="dxa"/>
            <w:vAlign w:val="bottom"/>
            <w:gridSpan w:val="2"/>
          </w:tcPr>
          <w:p>
            <w:pPr>
              <w:ind w:left="840"/>
              <w:spacing w:after="0"/>
              <w:rPr>
                <w:sz w:val="20"/>
                <w:szCs w:val="20"/>
                <w:color w:val="auto"/>
              </w:rPr>
            </w:pPr>
            <w:r>
              <w:rPr>
                <w:rFonts w:ascii="Arial" w:cs="Arial" w:eastAsia="Arial" w:hAnsi="Arial"/>
                <w:sz w:val="17"/>
                <w:szCs w:val="17"/>
                <w:color w:val="auto"/>
              </w:rPr>
              <w:t>3.45</w:t>
            </w: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31,397</w:t>
            </w:r>
          </w:p>
        </w:tc>
        <w:tc>
          <w:tcPr>
            <w:tcW w:w="2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341</w:t>
            </w:r>
          </w:p>
        </w:tc>
        <w:tc>
          <w:tcPr>
            <w:tcW w:w="1260" w:type="dxa"/>
            <w:vAlign w:val="bottom"/>
            <w:gridSpan w:val="2"/>
          </w:tcPr>
          <w:p>
            <w:pPr>
              <w:ind w:left="820"/>
              <w:spacing w:after="0"/>
              <w:rPr>
                <w:sz w:val="20"/>
                <w:szCs w:val="20"/>
                <w:color w:val="auto"/>
              </w:rPr>
            </w:pPr>
            <w:r>
              <w:rPr>
                <w:rFonts w:ascii="Arial" w:cs="Arial" w:eastAsia="Arial" w:hAnsi="Arial"/>
                <w:sz w:val="17"/>
                <w:szCs w:val="17"/>
                <w:color w:val="auto"/>
              </w:rPr>
              <w:t>4.34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bearing cash</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74,384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100</w:t>
            </w:r>
          </w:p>
        </w:tc>
        <w:tc>
          <w:tcPr>
            <w:tcW w:w="1420" w:type="dxa"/>
            <w:vAlign w:val="bottom"/>
            <w:tcBorders>
              <w:right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0.54</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50,664</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54</w:t>
            </w: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0.43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7"/>
                <w:szCs w:val="17"/>
                <w:color w:val="auto"/>
              </w:rPr>
              <w:t>Other investments</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15,478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197</w:t>
            </w:r>
          </w:p>
        </w:tc>
        <w:tc>
          <w:tcPr>
            <w:tcW w:w="1420" w:type="dxa"/>
            <w:vAlign w:val="bottom"/>
            <w:gridSpan w:val="2"/>
          </w:tcPr>
          <w:p>
            <w:pPr>
              <w:ind w:left="840"/>
              <w:spacing w:after="0"/>
              <w:rPr>
                <w:sz w:val="20"/>
                <w:szCs w:val="20"/>
                <w:color w:val="auto"/>
              </w:rPr>
            </w:pPr>
            <w:r>
              <w:rPr>
                <w:rFonts w:ascii="Arial" w:cs="Arial" w:eastAsia="Arial" w:hAnsi="Arial"/>
                <w:sz w:val="17"/>
                <w:szCs w:val="17"/>
                <w:color w:val="auto"/>
              </w:rPr>
              <w:t>5.12</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18,145</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235</w:t>
            </w:r>
          </w:p>
        </w:tc>
        <w:tc>
          <w:tcPr>
            <w:tcW w:w="1260" w:type="dxa"/>
            <w:vAlign w:val="bottom"/>
            <w:gridSpan w:val="2"/>
          </w:tcPr>
          <w:p>
            <w:pPr>
              <w:ind w:left="820"/>
              <w:spacing w:after="0"/>
              <w:rPr>
                <w:sz w:val="20"/>
                <w:szCs w:val="20"/>
                <w:color w:val="auto"/>
              </w:rPr>
            </w:pPr>
            <w:r>
              <w:rPr>
                <w:rFonts w:ascii="Arial" w:cs="Arial" w:eastAsia="Arial" w:hAnsi="Arial"/>
                <w:sz w:val="17"/>
                <w:szCs w:val="17"/>
                <w:color w:val="auto"/>
              </w:rPr>
              <w:t>5.19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3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Interest Earning Assets</w:t>
            </w: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2,258,536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21,437</w:t>
            </w:r>
          </w:p>
        </w:tc>
        <w:tc>
          <w:tcPr>
            <w:tcW w:w="2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right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3.81</w:t>
            </w: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2,082,967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20,273</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7"/>
                <w:szCs w:val="17"/>
                <w:color w:val="auto"/>
              </w:rPr>
              <w:t>3.90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gridSpan w:val="2"/>
          </w:tcPr>
          <w:p>
            <w:pPr>
              <w:spacing w:after="0"/>
              <w:rPr>
                <w:sz w:val="20"/>
                <w:szCs w:val="20"/>
                <w:color w:val="auto"/>
              </w:rPr>
            </w:pPr>
            <w:r>
              <w:rPr>
                <w:rFonts w:ascii="Arial" w:cs="Arial" w:eastAsia="Arial" w:hAnsi="Arial"/>
                <w:sz w:val="17"/>
                <w:szCs w:val="17"/>
                <w:color w:val="auto"/>
              </w:rPr>
              <w:t>Cash and due from banks</w:t>
            </w:r>
          </w:p>
        </w:tc>
        <w:tc>
          <w:tcPr>
            <w:tcW w:w="2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34,515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42,980</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assets, net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154,859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167,499</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20" w:type="dxa"/>
            <w:vAlign w:val="bottom"/>
          </w:tcPr>
          <w:p>
            <w:pPr>
              <w:jc w:val="right"/>
              <w:ind w:right="15"/>
              <w:spacing w:after="0"/>
              <w:rPr>
                <w:sz w:val="20"/>
                <w:szCs w:val="20"/>
                <w:color w:val="auto"/>
              </w:rPr>
            </w:pPr>
            <w:r>
              <w:rPr>
                <w:rFonts w:ascii="Arial" w:cs="Arial" w:eastAsia="Arial" w:hAnsi="Arial"/>
                <w:sz w:val="17"/>
                <w:szCs w:val="17"/>
                <w:color w:val="auto"/>
              </w:rPr>
              <w:t>Total Assets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2,447,910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2,293,446</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300" w:type="dxa"/>
            <w:vAlign w:val="bottom"/>
            <w:gridSpan w:val="2"/>
          </w:tcPr>
          <w:p>
            <w:pPr>
              <w:spacing w:after="0"/>
              <w:rPr>
                <w:sz w:val="20"/>
                <w:szCs w:val="20"/>
                <w:color w:val="auto"/>
              </w:rPr>
            </w:pPr>
            <w:r>
              <w:rPr>
                <w:rFonts w:ascii="Arial" w:cs="Arial" w:eastAsia="Arial" w:hAnsi="Arial"/>
                <w:sz w:val="17"/>
                <w:szCs w:val="17"/>
                <w:color w:val="auto"/>
              </w:rPr>
              <w:t>Liabilities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Savings and interest- bearing checking</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1,027,913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277</w:t>
            </w:r>
          </w:p>
        </w:tc>
        <w:tc>
          <w:tcPr>
            <w:tcW w:w="1140" w:type="dxa"/>
            <w:vAlign w:val="bottom"/>
            <w:shd w:val="clear" w:color="auto" w:fill="CCEEFF"/>
          </w:tcPr>
          <w:p>
            <w:pPr>
              <w:ind w:left="860"/>
              <w:spacing w:after="0"/>
              <w:rPr>
                <w:sz w:val="20"/>
                <w:szCs w:val="20"/>
                <w:color w:val="auto"/>
              </w:rPr>
            </w:pPr>
            <w:r>
              <w:rPr>
                <w:rFonts w:ascii="Arial" w:cs="Arial" w:eastAsia="Arial" w:hAnsi="Arial"/>
                <w:sz w:val="17"/>
                <w:szCs w:val="17"/>
                <w:color w:val="auto"/>
                <w:w w:val="78"/>
              </w:rPr>
              <w:t>0.11</w:t>
            </w: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990,019</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260</w:t>
            </w: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0.11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gridSpan w:val="2"/>
          </w:tcPr>
          <w:p>
            <w:pPr>
              <w:spacing w:after="0"/>
              <w:rPr>
                <w:sz w:val="20"/>
                <w:szCs w:val="20"/>
                <w:color w:val="auto"/>
              </w:rPr>
            </w:pPr>
            <w:r>
              <w:rPr>
                <w:rFonts w:ascii="Arial" w:cs="Arial" w:eastAsia="Arial" w:hAnsi="Arial"/>
                <w:sz w:val="17"/>
                <w:szCs w:val="17"/>
                <w:color w:val="auto"/>
              </w:rPr>
              <w:t>Time deposits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430,955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875</w:t>
            </w:r>
          </w:p>
        </w:tc>
        <w:tc>
          <w:tcPr>
            <w:tcW w:w="1420" w:type="dxa"/>
            <w:vAlign w:val="bottom"/>
            <w:gridSpan w:val="2"/>
          </w:tcPr>
          <w:p>
            <w:pPr>
              <w:ind w:left="840"/>
              <w:spacing w:after="0"/>
              <w:rPr>
                <w:sz w:val="20"/>
                <w:szCs w:val="20"/>
                <w:color w:val="auto"/>
              </w:rPr>
            </w:pPr>
            <w:r>
              <w:rPr>
                <w:rFonts w:ascii="Arial" w:cs="Arial" w:eastAsia="Arial" w:hAnsi="Arial"/>
                <w:sz w:val="17"/>
                <w:szCs w:val="17"/>
                <w:color w:val="auto"/>
              </w:rPr>
              <w:t>0.82</w:t>
            </w: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371,304</w:t>
            </w:r>
          </w:p>
        </w:tc>
        <w:tc>
          <w:tcPr>
            <w:tcW w:w="2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707</w:t>
            </w:r>
          </w:p>
        </w:tc>
        <w:tc>
          <w:tcPr>
            <w:tcW w:w="1260" w:type="dxa"/>
            <w:vAlign w:val="bottom"/>
            <w:gridSpan w:val="2"/>
          </w:tcPr>
          <w:p>
            <w:pPr>
              <w:ind w:left="820"/>
              <w:spacing w:after="0"/>
              <w:rPr>
                <w:sz w:val="20"/>
                <w:szCs w:val="20"/>
                <w:color w:val="auto"/>
              </w:rPr>
            </w:pPr>
            <w:r>
              <w:rPr>
                <w:rFonts w:ascii="Arial" w:cs="Arial" w:eastAsia="Arial" w:hAnsi="Arial"/>
                <w:sz w:val="17"/>
                <w:szCs w:val="17"/>
                <w:color w:val="auto"/>
              </w:rPr>
              <w:t>0.76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borrowings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485</w:t>
            </w:r>
          </w:p>
        </w:tc>
        <w:tc>
          <w:tcPr>
            <w:tcW w:w="1140" w:type="dxa"/>
            <w:vAlign w:val="bottom"/>
            <w:shd w:val="clear" w:color="auto" w:fill="CCEEFF"/>
          </w:tcPr>
          <w:p>
            <w:pPr>
              <w:ind w:left="860"/>
              <w:spacing w:after="0"/>
              <w:rPr>
                <w:sz w:val="20"/>
                <w:szCs w:val="20"/>
                <w:color w:val="auto"/>
              </w:rPr>
            </w:pPr>
            <w:r>
              <w:rPr>
                <w:rFonts w:ascii="Arial" w:cs="Arial" w:eastAsia="Arial" w:hAnsi="Arial"/>
                <w:sz w:val="17"/>
                <w:szCs w:val="17"/>
                <w:color w:val="auto"/>
                <w:w w:val="78"/>
              </w:rPr>
              <w:t>4.11</w:t>
            </w: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47,986</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463</w:t>
            </w: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3.87</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20" w:type="dxa"/>
            <w:vAlign w:val="bottom"/>
          </w:tcPr>
          <w:p>
            <w:pPr>
              <w:jc w:val="right"/>
              <w:ind w:right="15"/>
              <w:spacing w:after="0"/>
              <w:rPr>
                <w:sz w:val="20"/>
                <w:szCs w:val="20"/>
                <w:color w:val="auto"/>
              </w:rPr>
            </w:pPr>
            <w:r>
              <w:rPr>
                <w:rFonts w:ascii="Arial" w:cs="Arial" w:eastAsia="Arial" w:hAnsi="Arial"/>
                <w:sz w:val="17"/>
                <w:szCs w:val="17"/>
                <w:color w:val="auto"/>
              </w:rPr>
              <w:t>Interest Bearing Liabilities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1,506,335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1,637</w:t>
            </w:r>
          </w:p>
        </w:tc>
        <w:tc>
          <w:tcPr>
            <w:tcW w:w="1420" w:type="dxa"/>
            <w:vAlign w:val="bottom"/>
            <w:gridSpan w:val="2"/>
          </w:tcPr>
          <w:p>
            <w:pPr>
              <w:ind w:left="840"/>
              <w:spacing w:after="0"/>
              <w:rPr>
                <w:sz w:val="20"/>
                <w:szCs w:val="20"/>
                <w:color w:val="auto"/>
              </w:rPr>
            </w:pPr>
            <w:r>
              <w:rPr>
                <w:rFonts w:ascii="Arial" w:cs="Arial" w:eastAsia="Arial" w:hAnsi="Arial"/>
                <w:sz w:val="17"/>
                <w:szCs w:val="17"/>
                <w:color w:val="auto"/>
              </w:rPr>
              <w:t>0.44</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1,409,309</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1,430</w:t>
            </w:r>
          </w:p>
        </w:tc>
        <w:tc>
          <w:tcPr>
            <w:tcW w:w="1260" w:type="dxa"/>
            <w:vAlign w:val="bottom"/>
            <w:gridSpan w:val="2"/>
          </w:tcPr>
          <w:p>
            <w:pPr>
              <w:ind w:left="820"/>
              <w:spacing w:after="0"/>
              <w:rPr>
                <w:sz w:val="20"/>
                <w:szCs w:val="20"/>
                <w:color w:val="auto"/>
              </w:rPr>
            </w:pPr>
            <w:r>
              <w:rPr>
                <w:rFonts w:ascii="Arial" w:cs="Arial" w:eastAsia="Arial" w:hAnsi="Arial"/>
                <w:sz w:val="17"/>
                <w:szCs w:val="17"/>
                <w:color w:val="auto"/>
              </w:rPr>
              <w:t>0.41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Non-interest bearing deposits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672,920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603,706</w:t>
            </w: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gridSpan w:val="2"/>
          </w:tcPr>
          <w:p>
            <w:pPr>
              <w:spacing w:after="0"/>
              <w:rPr>
                <w:sz w:val="20"/>
                <w:szCs w:val="20"/>
                <w:color w:val="auto"/>
              </w:rPr>
            </w:pPr>
            <w:r>
              <w:rPr>
                <w:rFonts w:ascii="Arial" w:cs="Arial" w:eastAsia="Arial" w:hAnsi="Arial"/>
                <w:sz w:val="17"/>
                <w:szCs w:val="17"/>
                <w:color w:val="auto"/>
              </w:rPr>
              <w:t>Other liabilities</w:t>
            </w:r>
          </w:p>
        </w:tc>
        <w:tc>
          <w:tcPr>
            <w:tcW w:w="2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25,855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25,948</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242,800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254,483</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20" w:type="dxa"/>
            <w:vAlign w:val="bottom"/>
          </w:tcPr>
          <w:p>
            <w:pPr>
              <w:jc w:val="right"/>
              <w:ind w:right="15"/>
              <w:spacing w:after="0"/>
              <w:rPr>
                <w:sz w:val="20"/>
                <w:szCs w:val="20"/>
                <w:color w:val="auto"/>
              </w:rPr>
            </w:pPr>
            <w:r>
              <w:rPr>
                <w:rFonts w:ascii="Arial" w:cs="Arial" w:eastAsia="Arial" w:hAnsi="Arial"/>
                <w:sz w:val="17"/>
                <w:szCs w:val="17"/>
                <w:color w:val="auto"/>
                <w:w w:val="97"/>
              </w:rPr>
              <w:t>Total liabilities and shareholders’ equity</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2,447,910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2,293,446</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rPr>
                <w:sz w:val="16"/>
                <w:szCs w:val="16"/>
                <w:color w:val="auto"/>
              </w:rPr>
            </w:pPr>
          </w:p>
        </w:tc>
        <w:tc>
          <w:tcPr>
            <w:tcW w:w="1180" w:type="dxa"/>
            <w:vAlign w:val="bottom"/>
            <w:gridSpan w:val="2"/>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20" w:type="dxa"/>
            <w:vAlign w:val="bottom"/>
          </w:tcPr>
          <w:p>
            <w:pPr>
              <w:jc w:val="right"/>
              <w:ind w:right="15"/>
              <w:spacing w:after="0"/>
              <w:rPr>
                <w:sz w:val="20"/>
                <w:szCs w:val="20"/>
                <w:color w:val="auto"/>
              </w:rPr>
            </w:pPr>
            <w:r>
              <w:rPr>
                <w:rFonts w:ascii="Arial" w:cs="Arial" w:eastAsia="Arial" w:hAnsi="Arial"/>
                <w:sz w:val="17"/>
                <w:szCs w:val="17"/>
                <w:color w:val="auto"/>
              </w:rPr>
              <w:t>Net Interest Income</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19,800</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18,843</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00" w:type="dxa"/>
            <w:vAlign w:val="bottom"/>
            <w:gridSpan w:val="2"/>
          </w:tcPr>
          <w:p>
            <w:pPr>
              <w:jc w:val="right"/>
              <w:ind w:right="15"/>
              <w:spacing w:after="0" w:line="191" w:lineRule="exact"/>
              <w:rPr>
                <w:sz w:val="20"/>
                <w:szCs w:val="20"/>
                <w:color w:val="auto"/>
              </w:rPr>
            </w:pPr>
            <w:r>
              <w:rPr>
                <w:rFonts w:ascii="Arial" w:cs="Arial" w:eastAsia="Arial" w:hAnsi="Arial"/>
                <w:sz w:val="17"/>
                <w:szCs w:val="17"/>
                <w:color w:val="auto"/>
                <w:w w:val="94"/>
              </w:rPr>
              <w:t>Net Interest Income as a Percent of Average</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20" w:type="dxa"/>
            <w:vAlign w:val="bottom"/>
          </w:tcPr>
          <w:p>
            <w:pPr>
              <w:jc w:val="right"/>
              <w:ind w:right="15"/>
              <w:spacing w:after="0"/>
              <w:rPr>
                <w:sz w:val="20"/>
                <w:szCs w:val="20"/>
                <w:color w:val="auto"/>
              </w:rPr>
            </w:pPr>
            <w:r>
              <w:rPr>
                <w:rFonts w:ascii="Arial" w:cs="Arial" w:eastAsia="Arial" w:hAnsi="Arial"/>
                <w:sz w:val="17"/>
                <w:szCs w:val="17"/>
                <w:color w:val="auto"/>
              </w:rPr>
              <w:t>Interest Earning Assets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ind w:left="840"/>
              <w:spacing w:after="0"/>
              <w:rPr>
                <w:sz w:val="20"/>
                <w:szCs w:val="20"/>
                <w:color w:val="auto"/>
              </w:rPr>
            </w:pPr>
            <w:r>
              <w:rPr>
                <w:rFonts w:ascii="Arial" w:cs="Arial" w:eastAsia="Arial" w:hAnsi="Arial"/>
                <w:sz w:val="17"/>
                <w:szCs w:val="17"/>
                <w:color w:val="auto"/>
              </w:rPr>
              <w:t>3.52%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Arial" w:cs="Arial" w:eastAsia="Arial" w:hAnsi="Arial"/>
                <w:sz w:val="17"/>
                <w:szCs w:val="17"/>
                <w:color w:val="auto"/>
                <w:w w:val="87"/>
              </w:rPr>
              <w:t>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200025</wp:posOffset>
            </wp:positionV>
            <wp:extent cx="146812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68120" cy="3683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300" w:hanging="298"/>
        <w:spacing w:after="0"/>
        <w:tabs>
          <w:tab w:leader="none" w:pos="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domestic.</w:t>
      </w:r>
    </w:p>
    <w:p>
      <w:pPr>
        <w:spacing w:after="0" w:line="19" w:lineRule="exact"/>
        <w:rPr>
          <w:rFonts w:ascii="Arial" w:cs="Arial" w:eastAsia="Arial" w:hAnsi="Arial"/>
          <w:sz w:val="17"/>
          <w:szCs w:val="17"/>
          <w:color w:val="auto"/>
        </w:rPr>
      </w:pPr>
    </w:p>
    <w:p>
      <w:pPr>
        <w:ind w:left="300" w:hanging="298"/>
        <w:spacing w:after="0"/>
        <w:tabs>
          <w:tab w:leader="none" w:pos="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Interest on tax-exempt loans and securities is presented on a fully tax equivalent basis assuming a marginal tax rate of 35%</w:t>
      </w:r>
    </w:p>
    <w:p>
      <w:pPr>
        <w:spacing w:after="0" w:line="8" w:lineRule="exact"/>
        <w:rPr>
          <w:rFonts w:ascii="Arial" w:cs="Arial" w:eastAsia="Arial" w:hAnsi="Arial"/>
          <w:sz w:val="17"/>
          <w:szCs w:val="17"/>
          <w:color w:val="auto"/>
        </w:rPr>
      </w:pPr>
    </w:p>
    <w:p>
      <w:pPr>
        <w:ind w:left="300" w:hanging="298"/>
        <w:spacing w:after="0"/>
        <w:tabs>
          <w:tab w:leader="none" w:pos="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Annualized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gridSpan w:val="2"/>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3320" w:type="dxa"/>
            <w:vAlign w:val="bottom"/>
            <w:gridSpan w:val="3"/>
          </w:tcPr>
          <w:p>
            <w:pPr>
              <w:spacing w:after="0"/>
              <w:rPr>
                <w:sz w:val="20"/>
                <w:szCs w:val="20"/>
                <w:color w:val="auto"/>
              </w:rPr>
            </w:pPr>
            <w:r>
              <w:rPr>
                <w:rFonts w:ascii="Arial" w:cs="Arial" w:eastAsia="Arial" w:hAnsi="Arial"/>
                <w:sz w:val="17"/>
                <w:szCs w:val="17"/>
                <w:b w:val="1"/>
                <w:bCs w:val="1"/>
                <w:color w:val="auto"/>
                <w:w w:val="92"/>
              </w:rPr>
              <w:t>Average Balances and Tax Equivalent Rates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gridSpan w:val="5"/>
          </w:tcPr>
          <w:p>
            <w:pPr>
              <w:jc w:val="right"/>
              <w:ind w:right="880"/>
              <w:spacing w:after="0"/>
              <w:rPr>
                <w:sz w:val="20"/>
                <w:szCs w:val="20"/>
                <w:color w:val="auto"/>
              </w:rPr>
            </w:pPr>
            <w:r>
              <w:rPr>
                <w:rFonts w:ascii="Arial" w:cs="Arial" w:eastAsia="Arial" w:hAnsi="Arial"/>
                <w:sz w:val="17"/>
                <w:szCs w:val="17"/>
                <w:color w:val="auto"/>
              </w:rPr>
              <w:t>Six Months Ended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restart"/>
          </w:tcPr>
          <w:p>
            <w:pPr>
              <w:jc w:val="right"/>
              <w:ind w:right="315"/>
              <w:spacing w:after="0"/>
              <w:rPr>
                <w:sz w:val="20"/>
                <w:szCs w:val="20"/>
                <w:color w:val="auto"/>
              </w:rPr>
            </w:pPr>
            <w:r>
              <w:rPr>
                <w:rFonts w:ascii="Arial" w:cs="Arial" w:eastAsia="Arial" w:hAnsi="Arial"/>
                <w:sz w:val="17"/>
                <w:szCs w:val="17"/>
                <w:color w:val="auto"/>
              </w:rPr>
              <w:t>2016</w:t>
            </w:r>
          </w:p>
        </w:tc>
        <w:tc>
          <w:tcPr>
            <w:tcW w:w="240" w:type="dxa"/>
            <w:vAlign w:val="bottom"/>
          </w:tcPr>
          <w:p>
            <w:pPr>
              <w:spacing w:after="0"/>
              <w:rPr>
                <w:sz w:val="18"/>
                <w:szCs w:val="18"/>
                <w:color w:val="auto"/>
              </w:rPr>
            </w:pPr>
          </w:p>
        </w:tc>
        <w:tc>
          <w:tcPr>
            <w:tcW w:w="1600" w:type="dxa"/>
            <w:vAlign w:val="bottom"/>
            <w:gridSpan w:val="3"/>
          </w:tcPr>
          <w:p>
            <w:pPr>
              <w:jc w:val="right"/>
              <w:ind w:right="26"/>
              <w:spacing w:after="0"/>
              <w:rPr>
                <w:sz w:val="20"/>
                <w:szCs w:val="20"/>
                <w:color w:val="auto"/>
              </w:rPr>
            </w:pPr>
            <w:r>
              <w:rPr>
                <w:rFonts w:ascii="Arial" w:cs="Arial" w:eastAsia="Arial" w:hAnsi="Arial"/>
                <w:sz w:val="17"/>
                <w:szCs w:val="17"/>
                <w:color w:val="auto"/>
              </w:rPr>
              <w:t>June 30,</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restart"/>
          </w:tcPr>
          <w:p>
            <w:pPr>
              <w:jc w:val="right"/>
              <w:ind w:right="295"/>
              <w:spacing w:after="0"/>
              <w:rPr>
                <w:sz w:val="20"/>
                <w:szCs w:val="20"/>
                <w:color w:val="auto"/>
              </w:rPr>
            </w:pPr>
            <w:r>
              <w:rPr>
                <w:rFonts w:ascii="Arial" w:cs="Arial" w:eastAsia="Arial" w:hAnsi="Arial"/>
                <w:sz w:val="17"/>
                <w:szCs w:val="17"/>
                <w:color w:val="auto"/>
              </w:rPr>
              <w:t>2015</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ind w:left="100"/>
              <w:spacing w:after="0" w:line="191" w:lineRule="exact"/>
              <w:rPr>
                <w:sz w:val="20"/>
                <w:szCs w:val="20"/>
                <w:color w:val="auto"/>
              </w:rPr>
            </w:pPr>
            <w:r>
              <w:rPr>
                <w:rFonts w:ascii="Arial" w:cs="Arial" w:eastAsia="Arial" w:hAnsi="Arial"/>
                <w:sz w:val="17"/>
                <w:szCs w:val="17"/>
                <w:color w:val="auto"/>
              </w:rPr>
              <w:t>Average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restart"/>
          </w:tcPr>
          <w:p>
            <w:pPr>
              <w:ind w:left="320"/>
              <w:spacing w:after="0"/>
              <w:rPr>
                <w:sz w:val="20"/>
                <w:szCs w:val="20"/>
                <w:color w:val="auto"/>
              </w:rPr>
            </w:pPr>
            <w:r>
              <w:rPr>
                <w:rFonts w:ascii="Arial" w:cs="Arial" w:eastAsia="Arial" w:hAnsi="Arial"/>
                <w:sz w:val="17"/>
                <w:szCs w:val="17"/>
                <w:color w:val="auto"/>
              </w:rPr>
              <w:t xml:space="preserve">Rate </w:t>
            </w:r>
            <w:r>
              <w:rPr>
                <w:rFonts w:ascii="Arial" w:cs="Arial" w:eastAsia="Arial" w:hAnsi="Arial"/>
                <w:sz w:val="28"/>
                <w:szCs w:val="28"/>
                <w:color w:val="auto"/>
                <w:vertAlign w:val="superscript"/>
              </w:rPr>
              <w:t>(3)</w:t>
            </w:r>
          </w:p>
        </w:tc>
        <w:tc>
          <w:tcPr>
            <w:tcW w:w="28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80"/>
              <w:spacing w:after="0" w:line="191" w:lineRule="exact"/>
              <w:rPr>
                <w:sz w:val="20"/>
                <w:szCs w:val="20"/>
                <w:color w:val="auto"/>
              </w:rPr>
            </w:pPr>
            <w:r>
              <w:rPr>
                <w:rFonts w:ascii="Arial" w:cs="Arial" w:eastAsia="Arial" w:hAnsi="Arial"/>
                <w:sz w:val="17"/>
                <w:szCs w:val="17"/>
                <w:color w:val="auto"/>
              </w:rPr>
              <w:t>Average</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restart"/>
          </w:tcPr>
          <w:p>
            <w:pPr>
              <w:ind w:left="300"/>
              <w:spacing w:after="0"/>
              <w:rPr>
                <w:sz w:val="20"/>
                <w:szCs w:val="20"/>
                <w:color w:val="auto"/>
              </w:rPr>
            </w:pPr>
            <w:r>
              <w:rPr>
                <w:rFonts w:ascii="Arial" w:cs="Arial" w:eastAsia="Arial" w:hAnsi="Arial"/>
                <w:sz w:val="17"/>
                <w:szCs w:val="17"/>
                <w:color w:val="auto"/>
              </w:rPr>
              <w:t xml:space="preserve">Rate </w:t>
            </w:r>
            <w:r>
              <w:rPr>
                <w:rFonts w:ascii="Arial" w:cs="Arial" w:eastAsia="Arial" w:hAnsi="Arial"/>
                <w:sz w:val="28"/>
                <w:szCs w:val="28"/>
                <w:color w:val="auto"/>
                <w:vertAlign w:val="superscript"/>
              </w:rPr>
              <w:t>(3)</w:t>
            </w:r>
          </w:p>
        </w:tc>
        <w:tc>
          <w:tcPr>
            <w:tcW w:w="14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Balance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color w:val="auto"/>
                <w:w w:val="88"/>
              </w:rPr>
              <w:t>Interest</w:t>
            </w:r>
          </w:p>
        </w:tc>
        <w:tc>
          <w:tcPr>
            <w:tcW w:w="240" w:type="dxa"/>
            <w:vAlign w:val="bottom"/>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Balance</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88"/>
              </w:rPr>
              <w:t>Interest</w:t>
            </w:r>
          </w:p>
        </w:tc>
        <w:tc>
          <w:tcPr>
            <w:tcW w:w="220" w:type="dxa"/>
            <w:vAlign w:val="bottom"/>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20" w:type="dxa"/>
            <w:vAlign w:val="bottom"/>
            <w:gridSpan w:val="3"/>
            <w:vMerge w:val="restart"/>
          </w:tcPr>
          <w:p>
            <w:pPr>
              <w:spacing w:after="0"/>
              <w:rPr>
                <w:sz w:val="20"/>
                <w:szCs w:val="20"/>
                <w:color w:val="auto"/>
              </w:rPr>
            </w:pPr>
            <w:r>
              <w:rPr>
                <w:rFonts w:ascii="Arial" w:cs="Arial" w:eastAsia="Arial" w:hAnsi="Arial"/>
                <w:sz w:val="17"/>
                <w:szCs w:val="17"/>
                <w:color w:val="auto"/>
              </w:rPr>
              <w:t xml:space="preserve">Assets </w:t>
            </w:r>
            <w:r>
              <w:rPr>
                <w:rFonts w:ascii="Arial" w:cs="Arial" w:eastAsia="Arial" w:hAnsi="Arial"/>
                <w:sz w:val="28"/>
                <w:szCs w:val="28"/>
                <w:color w:val="auto"/>
                <w:vertAlign w:val="superscript"/>
              </w:rPr>
              <w:t>(1)</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gridSpan w:val="5"/>
          </w:tcPr>
          <w:p>
            <w:pPr>
              <w:jc w:val="right"/>
              <w:ind w:right="760"/>
              <w:spacing w:after="0"/>
              <w:rPr>
                <w:sz w:val="20"/>
                <w:szCs w:val="20"/>
                <w:color w:val="auto"/>
              </w:rPr>
            </w:pPr>
            <w:r>
              <w:rPr>
                <w:rFonts w:ascii="Arial" w:cs="Arial" w:eastAsia="Arial" w:hAnsi="Arial"/>
                <w:sz w:val="17"/>
                <w:szCs w:val="17"/>
                <w:color w:val="auto"/>
              </w:rPr>
              <w:t>(Dollars in thousands)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3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Taxable loans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1,559,807</w:t>
            </w:r>
          </w:p>
        </w:tc>
        <w:tc>
          <w:tcPr>
            <w:tcW w:w="1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36,693</w:t>
            </w:r>
          </w:p>
        </w:tc>
        <w:tc>
          <w:tcPr>
            <w:tcW w:w="1420" w:type="dxa"/>
            <w:vAlign w:val="bottom"/>
            <w:tcBorders>
              <w:right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4.72%</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1,434,817</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34,902</w:t>
            </w: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w w:val="87"/>
              </w:rPr>
              <w:t>4.89%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gridSpan w:val="2"/>
          </w:tcPr>
          <w:p>
            <w:pPr>
              <w:spacing w:after="0" w:line="203" w:lineRule="exact"/>
              <w:rPr>
                <w:sz w:val="20"/>
                <w:szCs w:val="20"/>
                <w:color w:val="auto"/>
              </w:rPr>
            </w:pPr>
            <w:r>
              <w:rPr>
                <w:rFonts w:ascii="Arial" w:cs="Arial" w:eastAsia="Arial" w:hAnsi="Arial"/>
                <w:sz w:val="14"/>
                <w:szCs w:val="14"/>
                <w:color w:val="auto"/>
              </w:rPr>
              <w:t xml:space="preserve">Tax-exempt loans </w:t>
            </w:r>
            <w:r>
              <w:rPr>
                <w:rFonts w:ascii="Arial" w:cs="Arial" w:eastAsia="Arial" w:hAnsi="Arial"/>
                <w:sz w:val="23"/>
                <w:szCs w:val="23"/>
                <w:color w:val="auto"/>
                <w:vertAlign w:val="superscript"/>
              </w:rPr>
              <w:t>(2)</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3,601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110</w:t>
            </w:r>
          </w:p>
        </w:tc>
        <w:tc>
          <w:tcPr>
            <w:tcW w:w="1420" w:type="dxa"/>
            <w:vAlign w:val="bottom"/>
            <w:gridSpan w:val="2"/>
          </w:tcPr>
          <w:p>
            <w:pPr>
              <w:ind w:left="840"/>
              <w:spacing w:after="0"/>
              <w:rPr>
                <w:sz w:val="20"/>
                <w:szCs w:val="20"/>
                <w:color w:val="auto"/>
              </w:rPr>
            </w:pPr>
            <w:r>
              <w:rPr>
                <w:rFonts w:ascii="Arial" w:cs="Arial" w:eastAsia="Arial" w:hAnsi="Arial"/>
                <w:sz w:val="17"/>
                <w:szCs w:val="17"/>
                <w:color w:val="auto"/>
              </w:rPr>
              <w:t>6.14</w:t>
            </w: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4,279</w:t>
            </w:r>
          </w:p>
        </w:tc>
        <w:tc>
          <w:tcPr>
            <w:tcW w:w="2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135</w:t>
            </w:r>
          </w:p>
        </w:tc>
        <w:tc>
          <w:tcPr>
            <w:tcW w:w="1260" w:type="dxa"/>
            <w:vAlign w:val="bottom"/>
            <w:gridSpan w:val="2"/>
          </w:tcPr>
          <w:p>
            <w:pPr>
              <w:ind w:left="820"/>
              <w:spacing w:after="0"/>
              <w:rPr>
                <w:sz w:val="20"/>
                <w:szCs w:val="20"/>
                <w:color w:val="auto"/>
              </w:rPr>
            </w:pPr>
            <w:r>
              <w:rPr>
                <w:rFonts w:ascii="Arial" w:cs="Arial" w:eastAsia="Arial" w:hAnsi="Arial"/>
                <w:sz w:val="17"/>
                <w:szCs w:val="17"/>
                <w:color w:val="auto"/>
              </w:rPr>
              <w:t>6.36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Taxable securities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531,695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4,724</w:t>
            </w:r>
          </w:p>
        </w:tc>
        <w:tc>
          <w:tcPr>
            <w:tcW w:w="1420" w:type="dxa"/>
            <w:vAlign w:val="bottom"/>
            <w:tcBorders>
              <w:right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1.78</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517,941</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3,627</w:t>
            </w: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gridSpan w:val="2"/>
          </w:tcPr>
          <w:p>
            <w:pPr>
              <w:spacing w:after="0" w:line="203" w:lineRule="exact"/>
              <w:rPr>
                <w:sz w:val="20"/>
                <w:szCs w:val="20"/>
                <w:color w:val="auto"/>
              </w:rPr>
            </w:pPr>
            <w:r>
              <w:rPr>
                <w:rFonts w:ascii="Arial" w:cs="Arial" w:eastAsia="Arial" w:hAnsi="Arial"/>
                <w:sz w:val="14"/>
                <w:szCs w:val="14"/>
                <w:color w:val="auto"/>
              </w:rPr>
              <w:t xml:space="preserve">Tax-exempt securities </w:t>
            </w:r>
            <w:r>
              <w:rPr>
                <w:rFonts w:ascii="Arial" w:cs="Arial" w:eastAsia="Arial" w:hAnsi="Arial"/>
                <w:sz w:val="23"/>
                <w:szCs w:val="23"/>
                <w:color w:val="auto"/>
                <w:vertAlign w:val="superscript"/>
              </w:rPr>
              <w:t>(2)</w:t>
            </w:r>
          </w:p>
        </w:tc>
        <w:tc>
          <w:tcPr>
            <w:tcW w:w="2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46,036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813</w:t>
            </w:r>
          </w:p>
        </w:tc>
        <w:tc>
          <w:tcPr>
            <w:tcW w:w="1420" w:type="dxa"/>
            <w:vAlign w:val="bottom"/>
            <w:gridSpan w:val="2"/>
          </w:tcPr>
          <w:p>
            <w:pPr>
              <w:ind w:left="840"/>
              <w:spacing w:after="0"/>
              <w:rPr>
                <w:sz w:val="20"/>
                <w:szCs w:val="20"/>
                <w:color w:val="auto"/>
              </w:rPr>
            </w:pPr>
            <w:r>
              <w:rPr>
                <w:rFonts w:ascii="Arial" w:cs="Arial" w:eastAsia="Arial" w:hAnsi="Arial"/>
                <w:sz w:val="17"/>
                <w:szCs w:val="17"/>
                <w:color w:val="auto"/>
              </w:rPr>
              <w:t>3.53</w:t>
            </w: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32,630</w:t>
            </w:r>
          </w:p>
        </w:tc>
        <w:tc>
          <w:tcPr>
            <w:tcW w:w="2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674</w:t>
            </w:r>
          </w:p>
        </w:tc>
        <w:tc>
          <w:tcPr>
            <w:tcW w:w="1260" w:type="dxa"/>
            <w:vAlign w:val="bottom"/>
            <w:gridSpan w:val="2"/>
          </w:tcPr>
          <w:p>
            <w:pPr>
              <w:ind w:left="820"/>
              <w:spacing w:after="0"/>
              <w:rPr>
                <w:sz w:val="20"/>
                <w:szCs w:val="20"/>
                <w:color w:val="auto"/>
              </w:rPr>
            </w:pPr>
            <w:r>
              <w:rPr>
                <w:rFonts w:ascii="Arial" w:cs="Arial" w:eastAsia="Arial" w:hAnsi="Arial"/>
                <w:sz w:val="17"/>
                <w:szCs w:val="17"/>
                <w:color w:val="auto"/>
              </w:rPr>
              <w:t>4.13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bearing cash</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77,910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206</w:t>
            </w:r>
          </w:p>
        </w:tc>
        <w:tc>
          <w:tcPr>
            <w:tcW w:w="1420" w:type="dxa"/>
            <w:vAlign w:val="bottom"/>
            <w:tcBorders>
              <w:right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0.53</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62,850</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124</w:t>
            </w: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0.40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7"/>
                <w:szCs w:val="17"/>
                <w:color w:val="auto"/>
              </w:rPr>
              <w:t>Other investments</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15,512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397</w:t>
            </w:r>
          </w:p>
        </w:tc>
        <w:tc>
          <w:tcPr>
            <w:tcW w:w="1420" w:type="dxa"/>
            <w:vAlign w:val="bottom"/>
            <w:gridSpan w:val="2"/>
          </w:tcPr>
          <w:p>
            <w:pPr>
              <w:ind w:left="840"/>
              <w:spacing w:after="0"/>
              <w:rPr>
                <w:sz w:val="20"/>
                <w:szCs w:val="20"/>
                <w:color w:val="auto"/>
              </w:rPr>
            </w:pPr>
            <w:r>
              <w:rPr>
                <w:rFonts w:ascii="Arial" w:cs="Arial" w:eastAsia="Arial" w:hAnsi="Arial"/>
                <w:sz w:val="17"/>
                <w:szCs w:val="17"/>
                <w:color w:val="auto"/>
              </w:rPr>
              <w:t>5.15</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19,063</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503</w:t>
            </w:r>
          </w:p>
        </w:tc>
        <w:tc>
          <w:tcPr>
            <w:tcW w:w="1260" w:type="dxa"/>
            <w:vAlign w:val="bottom"/>
            <w:gridSpan w:val="2"/>
          </w:tcPr>
          <w:p>
            <w:pPr>
              <w:ind w:left="820"/>
              <w:spacing w:after="0"/>
              <w:rPr>
                <w:sz w:val="20"/>
                <w:szCs w:val="20"/>
                <w:color w:val="auto"/>
              </w:rPr>
            </w:pPr>
            <w:r>
              <w:rPr>
                <w:rFonts w:ascii="Arial" w:cs="Arial" w:eastAsia="Arial" w:hAnsi="Arial"/>
                <w:sz w:val="17"/>
                <w:szCs w:val="17"/>
                <w:color w:val="auto"/>
              </w:rPr>
              <w:t>5.32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3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Interest Earning Assets</w:t>
            </w: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2,234,561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42,943</w:t>
            </w:r>
          </w:p>
        </w:tc>
        <w:tc>
          <w:tcPr>
            <w:tcW w:w="2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right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3.86</w:t>
            </w: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2,071,580</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39,965</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7"/>
                <w:szCs w:val="17"/>
                <w:color w:val="auto"/>
              </w:rPr>
              <w:t>3.88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gridSpan w:val="2"/>
          </w:tcPr>
          <w:p>
            <w:pPr>
              <w:spacing w:after="0"/>
              <w:rPr>
                <w:sz w:val="20"/>
                <w:szCs w:val="20"/>
                <w:color w:val="auto"/>
              </w:rPr>
            </w:pPr>
            <w:r>
              <w:rPr>
                <w:rFonts w:ascii="Arial" w:cs="Arial" w:eastAsia="Arial" w:hAnsi="Arial"/>
                <w:sz w:val="17"/>
                <w:szCs w:val="17"/>
                <w:color w:val="auto"/>
              </w:rPr>
              <w:t>Cash and due from banks</w:t>
            </w:r>
          </w:p>
        </w:tc>
        <w:tc>
          <w:tcPr>
            <w:tcW w:w="2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39,841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44,500</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assets, net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159,979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169,678</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20" w:type="dxa"/>
            <w:vAlign w:val="bottom"/>
          </w:tcPr>
          <w:p>
            <w:pPr>
              <w:jc w:val="right"/>
              <w:ind w:right="15"/>
              <w:spacing w:after="0"/>
              <w:rPr>
                <w:sz w:val="20"/>
                <w:szCs w:val="20"/>
                <w:color w:val="auto"/>
              </w:rPr>
            </w:pPr>
            <w:r>
              <w:rPr>
                <w:rFonts w:ascii="Arial" w:cs="Arial" w:eastAsia="Arial" w:hAnsi="Arial"/>
                <w:sz w:val="17"/>
                <w:szCs w:val="17"/>
                <w:color w:val="auto"/>
              </w:rPr>
              <w:t>Total Assets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2,434,381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2,285,758</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300" w:type="dxa"/>
            <w:vAlign w:val="bottom"/>
            <w:gridSpan w:val="2"/>
          </w:tcPr>
          <w:p>
            <w:pPr>
              <w:spacing w:after="0"/>
              <w:rPr>
                <w:sz w:val="20"/>
                <w:szCs w:val="20"/>
                <w:color w:val="auto"/>
              </w:rPr>
            </w:pPr>
            <w:r>
              <w:rPr>
                <w:rFonts w:ascii="Arial" w:cs="Arial" w:eastAsia="Arial" w:hAnsi="Arial"/>
                <w:sz w:val="17"/>
                <w:szCs w:val="17"/>
                <w:color w:val="auto"/>
              </w:rPr>
              <w:t>Liabilities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Savings and interest- bearing checking</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1,021,015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547</w:t>
            </w:r>
          </w:p>
        </w:tc>
        <w:tc>
          <w:tcPr>
            <w:tcW w:w="1140" w:type="dxa"/>
            <w:vAlign w:val="bottom"/>
            <w:shd w:val="clear" w:color="auto" w:fill="CCEEFF"/>
          </w:tcPr>
          <w:p>
            <w:pPr>
              <w:ind w:left="860"/>
              <w:spacing w:after="0"/>
              <w:rPr>
                <w:sz w:val="20"/>
                <w:szCs w:val="20"/>
                <w:color w:val="auto"/>
              </w:rPr>
            </w:pPr>
            <w:r>
              <w:rPr>
                <w:rFonts w:ascii="Arial" w:cs="Arial" w:eastAsia="Arial" w:hAnsi="Arial"/>
                <w:sz w:val="17"/>
                <w:szCs w:val="17"/>
                <w:color w:val="auto"/>
                <w:w w:val="78"/>
              </w:rPr>
              <w:t>0.11</w:t>
            </w: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987,763</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526</w:t>
            </w: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0.11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gridSpan w:val="2"/>
          </w:tcPr>
          <w:p>
            <w:pPr>
              <w:spacing w:after="0"/>
              <w:rPr>
                <w:sz w:val="20"/>
                <w:szCs w:val="20"/>
                <w:color w:val="auto"/>
              </w:rPr>
            </w:pPr>
            <w:r>
              <w:rPr>
                <w:rFonts w:ascii="Arial" w:cs="Arial" w:eastAsia="Arial" w:hAnsi="Arial"/>
                <w:sz w:val="17"/>
                <w:szCs w:val="17"/>
                <w:color w:val="auto"/>
              </w:rPr>
              <w:t>Time deposits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433,449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1,719</w:t>
            </w:r>
          </w:p>
        </w:tc>
        <w:tc>
          <w:tcPr>
            <w:tcW w:w="1420" w:type="dxa"/>
            <w:vAlign w:val="bottom"/>
            <w:gridSpan w:val="2"/>
          </w:tcPr>
          <w:p>
            <w:pPr>
              <w:ind w:left="840"/>
              <w:spacing w:after="0"/>
              <w:rPr>
                <w:sz w:val="20"/>
                <w:szCs w:val="20"/>
                <w:color w:val="auto"/>
              </w:rPr>
            </w:pPr>
            <w:r>
              <w:rPr>
                <w:rFonts w:ascii="Arial" w:cs="Arial" w:eastAsia="Arial" w:hAnsi="Arial"/>
                <w:sz w:val="17"/>
                <w:szCs w:val="17"/>
                <w:color w:val="auto"/>
              </w:rPr>
              <w:t>0.80</w:t>
            </w: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374,115</w:t>
            </w:r>
          </w:p>
        </w:tc>
        <w:tc>
          <w:tcPr>
            <w:tcW w:w="2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1,448</w:t>
            </w:r>
          </w:p>
        </w:tc>
        <w:tc>
          <w:tcPr>
            <w:tcW w:w="1260" w:type="dxa"/>
            <w:vAlign w:val="bottom"/>
            <w:gridSpan w:val="2"/>
          </w:tcPr>
          <w:p>
            <w:pPr>
              <w:ind w:left="820"/>
              <w:spacing w:after="0"/>
              <w:rPr>
                <w:sz w:val="20"/>
                <w:szCs w:val="20"/>
                <w:color w:val="auto"/>
              </w:rPr>
            </w:pPr>
            <w:r>
              <w:rPr>
                <w:rFonts w:ascii="Arial" w:cs="Arial" w:eastAsia="Arial" w:hAnsi="Arial"/>
                <w:sz w:val="17"/>
                <w:szCs w:val="17"/>
                <w:color w:val="auto"/>
              </w:rPr>
              <w:t>0.78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borrowings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962</w:t>
            </w:r>
          </w:p>
        </w:tc>
        <w:tc>
          <w:tcPr>
            <w:tcW w:w="1420" w:type="dxa"/>
            <w:vAlign w:val="bottom"/>
            <w:tcBorders>
              <w:right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4.07</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48,012</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917</w:t>
            </w: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3.85</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20" w:type="dxa"/>
            <w:vAlign w:val="bottom"/>
          </w:tcPr>
          <w:p>
            <w:pPr>
              <w:jc w:val="right"/>
              <w:ind w:right="15"/>
              <w:spacing w:after="0"/>
              <w:rPr>
                <w:sz w:val="20"/>
                <w:szCs w:val="20"/>
                <w:color w:val="auto"/>
              </w:rPr>
            </w:pPr>
            <w:r>
              <w:rPr>
                <w:rFonts w:ascii="Arial" w:cs="Arial" w:eastAsia="Arial" w:hAnsi="Arial"/>
                <w:sz w:val="17"/>
                <w:szCs w:val="17"/>
                <w:color w:val="auto"/>
              </w:rPr>
              <w:t>Interest Bearing Liabilities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1,501,959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3,228</w:t>
            </w:r>
          </w:p>
        </w:tc>
        <w:tc>
          <w:tcPr>
            <w:tcW w:w="1420" w:type="dxa"/>
            <w:vAlign w:val="bottom"/>
            <w:gridSpan w:val="2"/>
          </w:tcPr>
          <w:p>
            <w:pPr>
              <w:ind w:left="840"/>
              <w:spacing w:after="0"/>
              <w:rPr>
                <w:sz w:val="20"/>
                <w:szCs w:val="20"/>
                <w:color w:val="auto"/>
              </w:rPr>
            </w:pPr>
            <w:r>
              <w:rPr>
                <w:rFonts w:ascii="Arial" w:cs="Arial" w:eastAsia="Arial" w:hAnsi="Arial"/>
                <w:sz w:val="17"/>
                <w:szCs w:val="17"/>
                <w:color w:val="auto"/>
              </w:rPr>
              <w:t>0.43</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1,409,890</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2,891</w:t>
            </w:r>
          </w:p>
        </w:tc>
        <w:tc>
          <w:tcPr>
            <w:tcW w:w="1260" w:type="dxa"/>
            <w:vAlign w:val="bottom"/>
            <w:gridSpan w:val="2"/>
          </w:tcPr>
          <w:p>
            <w:pPr>
              <w:ind w:left="820"/>
              <w:spacing w:after="0"/>
              <w:rPr>
                <w:sz w:val="20"/>
                <w:szCs w:val="20"/>
                <w:color w:val="auto"/>
              </w:rPr>
            </w:pPr>
            <w:r>
              <w:rPr>
                <w:rFonts w:ascii="Arial" w:cs="Arial" w:eastAsia="Arial" w:hAnsi="Arial"/>
                <w:sz w:val="17"/>
                <w:szCs w:val="17"/>
                <w:color w:val="auto"/>
              </w:rPr>
              <w:t>0.41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Non-interest bearing deposits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663,168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596,935</w:t>
            </w: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gridSpan w:val="2"/>
          </w:tcPr>
          <w:p>
            <w:pPr>
              <w:spacing w:after="0"/>
              <w:rPr>
                <w:sz w:val="20"/>
                <w:szCs w:val="20"/>
                <w:color w:val="auto"/>
              </w:rPr>
            </w:pPr>
            <w:r>
              <w:rPr>
                <w:rFonts w:ascii="Arial" w:cs="Arial" w:eastAsia="Arial" w:hAnsi="Arial"/>
                <w:sz w:val="17"/>
                <w:szCs w:val="17"/>
                <w:color w:val="auto"/>
              </w:rPr>
              <w:t>Other liabilities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24,811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24,951</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244,443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253,982</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20" w:type="dxa"/>
            <w:vAlign w:val="bottom"/>
          </w:tcPr>
          <w:p>
            <w:pPr>
              <w:jc w:val="right"/>
              <w:ind w:right="15"/>
              <w:spacing w:after="0"/>
              <w:rPr>
                <w:sz w:val="20"/>
                <w:szCs w:val="20"/>
                <w:color w:val="auto"/>
              </w:rPr>
            </w:pPr>
            <w:r>
              <w:rPr>
                <w:rFonts w:ascii="Arial" w:cs="Arial" w:eastAsia="Arial" w:hAnsi="Arial"/>
                <w:sz w:val="17"/>
                <w:szCs w:val="17"/>
                <w:color w:val="auto"/>
                <w:w w:val="97"/>
              </w:rPr>
              <w:t>Total liabilities and shareholders’ equity</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2,434,381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2,285,758</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rPr>
                <w:sz w:val="16"/>
                <w:szCs w:val="16"/>
                <w:color w:val="auto"/>
              </w:rPr>
            </w:pPr>
          </w:p>
        </w:tc>
        <w:tc>
          <w:tcPr>
            <w:tcW w:w="1180" w:type="dxa"/>
            <w:vAlign w:val="bottom"/>
            <w:gridSpan w:val="2"/>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20" w:type="dxa"/>
            <w:vAlign w:val="bottom"/>
          </w:tcPr>
          <w:p>
            <w:pPr>
              <w:jc w:val="right"/>
              <w:ind w:right="15"/>
              <w:spacing w:after="0"/>
              <w:rPr>
                <w:sz w:val="20"/>
                <w:szCs w:val="20"/>
                <w:color w:val="auto"/>
              </w:rPr>
            </w:pPr>
            <w:r>
              <w:rPr>
                <w:rFonts w:ascii="Arial" w:cs="Arial" w:eastAsia="Arial" w:hAnsi="Arial"/>
                <w:sz w:val="17"/>
                <w:szCs w:val="17"/>
                <w:color w:val="auto"/>
              </w:rPr>
              <w:t>Net Interest Income</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39,715</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37,074</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00" w:type="dxa"/>
            <w:vAlign w:val="bottom"/>
            <w:gridSpan w:val="2"/>
            <w:shd w:val="clear" w:color="auto" w:fill="CCEEFF"/>
          </w:tcPr>
          <w:p>
            <w:pPr>
              <w:jc w:val="right"/>
              <w:ind w:right="15"/>
              <w:spacing w:after="0" w:line="191" w:lineRule="exact"/>
              <w:rPr>
                <w:sz w:val="20"/>
                <w:szCs w:val="20"/>
                <w:color w:val="auto"/>
              </w:rPr>
            </w:pPr>
            <w:r>
              <w:rPr>
                <w:rFonts w:ascii="Arial" w:cs="Arial" w:eastAsia="Arial" w:hAnsi="Arial"/>
                <w:sz w:val="17"/>
                <w:szCs w:val="17"/>
                <w:color w:val="auto"/>
                <w:w w:val="94"/>
              </w:rPr>
              <w:t>Net Interest Income as a Percent of Average</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Interest Earning Assets</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tcBorders>
              <w:right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3.57%</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w w:val="87"/>
              </w:rPr>
              <w:t>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200025</wp:posOffset>
            </wp:positionV>
            <wp:extent cx="146812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68120" cy="3683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300" w:hanging="298"/>
        <w:spacing w:after="0"/>
        <w:tabs>
          <w:tab w:leader="none" w:pos="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All domestic.</w:t>
      </w:r>
    </w:p>
    <w:p>
      <w:pPr>
        <w:spacing w:after="0" w:line="19" w:lineRule="exact"/>
        <w:rPr>
          <w:rFonts w:ascii="Arial" w:cs="Arial" w:eastAsia="Arial" w:hAnsi="Arial"/>
          <w:sz w:val="17"/>
          <w:szCs w:val="17"/>
          <w:color w:val="auto"/>
        </w:rPr>
      </w:pPr>
    </w:p>
    <w:p>
      <w:pPr>
        <w:ind w:left="300" w:hanging="298"/>
        <w:spacing w:after="0"/>
        <w:tabs>
          <w:tab w:leader="none" w:pos="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Interest on tax-exempt loans and securities is presented on a fully tax equivalent basis assuming a marginal tax rate of 35%</w:t>
      </w:r>
    </w:p>
    <w:p>
      <w:pPr>
        <w:spacing w:after="0" w:line="8" w:lineRule="exact"/>
        <w:rPr>
          <w:rFonts w:ascii="Arial" w:cs="Arial" w:eastAsia="Arial" w:hAnsi="Arial"/>
          <w:sz w:val="17"/>
          <w:szCs w:val="17"/>
          <w:color w:val="auto"/>
        </w:rPr>
      </w:pPr>
    </w:p>
    <w:p>
      <w:pPr>
        <w:ind w:left="300" w:hanging="298"/>
        <w:spacing w:after="0"/>
        <w:tabs>
          <w:tab w:leader="none" w:pos="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Annualized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 xml:space="preserve">Provision for loan losses. </w:t>
      </w:r>
      <w:r>
        <w:rPr>
          <w:rFonts w:ascii="Arial" w:cs="Arial" w:eastAsia="Arial" w:hAnsi="Arial"/>
          <w:sz w:val="16"/>
          <w:szCs w:val="16"/>
          <w:color w:val="auto"/>
        </w:rPr>
        <w:t>The provision for loan losses was a credit of $0.7 million and $0.1 million during the three months ended June 30, 2016 and 2015,</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respectively. During the six-month periods ended June 30, 2016 and 2015, the provision was a credit of $1.3 million and $0.8 million, respectively. The provision reflects our assessment of the allowance for loan losses taking into consideration factors such as loan mix, levels of non-performing and classified loans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allowance for loan losses and their impact on the provision for loan losses in the second quarter and first half of 2016.</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color w:val="auto"/>
        </w:rPr>
        <w:t xml:space="preserve">Non-interest income. </w:t>
      </w:r>
      <w:r>
        <w:rPr>
          <w:rFonts w:ascii="Arial" w:cs="Arial" w:eastAsia="Arial" w:hAnsi="Arial"/>
          <w:sz w:val="17"/>
          <w:szCs w:val="17"/>
          <w:color w:val="auto"/>
        </w:rPr>
        <w:t>Non-interest income is a significant element in assessing our results of operations. We regard net gains on mortgage loans as a recurring source</w:t>
      </w:r>
      <w:r>
        <w:rPr>
          <w:rFonts w:ascii="Arial" w:cs="Arial" w:eastAsia="Arial" w:hAnsi="Arial"/>
          <w:sz w:val="17"/>
          <w:szCs w:val="17"/>
          <w:b w:val="1"/>
          <w:bCs w:val="1"/>
          <w:color w:val="auto"/>
        </w:rPr>
        <w:t xml:space="preserve"> </w:t>
      </w:r>
      <w:r>
        <w:rPr>
          <w:rFonts w:ascii="Arial" w:cs="Arial" w:eastAsia="Arial" w:hAnsi="Arial"/>
          <w:sz w:val="17"/>
          <w:szCs w:val="17"/>
          <w:color w:val="auto"/>
        </w:rPr>
        <w:t>of revenue but they are quite cyclical and thus can be volatile.</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Non-interest income totaled $9.6 million during the second quarter of 2016 compared to $11.0 million in 2015. For the first six months of 2016 non-interest income totaled $17.4 million compared to $19.9 million for the first six months of 2015. The components of non-interest income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360" w:type="dxa"/>
            <w:vAlign w:val="bottom"/>
          </w:tcPr>
          <w:p>
            <w:pPr>
              <w:spacing w:after="0"/>
              <w:rPr>
                <w:sz w:val="20"/>
                <w:szCs w:val="20"/>
                <w:color w:val="auto"/>
              </w:rPr>
            </w:pPr>
            <w:r>
              <w:rPr>
                <w:rFonts w:ascii="Arial" w:cs="Arial" w:eastAsia="Arial" w:hAnsi="Arial"/>
                <w:sz w:val="17"/>
                <w:szCs w:val="17"/>
                <w:b w:val="1"/>
                <w:bCs w:val="1"/>
                <w:color w:val="auto"/>
              </w:rPr>
              <w:t>Non-Interest Income</w:t>
            </w:r>
          </w:p>
        </w:tc>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2"/>
        </w:trPr>
        <w:tc>
          <w:tcPr>
            <w:tcW w:w="4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60" w:type="dxa"/>
            <w:vAlign w:val="bottom"/>
            <w:gridSpan w:val="6"/>
          </w:tcPr>
          <w:p>
            <w:pPr>
              <w:jc w:val="right"/>
              <w:ind w:right="620"/>
              <w:spacing w:after="0"/>
              <w:rPr>
                <w:sz w:val="20"/>
                <w:szCs w:val="20"/>
                <w:color w:val="auto"/>
              </w:rPr>
            </w:pPr>
            <w:r>
              <w:rPr>
                <w:rFonts w:ascii="Arial" w:cs="Arial" w:eastAsia="Arial" w:hAnsi="Arial"/>
                <w:sz w:val="17"/>
                <w:szCs w:val="17"/>
                <w:color w:val="auto"/>
              </w:rPr>
              <w:t>Three months ended</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gridSpan w:val="5"/>
          </w:tcPr>
          <w:p>
            <w:pPr>
              <w:jc w:val="right"/>
              <w:ind w:right="740"/>
              <w:spacing w:after="0"/>
              <w:rPr>
                <w:sz w:val="20"/>
                <w:szCs w:val="20"/>
                <w:color w:val="auto"/>
              </w:rPr>
            </w:pPr>
            <w:r>
              <w:rPr>
                <w:rFonts w:ascii="Arial" w:cs="Arial" w:eastAsia="Arial" w:hAnsi="Arial"/>
                <w:sz w:val="17"/>
                <w:szCs w:val="17"/>
                <w:color w:val="auto"/>
              </w:rPr>
              <w:t>Six months ended</w:t>
            </w:r>
          </w:p>
        </w:tc>
      </w:tr>
      <w:tr>
        <w:trPr>
          <w:trHeight w:val="204"/>
        </w:trPr>
        <w:tc>
          <w:tcPr>
            <w:tcW w:w="4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gridSpan w:val="3"/>
          </w:tcPr>
          <w:p>
            <w:pPr>
              <w:jc w:val="right"/>
              <w:ind w:right="26"/>
              <w:spacing w:after="0"/>
              <w:rPr>
                <w:sz w:val="20"/>
                <w:szCs w:val="20"/>
                <w:color w:val="auto"/>
              </w:rPr>
            </w:pPr>
            <w:r>
              <w:rPr>
                <w:rFonts w:ascii="Arial" w:cs="Arial" w:eastAsia="Arial" w:hAnsi="Arial"/>
                <w:sz w:val="17"/>
                <w:szCs w:val="17"/>
                <w:color w:val="auto"/>
              </w:rPr>
              <w:t>June 30,</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3"/>
          </w:tcPr>
          <w:p>
            <w:pPr>
              <w:jc w:val="right"/>
              <w:ind w:right="46"/>
              <w:spacing w:after="0"/>
              <w:rPr>
                <w:sz w:val="20"/>
                <w:szCs w:val="20"/>
                <w:color w:val="auto"/>
              </w:rPr>
            </w:pPr>
            <w:r>
              <w:rPr>
                <w:rFonts w:ascii="Arial" w:cs="Arial" w:eastAsia="Arial" w:hAnsi="Arial"/>
                <w:sz w:val="17"/>
                <w:szCs w:val="17"/>
                <w:color w:val="auto"/>
              </w:rPr>
              <w:t>June 30,</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43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2016</w:t>
            </w: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w w:val="95"/>
              </w:rPr>
              <w:t>2016</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19"/>
                <w:szCs w:val="19"/>
                <w:color w:val="auto"/>
              </w:rPr>
            </w:pPr>
          </w:p>
        </w:tc>
      </w:tr>
      <w:tr>
        <w:trPr>
          <w:trHeight w:val="204"/>
        </w:trPr>
        <w:tc>
          <w:tcPr>
            <w:tcW w:w="4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115"/>
              <w:spacing w:after="0"/>
              <w:rPr>
                <w:sz w:val="20"/>
                <w:szCs w:val="20"/>
                <w:color w:val="auto"/>
              </w:rPr>
            </w:pPr>
            <w:r>
              <w:rPr>
                <w:rFonts w:ascii="Arial" w:cs="Arial" w:eastAsia="Arial" w:hAnsi="Arial"/>
                <w:sz w:val="17"/>
                <w:szCs w:val="17"/>
                <w:color w:val="auto"/>
              </w:rPr>
              <w:t>(In</w:t>
            </w:r>
          </w:p>
        </w:tc>
        <w:tc>
          <w:tcPr>
            <w:tcW w:w="600" w:type="dxa"/>
            <w:vAlign w:val="bottom"/>
            <w:gridSpan w:val="3"/>
          </w:tcPr>
          <w:p>
            <w:pPr>
              <w:jc w:val="center"/>
              <w:spacing w:after="0"/>
              <w:rPr>
                <w:sz w:val="20"/>
                <w:szCs w:val="20"/>
                <w:color w:val="auto"/>
              </w:rPr>
            </w:pPr>
            <w:r>
              <w:rPr>
                <w:rFonts w:ascii="Arial" w:cs="Arial" w:eastAsia="Arial" w:hAnsi="Arial"/>
                <w:sz w:val="16"/>
                <w:szCs w:val="16"/>
                <w:color w:val="auto"/>
                <w:w w:val="73"/>
              </w:rPr>
              <w:t>thousands)</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Service charges on deposit accounts</w:t>
            </w:r>
          </w:p>
        </w:tc>
        <w:tc>
          <w:tcPr>
            <w:tcW w:w="2460" w:type="dxa"/>
            <w:vAlign w:val="bottom"/>
            <w:gridSpan w:val="2"/>
            <w:shd w:val="clear" w:color="auto" w:fill="CCEEFF"/>
          </w:tcPr>
          <w:p>
            <w:pPr>
              <w:jc w:val="right"/>
              <w:ind w:right="599"/>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3,038</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3,117</w:t>
            </w:r>
          </w:p>
        </w:tc>
        <w:tc>
          <w:tcPr>
            <w:tcW w:w="460" w:type="dxa"/>
            <w:vAlign w:val="bottom"/>
            <w:gridSpan w:val="2"/>
            <w:shd w:val="clear" w:color="auto" w:fill="CCEEFF"/>
          </w:tcPr>
          <w:p>
            <w:pPr>
              <w:jc w:val="center"/>
              <w:ind w:right="95"/>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5,883</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5,967</w:t>
            </w:r>
          </w:p>
        </w:tc>
        <w:tc>
          <w:tcPr>
            <w:tcW w:w="100" w:type="dxa"/>
            <w:vAlign w:val="bottom"/>
            <w:shd w:val="clear" w:color="auto" w:fill="CCEEFF"/>
          </w:tcPr>
          <w:p>
            <w:pPr>
              <w:spacing w:after="0"/>
              <w:rPr>
                <w:sz w:val="17"/>
                <w:szCs w:val="17"/>
                <w:color w:val="auto"/>
              </w:rPr>
            </w:pPr>
          </w:p>
        </w:tc>
      </w:tr>
      <w:tr>
        <w:trPr>
          <w:trHeight w:val="204"/>
        </w:trPr>
        <w:tc>
          <w:tcPr>
            <w:tcW w:w="4360" w:type="dxa"/>
            <w:vAlign w:val="bottom"/>
          </w:tcPr>
          <w:p>
            <w:pPr>
              <w:spacing w:after="0"/>
              <w:rPr>
                <w:sz w:val="20"/>
                <w:szCs w:val="20"/>
                <w:color w:val="auto"/>
              </w:rPr>
            </w:pPr>
            <w:r>
              <w:rPr>
                <w:rFonts w:ascii="Arial" w:cs="Arial" w:eastAsia="Arial" w:hAnsi="Arial"/>
                <w:sz w:val="17"/>
                <w:szCs w:val="17"/>
                <w:color w:val="auto"/>
              </w:rPr>
              <w:t>Interchange income</w:t>
            </w:r>
          </w:p>
        </w:tc>
        <w:tc>
          <w:tcPr>
            <w:tcW w:w="1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1,976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2,240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3,854</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4,382</w:t>
            </w:r>
          </w:p>
        </w:tc>
        <w:tc>
          <w:tcPr>
            <w:tcW w:w="100" w:type="dxa"/>
            <w:vAlign w:val="bottom"/>
          </w:tcPr>
          <w:p>
            <w:pPr>
              <w:spacing w:after="0"/>
              <w:rPr>
                <w:sz w:val="17"/>
                <w:szCs w:val="17"/>
                <w:color w:val="auto"/>
              </w:rPr>
            </w:pPr>
          </w:p>
        </w:tc>
      </w:tr>
      <w:tr>
        <w:trPr>
          <w:trHeight w:val="204"/>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Net gains (losses) on assets:</w:t>
            </w:r>
          </w:p>
        </w:tc>
        <w:tc>
          <w:tcPr>
            <w:tcW w:w="17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4360" w:type="dxa"/>
            <w:vAlign w:val="bottom"/>
          </w:tcPr>
          <w:p>
            <w:pPr>
              <w:ind w:left="160"/>
              <w:spacing w:after="0"/>
              <w:rPr>
                <w:sz w:val="20"/>
                <w:szCs w:val="20"/>
                <w:color w:val="auto"/>
              </w:rPr>
            </w:pPr>
            <w:r>
              <w:rPr>
                <w:rFonts w:ascii="Arial" w:cs="Arial" w:eastAsia="Arial" w:hAnsi="Arial"/>
                <w:sz w:val="17"/>
                <w:szCs w:val="17"/>
                <w:color w:val="auto"/>
              </w:rPr>
              <w:t>Mortgage loans</w:t>
            </w:r>
          </w:p>
        </w:tc>
        <w:tc>
          <w:tcPr>
            <w:tcW w:w="1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2,529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1,784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4,171</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3,923</w:t>
            </w:r>
          </w:p>
        </w:tc>
        <w:tc>
          <w:tcPr>
            <w:tcW w:w="100" w:type="dxa"/>
            <w:vAlign w:val="bottom"/>
          </w:tcPr>
          <w:p>
            <w:pPr>
              <w:spacing w:after="0"/>
              <w:rPr>
                <w:sz w:val="17"/>
                <w:szCs w:val="17"/>
                <w:color w:val="auto"/>
              </w:rPr>
            </w:pPr>
          </w:p>
        </w:tc>
      </w:tr>
      <w:tr>
        <w:trPr>
          <w:trHeight w:val="204"/>
        </w:trPr>
        <w:tc>
          <w:tcPr>
            <w:tcW w:w="4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Securities</w:t>
            </w:r>
          </w:p>
        </w:tc>
        <w:tc>
          <w:tcPr>
            <w:tcW w:w="17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347</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7"/>
                <w:szCs w:val="17"/>
                <w:color w:val="auto"/>
              </w:rPr>
            </w:pPr>
          </w:p>
        </w:tc>
      </w:tr>
      <w:tr>
        <w:trPr>
          <w:trHeight w:val="204"/>
        </w:trPr>
        <w:tc>
          <w:tcPr>
            <w:tcW w:w="4360" w:type="dxa"/>
            <w:vAlign w:val="bottom"/>
          </w:tcPr>
          <w:p>
            <w:pPr>
              <w:spacing w:after="0"/>
              <w:rPr>
                <w:sz w:val="20"/>
                <w:szCs w:val="20"/>
                <w:color w:val="auto"/>
              </w:rPr>
            </w:pPr>
            <w:r>
              <w:rPr>
                <w:rFonts w:ascii="Arial" w:cs="Arial" w:eastAsia="Arial" w:hAnsi="Arial"/>
                <w:sz w:val="17"/>
                <w:szCs w:val="17"/>
                <w:color w:val="auto"/>
              </w:rPr>
              <w:t>Mortgage loan servicing</w:t>
            </w:r>
          </w:p>
        </w:tc>
        <w:tc>
          <w:tcPr>
            <w:tcW w:w="1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(334)</w:t>
            </w:r>
          </w:p>
        </w:tc>
        <w:tc>
          <w:tcPr>
            <w:tcW w:w="2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1,452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(1,312)</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1,032</w:t>
            </w:r>
          </w:p>
        </w:tc>
        <w:tc>
          <w:tcPr>
            <w:tcW w:w="100" w:type="dxa"/>
            <w:vAlign w:val="bottom"/>
          </w:tcPr>
          <w:p>
            <w:pPr>
              <w:spacing w:after="0"/>
              <w:rPr>
                <w:sz w:val="17"/>
                <w:szCs w:val="17"/>
                <w:color w:val="auto"/>
              </w:rPr>
            </w:pPr>
          </w:p>
        </w:tc>
      </w:tr>
      <w:tr>
        <w:trPr>
          <w:trHeight w:val="204"/>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Investment and insurance commissions</w:t>
            </w:r>
          </w:p>
        </w:tc>
        <w:tc>
          <w:tcPr>
            <w:tcW w:w="17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851</w:t>
            </w: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933</w:t>
            </w:r>
          </w:p>
        </w:tc>
      </w:tr>
      <w:tr>
        <w:trPr>
          <w:trHeight w:val="204"/>
        </w:trPr>
        <w:tc>
          <w:tcPr>
            <w:tcW w:w="4360" w:type="dxa"/>
            <w:vAlign w:val="bottom"/>
          </w:tcPr>
          <w:p>
            <w:pPr>
              <w:spacing w:after="0"/>
              <w:rPr>
                <w:sz w:val="20"/>
                <w:szCs w:val="20"/>
                <w:color w:val="auto"/>
              </w:rPr>
            </w:pPr>
            <w:r>
              <w:rPr>
                <w:rFonts w:ascii="Arial" w:cs="Arial" w:eastAsia="Arial" w:hAnsi="Arial"/>
                <w:sz w:val="17"/>
                <w:szCs w:val="17"/>
                <w:color w:val="auto"/>
              </w:rPr>
              <w:t>Bank owned life insurance</w:t>
            </w:r>
          </w:p>
        </w:tc>
        <w:tc>
          <w:tcPr>
            <w:tcW w:w="1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298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325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588</w:t>
            </w:r>
          </w:p>
        </w:tc>
        <w:tc>
          <w:tcPr>
            <w:tcW w:w="2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675</w:t>
            </w:r>
          </w:p>
        </w:tc>
      </w:tr>
      <w:tr>
        <w:trPr>
          <w:trHeight w:val="204"/>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Title insurance fees</w:t>
            </w:r>
          </w:p>
        </w:tc>
        <w:tc>
          <w:tcPr>
            <w:tcW w:w="17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541</w:t>
            </w: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593</w:t>
            </w:r>
          </w:p>
        </w:tc>
      </w:tr>
      <w:tr>
        <w:trPr>
          <w:trHeight w:val="209"/>
        </w:trPr>
        <w:tc>
          <w:tcPr>
            <w:tcW w:w="4360" w:type="dxa"/>
            <w:vAlign w:val="bottom"/>
          </w:tcPr>
          <w:p>
            <w:pPr>
              <w:spacing w:after="0"/>
              <w:rPr>
                <w:sz w:val="20"/>
                <w:szCs w:val="20"/>
                <w:color w:val="auto"/>
              </w:rPr>
            </w:pPr>
            <w:r>
              <w:rPr>
                <w:rFonts w:ascii="Arial" w:cs="Arial" w:eastAsia="Arial" w:hAnsi="Arial"/>
                <w:sz w:val="17"/>
                <w:szCs w:val="17"/>
                <w:color w:val="auto"/>
              </w:rPr>
              <w:t>Other</w:t>
            </w:r>
          </w:p>
        </w:tc>
        <w:tc>
          <w:tcPr>
            <w:tcW w:w="1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1,251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1,278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2,466</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2,392</w:t>
            </w:r>
          </w:p>
        </w:tc>
        <w:tc>
          <w:tcPr>
            <w:tcW w:w="100" w:type="dxa"/>
            <w:vAlign w:val="bottom"/>
          </w:tcPr>
          <w:p>
            <w:pPr>
              <w:spacing w:after="0"/>
              <w:rPr>
                <w:sz w:val="18"/>
                <w:szCs w:val="18"/>
                <w:color w:val="auto"/>
              </w:rPr>
            </w:pPr>
          </w:p>
        </w:tc>
      </w:tr>
      <w:tr>
        <w:trPr>
          <w:trHeight w:val="244"/>
        </w:trPr>
        <w:tc>
          <w:tcPr>
            <w:tcW w:w="4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non-interest income</w:t>
            </w:r>
          </w:p>
        </w:tc>
        <w:tc>
          <w:tcPr>
            <w:tcW w:w="17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9,580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10,987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center"/>
              <w:ind w:right="195"/>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17,389</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19,949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Service charges on deposit accounts declined on both a comparative quarterly and year-to-date basis in 2016 as compared to 2015. Over the last few years, such service charges have been decreasing, principally due to a decline in non-sufficient funds (“NSF”) occurrences and related NSF fees. We believe the long-term decline in NSF occurrences is due to our customers managing their finances more closely and having real-time access to deposit account information through electronic channels allowing them to reduce NSF activity and avoid the associated fees.</w:t>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Interchange income decreased on both a comparative quarterly and year-to-date basis in 2016 as compared to 2015. The decrease in interchange income in 2016 as compared to 2015 primarily results from lower incentives under our Debit Brand Agreement with MasterCard. In addition, although transaction volume increased 3.6% year-over-year, interchange revenue per transaction declined by 7.7%, primarily due to a higher mix of debit (PIN-based) versus credit (signature-based) transactions.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Net gains on mortgage loans increased on both a quarterly and a year to date basis. Mortgage loan activity is summarized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360" w:type="dxa"/>
            <w:vAlign w:val="bottom"/>
          </w:tcPr>
          <w:p>
            <w:pPr>
              <w:spacing w:after="0"/>
              <w:rPr>
                <w:sz w:val="20"/>
                <w:szCs w:val="20"/>
                <w:color w:val="auto"/>
              </w:rPr>
            </w:pPr>
            <w:r>
              <w:rPr>
                <w:rFonts w:ascii="Arial" w:cs="Arial" w:eastAsia="Arial" w:hAnsi="Arial"/>
                <w:sz w:val="17"/>
                <w:szCs w:val="17"/>
                <w:b w:val="1"/>
                <w:bCs w:val="1"/>
                <w:color w:val="auto"/>
              </w:rPr>
              <w:t>Mortgage Loan Activity</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22"/>
        </w:trPr>
        <w:tc>
          <w:tcPr>
            <w:tcW w:w="5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5"/>
          </w:tcPr>
          <w:p>
            <w:pPr>
              <w:jc w:val="center"/>
              <w:ind w:right="355"/>
              <w:spacing w:after="0"/>
              <w:rPr>
                <w:sz w:val="20"/>
                <w:szCs w:val="20"/>
                <w:color w:val="auto"/>
              </w:rPr>
            </w:pPr>
            <w:r>
              <w:rPr>
                <w:rFonts w:ascii="Arial" w:cs="Arial" w:eastAsia="Arial" w:hAnsi="Arial"/>
                <w:sz w:val="17"/>
                <w:szCs w:val="17"/>
                <w:color w:val="auto"/>
                <w:w w:val="87"/>
              </w:rPr>
              <w:t>Three months ended</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7"/>
                <w:szCs w:val="17"/>
                <w:color w:val="auto"/>
                <w:w w:val="89"/>
              </w:rPr>
              <w:t>Six months ended</w:t>
            </w:r>
          </w:p>
        </w:tc>
      </w:tr>
      <w:tr>
        <w:trPr>
          <w:trHeight w:val="204"/>
        </w:trPr>
        <w:tc>
          <w:tcPr>
            <w:tcW w:w="5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3"/>
          </w:tcPr>
          <w:p>
            <w:pPr>
              <w:jc w:val="center"/>
              <w:ind w:left="535"/>
              <w:spacing w:after="0"/>
              <w:rPr>
                <w:sz w:val="20"/>
                <w:szCs w:val="20"/>
                <w:color w:val="auto"/>
              </w:rPr>
            </w:pPr>
            <w:r>
              <w:rPr>
                <w:rFonts w:ascii="Arial" w:cs="Arial" w:eastAsia="Arial" w:hAnsi="Arial"/>
                <w:sz w:val="17"/>
                <w:szCs w:val="17"/>
                <w:color w:val="auto"/>
                <w:w w:val="85"/>
              </w:rPr>
              <w:t>June 30,</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3"/>
          </w:tcPr>
          <w:p>
            <w:pPr>
              <w:jc w:val="center"/>
              <w:ind w:left="515"/>
              <w:spacing w:after="0"/>
              <w:rPr>
                <w:sz w:val="20"/>
                <w:szCs w:val="20"/>
                <w:color w:val="auto"/>
              </w:rPr>
            </w:pPr>
            <w:r>
              <w:rPr>
                <w:rFonts w:ascii="Arial" w:cs="Arial" w:eastAsia="Arial" w:hAnsi="Arial"/>
                <w:sz w:val="17"/>
                <w:szCs w:val="17"/>
                <w:color w:val="auto"/>
                <w:w w:val="85"/>
              </w:rPr>
              <w:t>June 30,</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2"/>
        </w:trPr>
        <w:tc>
          <w:tcPr>
            <w:tcW w:w="5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2016</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2016</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2015</w:t>
            </w:r>
          </w:p>
        </w:tc>
        <w:tc>
          <w:tcPr>
            <w:tcW w:w="140" w:type="dxa"/>
            <w:vAlign w:val="bottom"/>
          </w:tcPr>
          <w:p>
            <w:pPr>
              <w:spacing w:after="0"/>
              <w:rPr>
                <w:sz w:val="19"/>
                <w:szCs w:val="19"/>
                <w:color w:val="auto"/>
              </w:rPr>
            </w:pPr>
          </w:p>
        </w:tc>
      </w:tr>
      <w:tr>
        <w:trPr>
          <w:trHeight w:val="204"/>
        </w:trPr>
        <w:tc>
          <w:tcPr>
            <w:tcW w:w="5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(Dollars</w:t>
            </w:r>
          </w:p>
        </w:tc>
        <w:tc>
          <w:tcPr>
            <w:tcW w:w="260" w:type="dxa"/>
            <w:vAlign w:val="bottom"/>
            <w:gridSpan w:val="2"/>
          </w:tcPr>
          <w:p>
            <w:pPr>
              <w:spacing w:after="0"/>
              <w:rPr>
                <w:sz w:val="20"/>
                <w:szCs w:val="20"/>
                <w:color w:val="auto"/>
              </w:rPr>
            </w:pPr>
            <w:r>
              <w:rPr>
                <w:rFonts w:ascii="Arial" w:cs="Arial" w:eastAsia="Arial" w:hAnsi="Arial"/>
                <w:sz w:val="17"/>
                <w:szCs w:val="17"/>
                <w:color w:val="auto"/>
              </w:rPr>
              <w:t>in</w:t>
            </w:r>
          </w:p>
        </w:tc>
        <w:tc>
          <w:tcPr>
            <w:tcW w:w="1120" w:type="dxa"/>
            <w:vAlign w:val="bottom"/>
            <w:gridSpan w:val="2"/>
          </w:tcPr>
          <w:p>
            <w:pPr>
              <w:spacing w:after="0"/>
              <w:rPr>
                <w:sz w:val="20"/>
                <w:szCs w:val="20"/>
                <w:color w:val="auto"/>
              </w:rPr>
            </w:pPr>
            <w:r>
              <w:rPr>
                <w:rFonts w:ascii="Arial" w:cs="Arial" w:eastAsia="Arial" w:hAnsi="Arial"/>
                <w:sz w:val="17"/>
                <w:szCs w:val="17"/>
                <w:color w:val="auto"/>
              </w:rPr>
              <w:t>thousands)</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Mortgage loans originated</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91,966</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color w:val="auto"/>
              </w:rPr>
              <w:t>101,306</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165,468</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181,096</w:t>
            </w:r>
          </w:p>
        </w:tc>
      </w:tr>
      <w:tr>
        <w:trPr>
          <w:trHeight w:val="204"/>
        </w:trPr>
        <w:tc>
          <w:tcPr>
            <w:tcW w:w="5360" w:type="dxa"/>
            <w:vAlign w:val="bottom"/>
          </w:tcPr>
          <w:p>
            <w:pPr>
              <w:spacing w:after="0"/>
              <w:rPr>
                <w:sz w:val="20"/>
                <w:szCs w:val="20"/>
                <w:color w:val="auto"/>
              </w:rPr>
            </w:pPr>
            <w:r>
              <w:rPr>
                <w:rFonts w:ascii="Arial" w:cs="Arial" w:eastAsia="Arial" w:hAnsi="Arial"/>
                <w:sz w:val="17"/>
                <w:szCs w:val="17"/>
                <w:color w:val="auto"/>
              </w:rPr>
              <w:t>Mortgage loans sold</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70,479</w:t>
            </w:r>
          </w:p>
        </w:tc>
        <w:tc>
          <w:tcPr>
            <w:tcW w:w="280" w:type="dxa"/>
            <w:vAlign w:val="bottom"/>
          </w:tcPr>
          <w:p>
            <w:pPr>
              <w:spacing w:after="0"/>
              <w:rPr>
                <w:sz w:val="17"/>
                <w:szCs w:val="17"/>
                <w:color w:val="auto"/>
              </w:rPr>
            </w:pPr>
          </w:p>
        </w:tc>
        <w:tc>
          <w:tcPr>
            <w:tcW w:w="1040" w:type="dxa"/>
            <w:vAlign w:val="bottom"/>
            <w:gridSpan w:val="2"/>
          </w:tcPr>
          <w:p>
            <w:pPr>
              <w:jc w:val="right"/>
              <w:ind w:right="115"/>
              <w:spacing w:after="0"/>
              <w:rPr>
                <w:sz w:val="20"/>
                <w:szCs w:val="20"/>
                <w:color w:val="auto"/>
              </w:rPr>
            </w:pPr>
            <w:r>
              <w:rPr>
                <w:rFonts w:ascii="Arial" w:cs="Arial" w:eastAsia="Arial" w:hAnsi="Arial"/>
                <w:sz w:val="17"/>
                <w:szCs w:val="17"/>
                <w:color w:val="auto"/>
              </w:rPr>
              <w:t>82,167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126,145</w:t>
            </w: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150,894</w:t>
            </w:r>
          </w:p>
        </w:tc>
      </w:tr>
      <w:tr>
        <w:trPr>
          <w:trHeight w:val="204"/>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Net gains on mortgage loans</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2,529</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color w:val="auto"/>
              </w:rPr>
              <w:t>1,784</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4,171</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3,923</w:t>
            </w:r>
          </w:p>
        </w:tc>
      </w:tr>
      <w:tr>
        <w:trPr>
          <w:trHeight w:val="204"/>
        </w:trPr>
        <w:tc>
          <w:tcPr>
            <w:tcW w:w="5360" w:type="dxa"/>
            <w:vAlign w:val="bottom"/>
          </w:tcPr>
          <w:p>
            <w:pPr>
              <w:spacing w:after="0"/>
              <w:rPr>
                <w:sz w:val="20"/>
                <w:szCs w:val="20"/>
                <w:color w:val="auto"/>
              </w:rPr>
            </w:pPr>
            <w:r>
              <w:rPr>
                <w:rFonts w:ascii="Arial" w:cs="Arial" w:eastAsia="Arial" w:hAnsi="Arial"/>
                <w:sz w:val="17"/>
                <w:szCs w:val="17"/>
                <w:color w:val="auto"/>
              </w:rPr>
              <w:t>Net gains as a percent of mortgage loans sold (“Loan Sales Margin”)</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3.59%</w:t>
            </w:r>
          </w:p>
        </w:tc>
        <w:tc>
          <w:tcPr>
            <w:tcW w:w="2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2.17%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3.31%</w:t>
            </w:r>
          </w:p>
        </w:tc>
        <w:tc>
          <w:tcPr>
            <w:tcW w:w="2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2.60%</w:t>
            </w:r>
          </w:p>
        </w:tc>
      </w:tr>
      <w:tr>
        <w:trPr>
          <w:trHeight w:val="204"/>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Fair value adjustments included in the Loan Sales Margin</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0.34</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(0.07)</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0.30</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0.33</w:t>
            </w:r>
          </w:p>
        </w:tc>
      </w:tr>
    </w:tbl>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decreases in mortgage loan originations and sales in 2016 as compared to 2015 is due primarily to a decrease in mortgage loan refinance volumes. However, net gains on mortgage loans increased in 2016 due to an increase in the Loan Sales Margin.</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204"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Our Loan Sales Margin is impacted by several factors including competition and the manner in which the loan is sold. Net gains on mortgage loans are also impacted by recording fair value accounting adjustments. Excluding the aforementioned fair value accounting adjustments, the Loan Sales Margin would have been 3.25% and 2.24% in the second quarters of 2016 and 2015, respectively and 3.01% and 2.27% for the comparative 2016 and 2015 year-to-date periods, respectively. The increase in the Loan Sales Margin (excluding fair value adjustments) in 2016 was generally due to a widening of primary-to-secondary market pricing spreads as well as a higher content of government (FHA and VA) mortgage loan sales, which generally have higher profit margins than conventional mortgage loan sales. The changes in the fair value accounting adjustments are primarily due to changes in the amount of commitments to originate mortgage loans for sale.</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Net gains (losses) on securities totaled $0.18 million and $0.35 million during the three and six months ended June 30, 2016, respectively, and $(0.03) million and $0.05 million for the respective comparable periods in 2015. The second quarter 2016 securities net gains were due to the sale of $13.0 million of investments as well as a $0.08 million increase in the fair value of trading securities. The year-to-date 2016 securities net gains were due primarily to the sale of $55.4 million of investments. The second quarter 2015 securities net loss was due to a decline in the fair value of our trading securities. The 2015 year-to-date securities net gains were due primarily to the sale of $11.8 million of investments. (See “Securities.”)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We recorded no net impairment losses in either 2016 or 2015 for other than temporary impairment of securities available for sale. (See “Securities.”)</w:t>
      </w:r>
    </w:p>
    <w:p>
      <w:pPr>
        <w:spacing w:after="0" w:line="23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Mortgage loan servicing generated a loss of $0.3 million and $1.3 million in the second quarter and first six months of 2016, respectively, compared to income of $1.5 million and $1.0 million in the corresponding periods of 2015, respectively. These variances are primarily due to changes in the valuation allowance on and the amortization of capitalized mortgage loan servicing rights. The period end valuation allowance is based on the valuation of the mortgage loan servicing portfolio. Activity related to capitalized mortgage loan servicing rights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660" w:type="dxa"/>
            <w:vAlign w:val="bottom"/>
            <w:gridSpan w:val="2"/>
          </w:tcPr>
          <w:p>
            <w:pPr>
              <w:spacing w:after="0"/>
              <w:rPr>
                <w:sz w:val="20"/>
                <w:szCs w:val="20"/>
                <w:color w:val="auto"/>
              </w:rPr>
            </w:pPr>
            <w:r>
              <w:rPr>
                <w:rFonts w:ascii="Arial" w:cs="Arial" w:eastAsia="Arial" w:hAnsi="Arial"/>
                <w:sz w:val="17"/>
                <w:szCs w:val="17"/>
                <w:b w:val="1"/>
                <w:bCs w:val="1"/>
                <w:color w:val="auto"/>
              </w:rPr>
              <w:t>Capitalized Mortgage Loan Servicing Rights</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right"/>
              <w:ind w:right="620"/>
              <w:spacing w:after="0"/>
              <w:rPr>
                <w:sz w:val="20"/>
                <w:szCs w:val="20"/>
                <w:color w:val="auto"/>
              </w:rPr>
            </w:pPr>
            <w:r>
              <w:rPr>
                <w:rFonts w:ascii="Arial" w:cs="Arial" w:eastAsia="Arial" w:hAnsi="Arial"/>
                <w:sz w:val="17"/>
                <w:szCs w:val="17"/>
                <w:color w:val="auto"/>
              </w:rPr>
              <w:t>Three months ended</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20" w:type="dxa"/>
            <w:vAlign w:val="bottom"/>
            <w:gridSpan w:val="5"/>
          </w:tcPr>
          <w:p>
            <w:pPr>
              <w:jc w:val="right"/>
              <w:ind w:right="740"/>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3"/>
          </w:tcPr>
          <w:p>
            <w:pPr>
              <w:jc w:val="right"/>
              <w:ind w:right="46"/>
              <w:spacing w:after="0"/>
              <w:rPr>
                <w:sz w:val="20"/>
                <w:szCs w:val="20"/>
                <w:color w:val="auto"/>
              </w:rPr>
            </w:pPr>
            <w:r>
              <w:rPr>
                <w:rFonts w:ascii="Arial" w:cs="Arial" w:eastAsia="Arial" w:hAnsi="Arial"/>
                <w:sz w:val="17"/>
                <w:szCs w:val="17"/>
                <w:color w:val="auto"/>
              </w:rPr>
              <w:t>June 30,</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gridSpan w:val="3"/>
          </w:tcPr>
          <w:p>
            <w:pPr>
              <w:jc w:val="right"/>
              <w:ind w:right="46"/>
              <w:spacing w:after="0"/>
              <w:rPr>
                <w:sz w:val="20"/>
                <w:szCs w:val="20"/>
                <w:color w:val="auto"/>
              </w:rPr>
            </w:pPr>
            <w:r>
              <w:rPr>
                <w:rFonts w:ascii="Arial" w:cs="Arial" w:eastAsia="Arial" w:hAnsi="Arial"/>
                <w:sz w:val="17"/>
                <w:szCs w:val="17"/>
                <w:color w:val="auto"/>
              </w:rPr>
              <w:t>June 30,</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2016</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w w:val="89"/>
              </w:rPr>
              <w:t>2016</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95"/>
              <w:spacing w:after="0"/>
              <w:rPr>
                <w:sz w:val="20"/>
                <w:szCs w:val="20"/>
                <w:color w:val="auto"/>
              </w:rPr>
            </w:pPr>
            <w:r>
              <w:rPr>
                <w:rFonts w:ascii="Arial" w:cs="Arial" w:eastAsia="Arial" w:hAnsi="Arial"/>
                <w:sz w:val="17"/>
                <w:szCs w:val="17"/>
                <w:color w:val="auto"/>
              </w:rPr>
              <w:t>(In</w:t>
            </w:r>
          </w:p>
        </w:tc>
        <w:tc>
          <w:tcPr>
            <w:tcW w:w="620" w:type="dxa"/>
            <w:vAlign w:val="bottom"/>
            <w:gridSpan w:val="3"/>
          </w:tcPr>
          <w:p>
            <w:pPr>
              <w:jc w:val="right"/>
              <w:spacing w:after="0"/>
              <w:rPr>
                <w:sz w:val="20"/>
                <w:szCs w:val="20"/>
                <w:color w:val="auto"/>
              </w:rPr>
            </w:pPr>
            <w:r>
              <w:rPr>
                <w:rFonts w:ascii="Arial" w:cs="Arial" w:eastAsia="Arial" w:hAnsi="Arial"/>
                <w:sz w:val="16"/>
                <w:szCs w:val="16"/>
                <w:color w:val="auto"/>
                <w:w w:val="73"/>
              </w:rPr>
              <w:t>thousands)</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1640" w:type="dxa"/>
            <w:vAlign w:val="bottom"/>
            <w:gridSpan w:val="2"/>
            <w:shd w:val="clear" w:color="auto" w:fill="CCEEFF"/>
          </w:tcPr>
          <w:p>
            <w:pPr>
              <w:jc w:val="right"/>
              <w:ind w:right="86"/>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10,983</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11,318</w:t>
            </w:r>
          </w:p>
        </w:tc>
        <w:tc>
          <w:tcPr>
            <w:tcW w:w="480" w:type="dxa"/>
            <w:vAlign w:val="bottom"/>
            <w:gridSpan w:val="2"/>
            <w:shd w:val="clear" w:color="auto" w:fill="CCEEFF"/>
          </w:tcPr>
          <w:p>
            <w:pPr>
              <w:jc w:val="right"/>
              <w:ind w:right="226"/>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12,436</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12,106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40" w:type="dxa"/>
            <w:vAlign w:val="bottom"/>
          </w:tcPr>
          <w:p>
            <w:pPr>
              <w:ind w:left="140"/>
              <w:spacing w:after="0"/>
              <w:rPr>
                <w:sz w:val="20"/>
                <w:szCs w:val="20"/>
                <w:color w:val="auto"/>
              </w:rPr>
            </w:pPr>
            <w:r>
              <w:rPr>
                <w:rFonts w:ascii="Arial" w:cs="Arial" w:eastAsia="Arial" w:hAnsi="Arial"/>
                <w:sz w:val="17"/>
                <w:szCs w:val="17"/>
                <w:color w:val="auto"/>
              </w:rPr>
              <w:t>Originated servicing rights capitalized</w:t>
            </w: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703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787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1,257</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w:t>
            </w: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(709)</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(1,266)</w:t>
            </w: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tcPr>
          <w:p>
            <w:pPr>
              <w:ind w:left="140"/>
              <w:spacing w:after="0"/>
              <w:rPr>
                <w:sz w:val="20"/>
                <w:szCs w:val="20"/>
                <w:color w:val="auto"/>
              </w:rPr>
            </w:pPr>
            <w:r>
              <w:rPr>
                <w:rFonts w:ascii="Arial" w:cs="Arial" w:eastAsia="Arial" w:hAnsi="Arial"/>
                <w:sz w:val="17"/>
                <w:szCs w:val="17"/>
                <w:color w:val="auto"/>
              </w:rPr>
              <w:t>Change in valuation allowance</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(646)</w:t>
            </w: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1,230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(2,096)</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538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end of period</w:t>
            </w:r>
          </w:p>
        </w:tc>
        <w:tc>
          <w:tcPr>
            <w:tcW w:w="14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10,331</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12,535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10,331</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12,535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640" w:type="dxa"/>
            <w:vAlign w:val="bottom"/>
          </w:tcPr>
          <w:p>
            <w:pPr>
              <w:spacing w:after="0"/>
              <w:rPr>
                <w:sz w:val="17"/>
                <w:szCs w:val="17"/>
                <w:color w:val="auto"/>
              </w:rPr>
            </w:pPr>
          </w:p>
        </w:tc>
        <w:tc>
          <w:tcPr>
            <w:tcW w:w="164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48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Valuation allowance at end of period</w:t>
            </w: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5,368</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3,235</w:t>
            </w:r>
          </w:p>
        </w:tc>
        <w:tc>
          <w:tcPr>
            <w:tcW w:w="480" w:type="dxa"/>
            <w:vAlign w:val="bottom"/>
            <w:gridSpan w:val="2"/>
            <w:shd w:val="clear" w:color="auto" w:fill="CCEEFF"/>
          </w:tcPr>
          <w:p>
            <w:pPr>
              <w:jc w:val="right"/>
              <w:ind w:right="226"/>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5,368</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At June 30, 2016 we were servicing approximately $1.64 billion in mortgage loans for others on which servicing rights have been capitalized. This servicing portfolio had a weighted average coupon rate of 4.28% and a weighted average service fee of approximately 25.4 basis points. Remaining capitalized mortgage loan servicing rights at June 30, 2016 totaled $10.3 million, representing approximately 63 basis points on the related amount of mortgage loans serviced for others. The capitalized mortgage loan servicing had an estimated fair market value of $10.4 million at June 30, 2016.</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Investment and insurance commissions represent revenues generated on the sale or management of investments and insurance for our customers. These revenues declined on both a quarterly and year-to-date basis in 2016 as compared to 2015, due primarily to open sales representative positions that were not filled until during the second quarter of 2016.</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Income from bank owned life insurance declined on both a comparative quarterly and year-to-date basis in 2016 compared to 2015 reflecting a somewhat lower crediting rate on our cash surrender value. Our separate account is primarily invested in agency mortgage-backed securities and managed by PIMCO. The crediting rate (on which the earnings are based) reflects the performance of the separate account. The total cash surrender value of our bank owned life insurance was $55.0 million and $54.4 million at June 30, 2016 and December 31, 2015, respectively.</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Title insurance fees were lower on both a comparative quarterly and year-to-date basis in 2016 as compared to 2015. The amount of title insurance fees is primarily a function of the level of mortgage loans that we originated.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Other non-interest income was relatively unchanged on both a comparative quarterly and year-to-date basis in 2016 compared to 2015.</w:t>
      </w:r>
    </w:p>
    <w:p>
      <w:pPr>
        <w:spacing w:after="0" w:line="2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color w:val="auto"/>
        </w:rPr>
        <w:t xml:space="preserve">Non-interest expense. </w:t>
      </w:r>
      <w:r>
        <w:rPr>
          <w:rFonts w:ascii="Arial" w:cs="Arial" w:eastAsia="Arial" w:hAnsi="Arial"/>
          <w:sz w:val="17"/>
          <w:szCs w:val="17"/>
          <w:color w:val="auto"/>
        </w:rPr>
        <w:t>Non-interest expense is an important component of our results of operations. We strive to efficiently manage our cost structure and</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is focused on a number of initiatives to reduce and contain non-interest expenses.</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Non-interest expense decreased by $0.7 million to $20.9 million and by $0.8 million to $42.9 million during the three- and six-month periods ended June 30, 2016, respectively, compared to the same periods in 2015. The components of non-interest expense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060" w:type="dxa"/>
            <w:vAlign w:val="bottom"/>
          </w:tcPr>
          <w:p>
            <w:pPr>
              <w:ind w:left="2220"/>
              <w:spacing w:after="0"/>
              <w:rPr>
                <w:sz w:val="20"/>
                <w:szCs w:val="20"/>
                <w:color w:val="auto"/>
              </w:rPr>
            </w:pPr>
            <w:r>
              <w:rPr>
                <w:rFonts w:ascii="Arial" w:cs="Arial" w:eastAsia="Arial" w:hAnsi="Arial"/>
                <w:sz w:val="17"/>
                <w:szCs w:val="17"/>
                <w:b w:val="1"/>
                <w:bCs w:val="1"/>
                <w:color w:val="auto"/>
              </w:rPr>
              <w:t>Non-Interest Expense</w:t>
            </w:r>
          </w:p>
        </w:tc>
        <w:tc>
          <w:tcPr>
            <w:tcW w:w="240" w:type="dxa"/>
            <w:vAlign w:val="bottom"/>
          </w:tcPr>
          <w:p>
            <w:pPr>
              <w:spacing w:after="0"/>
              <w:rPr>
                <w:sz w:val="19"/>
                <w:szCs w:val="19"/>
                <w:color w:val="auto"/>
              </w:rPr>
            </w:pPr>
          </w:p>
        </w:tc>
        <w:tc>
          <w:tcPr>
            <w:tcW w:w="2420" w:type="dxa"/>
            <w:vAlign w:val="bottom"/>
            <w:gridSpan w:val="5"/>
            <w:vMerge w:val="restart"/>
          </w:tcPr>
          <w:p>
            <w:pPr>
              <w:jc w:val="right"/>
              <w:ind w:right="615"/>
              <w:spacing w:after="0"/>
              <w:rPr>
                <w:sz w:val="20"/>
                <w:szCs w:val="20"/>
                <w:color w:val="auto"/>
              </w:rPr>
            </w:pPr>
            <w:r>
              <w:rPr>
                <w:rFonts w:ascii="Arial" w:cs="Arial" w:eastAsia="Arial" w:hAnsi="Arial"/>
                <w:sz w:val="17"/>
                <w:szCs w:val="17"/>
                <w:color w:val="auto"/>
              </w:rPr>
              <w:t>Three months ended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5"/>
            <w:vMerge w:val="restart"/>
          </w:tcPr>
          <w:p>
            <w:pPr>
              <w:jc w:val="right"/>
              <w:ind w:right="740"/>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3"/>
          </w:tcPr>
          <w:p>
            <w:pPr>
              <w:jc w:val="right"/>
              <w:ind w:right="46"/>
              <w:spacing w:after="0"/>
              <w:rPr>
                <w:sz w:val="20"/>
                <w:szCs w:val="20"/>
                <w:color w:val="auto"/>
              </w:rPr>
            </w:pPr>
            <w:r>
              <w:rPr>
                <w:rFonts w:ascii="Arial" w:cs="Arial" w:eastAsia="Arial" w:hAnsi="Arial"/>
                <w:sz w:val="17"/>
                <w:szCs w:val="17"/>
                <w:color w:val="auto"/>
              </w:rPr>
              <w:t>June 30,</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3"/>
          </w:tcPr>
          <w:p>
            <w:pPr>
              <w:jc w:val="right"/>
              <w:ind w:right="46"/>
              <w:spacing w:after="0"/>
              <w:rPr>
                <w:sz w:val="20"/>
                <w:szCs w:val="20"/>
                <w:color w:val="auto"/>
              </w:rPr>
            </w:pPr>
            <w:r>
              <w:rPr>
                <w:rFonts w:ascii="Arial" w:cs="Arial" w:eastAsia="Arial" w:hAnsi="Arial"/>
                <w:sz w:val="17"/>
                <w:szCs w:val="17"/>
                <w:color w:val="auto"/>
              </w:rPr>
              <w:t>June 30,</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2016</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2016</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(in</w:t>
            </w:r>
          </w:p>
        </w:tc>
        <w:tc>
          <w:tcPr>
            <w:tcW w:w="1380" w:type="dxa"/>
            <w:vAlign w:val="bottom"/>
            <w:gridSpan w:val="4"/>
          </w:tcPr>
          <w:p>
            <w:pPr>
              <w:jc w:val="right"/>
              <w:ind w:right="635"/>
              <w:spacing w:after="0"/>
              <w:rPr>
                <w:sz w:val="20"/>
                <w:szCs w:val="20"/>
                <w:color w:val="auto"/>
              </w:rPr>
            </w:pPr>
            <w:r>
              <w:rPr>
                <w:rFonts w:ascii="Arial" w:cs="Arial" w:eastAsia="Arial" w:hAnsi="Arial"/>
                <w:sz w:val="17"/>
                <w:szCs w:val="17"/>
                <w:color w:val="auto"/>
                <w:w w:val="76"/>
              </w:rPr>
              <w:t>thousands)</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Compensation</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8,168</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8,131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16,402</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16,461</w:t>
            </w:r>
          </w:p>
        </w:tc>
        <w:tc>
          <w:tcPr>
            <w:tcW w:w="0" w:type="dxa"/>
            <w:vAlign w:val="bottom"/>
          </w:tcPr>
          <w:p>
            <w:pPr>
              <w:spacing w:after="0"/>
              <w:rPr>
                <w:sz w:val="1"/>
                <w:szCs w:val="1"/>
                <w:color w:val="auto"/>
              </w:rPr>
            </w:pPr>
          </w:p>
        </w:tc>
      </w:tr>
      <w:tr>
        <w:trPr>
          <w:trHeight w:val="204"/>
        </w:trPr>
        <w:tc>
          <w:tcPr>
            <w:tcW w:w="6060" w:type="dxa"/>
            <w:vAlign w:val="bottom"/>
          </w:tcPr>
          <w:p>
            <w:pPr>
              <w:spacing w:after="0"/>
              <w:rPr>
                <w:sz w:val="20"/>
                <w:szCs w:val="20"/>
                <w:color w:val="auto"/>
              </w:rPr>
            </w:pPr>
            <w:r>
              <w:rPr>
                <w:rFonts w:ascii="Arial" w:cs="Arial" w:eastAsia="Arial" w:hAnsi="Arial"/>
                <w:sz w:val="17"/>
                <w:szCs w:val="17"/>
                <w:color w:val="auto"/>
              </w:rPr>
              <w:t>Performance-based compensation</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1,679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55"/>
              <w:spacing w:after="0"/>
              <w:rPr>
                <w:sz w:val="20"/>
                <w:szCs w:val="20"/>
                <w:color w:val="auto"/>
              </w:rPr>
            </w:pPr>
            <w:r>
              <w:rPr>
                <w:rFonts w:ascii="Arial" w:cs="Arial" w:eastAsia="Arial" w:hAnsi="Arial"/>
                <w:sz w:val="17"/>
                <w:szCs w:val="17"/>
                <w:color w:val="auto"/>
              </w:rPr>
              <w:t>1,744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3,200</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3,032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Payroll taxes and employee benefits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2,153</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1,916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4,279</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060" w:type="dxa"/>
            <w:vAlign w:val="bottom"/>
          </w:tcPr>
          <w:p>
            <w:pPr>
              <w:ind w:left="160"/>
              <w:spacing w:after="0"/>
              <w:rPr>
                <w:sz w:val="20"/>
                <w:szCs w:val="20"/>
                <w:color w:val="auto"/>
              </w:rPr>
            </w:pPr>
            <w:r>
              <w:rPr>
                <w:rFonts w:ascii="Arial" w:cs="Arial" w:eastAsia="Arial" w:hAnsi="Arial"/>
                <w:sz w:val="17"/>
                <w:szCs w:val="17"/>
                <w:color w:val="auto"/>
              </w:rPr>
              <w:t>Compensation and employee benefits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12,000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55"/>
              <w:spacing w:after="0"/>
              <w:rPr>
                <w:sz w:val="20"/>
                <w:szCs w:val="20"/>
                <w:color w:val="auto"/>
              </w:rPr>
            </w:pPr>
            <w:r>
              <w:rPr>
                <w:rFonts w:ascii="Arial" w:cs="Arial" w:eastAsia="Arial" w:hAnsi="Arial"/>
                <w:sz w:val="17"/>
                <w:szCs w:val="17"/>
                <w:color w:val="auto"/>
              </w:rPr>
              <w:t>11,791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23,881</w:t>
            </w:r>
          </w:p>
        </w:tc>
        <w:tc>
          <w:tcPr>
            <w:tcW w:w="2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23,576</w:t>
            </w:r>
          </w:p>
        </w:tc>
        <w:tc>
          <w:tcPr>
            <w:tcW w:w="0" w:type="dxa"/>
            <w:vAlign w:val="bottom"/>
          </w:tcPr>
          <w:p>
            <w:pPr>
              <w:spacing w:after="0"/>
              <w:rPr>
                <w:sz w:val="1"/>
                <w:szCs w:val="1"/>
                <w:color w:val="auto"/>
              </w:rPr>
            </w:pPr>
          </w:p>
        </w:tc>
      </w:tr>
      <w:tr>
        <w:trPr>
          <w:trHeight w:val="204"/>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Occupancy, net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1,856</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2,040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4,063</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60" w:type="dxa"/>
            <w:vAlign w:val="bottom"/>
          </w:tcPr>
          <w:p>
            <w:pPr>
              <w:spacing w:after="0"/>
              <w:rPr>
                <w:sz w:val="20"/>
                <w:szCs w:val="20"/>
                <w:color w:val="auto"/>
              </w:rPr>
            </w:pPr>
            <w:r>
              <w:rPr>
                <w:rFonts w:ascii="Arial" w:cs="Arial" w:eastAsia="Arial" w:hAnsi="Arial"/>
                <w:sz w:val="17"/>
                <w:szCs w:val="17"/>
                <w:color w:val="auto"/>
              </w:rPr>
              <w:t>Data processing</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1,936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55"/>
              <w:spacing w:after="0"/>
              <w:rPr>
                <w:sz w:val="20"/>
                <w:szCs w:val="20"/>
                <w:color w:val="auto"/>
              </w:rPr>
            </w:pPr>
            <w:r>
              <w:rPr>
                <w:rFonts w:ascii="Arial" w:cs="Arial" w:eastAsia="Arial" w:hAnsi="Arial"/>
                <w:sz w:val="17"/>
                <w:szCs w:val="17"/>
                <w:color w:val="auto"/>
              </w:rPr>
              <w:t>2,027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4,037</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3,957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Furniture, fixtures and equipment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965</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965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1,949</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60" w:type="dxa"/>
            <w:vAlign w:val="bottom"/>
          </w:tcPr>
          <w:p>
            <w:pPr>
              <w:spacing w:after="0"/>
              <w:rPr>
                <w:sz w:val="20"/>
                <w:szCs w:val="20"/>
                <w:color w:val="auto"/>
              </w:rPr>
            </w:pPr>
            <w:r>
              <w:rPr>
                <w:rFonts w:ascii="Arial" w:cs="Arial" w:eastAsia="Arial" w:hAnsi="Arial"/>
                <w:sz w:val="17"/>
                <w:szCs w:val="17"/>
                <w:color w:val="auto"/>
              </w:rPr>
              <w:t>Communications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722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55"/>
              <w:spacing w:after="0"/>
              <w:rPr>
                <w:sz w:val="20"/>
                <w:szCs w:val="20"/>
                <w:color w:val="auto"/>
              </w:rPr>
            </w:pPr>
            <w:r>
              <w:rPr>
                <w:rFonts w:ascii="Arial" w:cs="Arial" w:eastAsia="Arial" w:hAnsi="Arial"/>
                <w:sz w:val="17"/>
                <w:szCs w:val="17"/>
                <w:color w:val="auto"/>
              </w:rPr>
              <w:t>694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1,610</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Loan and collection</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967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1,396</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60" w:type="dxa"/>
            <w:vAlign w:val="bottom"/>
          </w:tcPr>
          <w:p>
            <w:pPr>
              <w:spacing w:after="0"/>
              <w:rPr>
                <w:sz w:val="20"/>
                <w:szCs w:val="20"/>
                <w:color w:val="auto"/>
              </w:rPr>
            </w:pPr>
            <w:r>
              <w:rPr>
                <w:rFonts w:ascii="Arial" w:cs="Arial" w:eastAsia="Arial" w:hAnsi="Arial"/>
                <w:sz w:val="17"/>
                <w:szCs w:val="17"/>
                <w:color w:val="auto"/>
              </w:rPr>
              <w:t>Advertising</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478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55"/>
              <w:spacing w:after="0"/>
              <w:rPr>
                <w:sz w:val="20"/>
                <w:szCs w:val="20"/>
                <w:color w:val="auto"/>
              </w:rPr>
            </w:pPr>
            <w:r>
              <w:rPr>
                <w:rFonts w:ascii="Arial" w:cs="Arial" w:eastAsia="Arial" w:hAnsi="Arial"/>
                <w:sz w:val="17"/>
                <w:szCs w:val="17"/>
                <w:color w:val="auto"/>
              </w:rPr>
              <w:t>448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955</w:t>
            </w:r>
          </w:p>
        </w:tc>
        <w:tc>
          <w:tcPr>
            <w:tcW w:w="2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932</w:t>
            </w:r>
          </w:p>
        </w:tc>
        <w:tc>
          <w:tcPr>
            <w:tcW w:w="0" w:type="dxa"/>
            <w:vAlign w:val="bottom"/>
          </w:tcPr>
          <w:p>
            <w:pPr>
              <w:spacing w:after="0"/>
              <w:rPr>
                <w:sz w:val="1"/>
                <w:szCs w:val="1"/>
                <w:color w:val="auto"/>
              </w:rPr>
            </w:pPr>
          </w:p>
        </w:tc>
      </w:tr>
      <w:tr>
        <w:trPr>
          <w:trHeight w:val="204"/>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Legal and professional</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453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758</w:t>
            </w: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833</w:t>
            </w:r>
          </w:p>
        </w:tc>
        <w:tc>
          <w:tcPr>
            <w:tcW w:w="0" w:type="dxa"/>
            <w:vAlign w:val="bottom"/>
          </w:tcPr>
          <w:p>
            <w:pPr>
              <w:spacing w:after="0"/>
              <w:rPr>
                <w:sz w:val="1"/>
                <w:szCs w:val="1"/>
                <w:color w:val="auto"/>
              </w:rPr>
            </w:pPr>
          </w:p>
        </w:tc>
      </w:tr>
      <w:tr>
        <w:trPr>
          <w:trHeight w:val="204"/>
        </w:trPr>
        <w:tc>
          <w:tcPr>
            <w:tcW w:w="6060" w:type="dxa"/>
            <w:vAlign w:val="bottom"/>
          </w:tcPr>
          <w:p>
            <w:pPr>
              <w:spacing w:after="0"/>
              <w:rPr>
                <w:sz w:val="20"/>
                <w:szCs w:val="20"/>
                <w:color w:val="auto"/>
              </w:rPr>
            </w:pPr>
            <w:r>
              <w:rPr>
                <w:rFonts w:ascii="Arial" w:cs="Arial" w:eastAsia="Arial" w:hAnsi="Arial"/>
                <w:sz w:val="17"/>
                <w:szCs w:val="17"/>
                <w:color w:val="auto"/>
              </w:rPr>
              <w:t>FDIC deposit insurance</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55"/>
              <w:spacing w:after="0"/>
              <w:rPr>
                <w:sz w:val="20"/>
                <w:szCs w:val="20"/>
                <w:color w:val="auto"/>
              </w:rPr>
            </w:pPr>
            <w:r>
              <w:rPr>
                <w:rFonts w:ascii="Arial" w:cs="Arial" w:eastAsia="Arial" w:hAnsi="Arial"/>
                <w:sz w:val="17"/>
                <w:szCs w:val="17"/>
                <w:color w:val="auto"/>
              </w:rPr>
              <w:t>351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665</w:t>
            </w:r>
          </w:p>
        </w:tc>
        <w:tc>
          <w:tcPr>
            <w:tcW w:w="2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694</w:t>
            </w:r>
          </w:p>
        </w:tc>
        <w:tc>
          <w:tcPr>
            <w:tcW w:w="0" w:type="dxa"/>
            <w:vAlign w:val="bottom"/>
          </w:tcPr>
          <w:p>
            <w:pPr>
              <w:spacing w:after="0"/>
              <w:rPr>
                <w:sz w:val="1"/>
                <w:szCs w:val="1"/>
                <w:color w:val="auto"/>
              </w:rPr>
            </w:pPr>
          </w:p>
        </w:tc>
      </w:tr>
      <w:tr>
        <w:trPr>
          <w:trHeight w:val="204"/>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Interchange expense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289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533</w:t>
            </w: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580</w:t>
            </w:r>
          </w:p>
        </w:tc>
        <w:tc>
          <w:tcPr>
            <w:tcW w:w="0" w:type="dxa"/>
            <w:vAlign w:val="bottom"/>
          </w:tcPr>
          <w:p>
            <w:pPr>
              <w:spacing w:after="0"/>
              <w:rPr>
                <w:sz w:val="1"/>
                <w:szCs w:val="1"/>
                <w:color w:val="auto"/>
              </w:rPr>
            </w:pPr>
          </w:p>
        </w:tc>
      </w:tr>
      <w:tr>
        <w:trPr>
          <w:trHeight w:val="204"/>
        </w:trPr>
        <w:tc>
          <w:tcPr>
            <w:tcW w:w="6060" w:type="dxa"/>
            <w:vAlign w:val="bottom"/>
          </w:tcPr>
          <w:p>
            <w:pPr>
              <w:spacing w:after="0"/>
              <w:rPr>
                <w:sz w:val="20"/>
                <w:szCs w:val="20"/>
                <w:color w:val="auto"/>
              </w:rPr>
            </w:pPr>
            <w:r>
              <w:rPr>
                <w:rFonts w:ascii="Arial" w:cs="Arial" w:eastAsia="Arial" w:hAnsi="Arial"/>
                <w:sz w:val="17"/>
                <w:szCs w:val="17"/>
                <w:color w:val="auto"/>
              </w:rPr>
              <w:t>Credit card and bank service fees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55"/>
              <w:spacing w:after="0"/>
              <w:rPr>
                <w:sz w:val="20"/>
                <w:szCs w:val="20"/>
                <w:color w:val="auto"/>
              </w:rPr>
            </w:pPr>
            <w:r>
              <w:rPr>
                <w:rFonts w:ascii="Arial" w:cs="Arial" w:eastAsia="Arial" w:hAnsi="Arial"/>
                <w:sz w:val="17"/>
                <w:szCs w:val="17"/>
                <w:color w:val="auto"/>
              </w:rPr>
              <w:t>203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385</w:t>
            </w:r>
          </w:p>
        </w:tc>
        <w:tc>
          <w:tcPr>
            <w:tcW w:w="2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04"/>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Supplies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216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373</w:t>
            </w: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204"/>
        </w:trPr>
        <w:tc>
          <w:tcPr>
            <w:tcW w:w="6060" w:type="dxa"/>
            <w:vAlign w:val="bottom"/>
          </w:tcPr>
          <w:p>
            <w:pPr>
              <w:spacing w:after="0"/>
              <w:rPr>
                <w:sz w:val="20"/>
                <w:szCs w:val="20"/>
                <w:color w:val="auto"/>
              </w:rPr>
            </w:pPr>
            <w:r>
              <w:rPr>
                <w:rFonts w:ascii="Arial" w:cs="Arial" w:eastAsia="Arial" w:hAnsi="Arial"/>
                <w:sz w:val="17"/>
                <w:szCs w:val="17"/>
                <w:color w:val="auto"/>
              </w:rPr>
              <w:t>Amortization of intangible assets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55"/>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174</w:t>
            </w:r>
          </w:p>
        </w:tc>
        <w:tc>
          <w:tcPr>
            <w:tcW w:w="2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04"/>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Vehicle service contract counterparty contingencies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60" w:type="dxa"/>
            <w:vAlign w:val="bottom"/>
          </w:tcPr>
          <w:p>
            <w:pPr>
              <w:spacing w:after="0"/>
              <w:rPr>
                <w:sz w:val="20"/>
                <w:szCs w:val="20"/>
                <w:color w:val="auto"/>
              </w:rPr>
            </w:pPr>
            <w:r>
              <w:rPr>
                <w:rFonts w:ascii="Arial" w:cs="Arial" w:eastAsia="Arial" w:hAnsi="Arial"/>
                <w:sz w:val="17"/>
                <w:szCs w:val="17"/>
                <w:color w:val="auto"/>
              </w:rPr>
              <w:t>Provision for loss reimbursement on sold loans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55"/>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(15)</w:t>
            </w:r>
          </w:p>
        </w:tc>
        <w:tc>
          <w:tcPr>
            <w:tcW w:w="28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4"/>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Costs (recoveries) related to unfunded lending commitments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(80)</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(67)</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60" w:type="dxa"/>
            <w:vAlign w:val="bottom"/>
          </w:tcPr>
          <w:p>
            <w:pPr>
              <w:spacing w:after="0"/>
              <w:rPr>
                <w:sz w:val="20"/>
                <w:szCs w:val="20"/>
                <w:color w:val="auto"/>
              </w:rPr>
            </w:pPr>
            <w:r>
              <w:rPr>
                <w:rFonts w:ascii="Arial" w:cs="Arial" w:eastAsia="Arial" w:hAnsi="Arial"/>
                <w:sz w:val="17"/>
                <w:szCs w:val="17"/>
                <w:color w:val="auto"/>
              </w:rPr>
              <w:t>Net gains on other real estate and repossessed assets</w:t>
            </w: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(159)</w:t>
            </w:r>
          </w:p>
        </w:tc>
        <w:tc>
          <w:tcPr>
            <w:tcW w:w="28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(139)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(165)</w:t>
            </w:r>
          </w:p>
        </w:tc>
        <w:tc>
          <w:tcPr>
            <w:tcW w:w="28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04"/>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1,182</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1,108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2,379</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060" w:type="dxa"/>
            <w:vAlign w:val="bottom"/>
          </w:tcPr>
          <w:p>
            <w:pPr>
              <w:ind w:left="300"/>
              <w:spacing w:after="0"/>
              <w:rPr>
                <w:sz w:val="20"/>
                <w:szCs w:val="20"/>
                <w:color w:val="auto"/>
              </w:rPr>
            </w:pPr>
            <w:r>
              <w:rPr>
                <w:rFonts w:ascii="Arial" w:cs="Arial" w:eastAsia="Arial" w:hAnsi="Arial"/>
                <w:sz w:val="17"/>
                <w:szCs w:val="17"/>
                <w:color w:val="auto"/>
              </w:rPr>
              <w:t>Total non-interest expense</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20,895</w:t>
            </w:r>
          </w:p>
        </w:tc>
        <w:tc>
          <w:tcPr>
            <w:tcW w:w="220" w:type="dxa"/>
            <w:vAlign w:val="bottom"/>
          </w:tcPr>
          <w:p>
            <w:pPr>
              <w:spacing w:after="0"/>
              <w:rPr>
                <w:sz w:val="17"/>
                <w:szCs w:val="17"/>
                <w:color w:val="auto"/>
              </w:rPr>
            </w:pP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55"/>
              <w:spacing w:after="0"/>
              <w:rPr>
                <w:sz w:val="20"/>
                <w:szCs w:val="20"/>
                <w:color w:val="auto"/>
              </w:rPr>
            </w:pPr>
            <w:r>
              <w:rPr>
                <w:rFonts w:ascii="Arial" w:cs="Arial" w:eastAsia="Arial" w:hAnsi="Arial"/>
                <w:sz w:val="17"/>
                <w:szCs w:val="17"/>
                <w:color w:val="auto"/>
              </w:rPr>
              <w:t>21,579</w:t>
            </w: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42,940</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43,730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Compensation and employee benefits expenses, in total, increased $0.2 million, or 1.8%, on a quarterly comparative basis and increased $0.3 million, or 1.3%, for the first six months of 2016 compared to the same periods in 2015.</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Compensation expense was relatively unchanged in the second quarter and first six months of 2016, respectively, compared to the same periods in 2015. Average full-time equivalent employees (“FTEs”) were reduced by approximately 0.9% and 1.8% during the second quarter and first six months of 2016, respectively, compared to the year ago periods. However, the impact of the FTE reductions was offset by merit raises granted in 2016.</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Performance-based compensation decreased by $0.1 million and increased by $0.2 million in the second quarter and first six months of 2016, respectively, versus the same periods in 2015, due primarily to relative comparative changes in the accrual for anticipated incentive compensation based on our estimated full-year performance as compared to goals.</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Payroll taxes and employee benefits increased by $0.2 million for both the second quarter and first six months of 2016, respectively, compared to the same periods in 2015. The 2016 quarterly increase was due primarily to increases in medical insurance and employee training costs. The 2016 year-to-date increase was due primarily to increases in payroll taxes and employee training costs.</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Occupancy, net, decreased by $0.2 million and $0.4 million in the second quarter and first six months of 2016, respectively, compared to the same periods in 2015. These declines are primarily due to decreases in utility costs and real estate property taxes (which reflect fewer properties owned due to sales or other dispositions) and lower lease costs for our Mepco Finance Corporation (“Mepco”) Chicago office due to relocating to smaller space in the fourth quarter of 2015.</w:t>
      </w:r>
    </w:p>
    <w:p>
      <w:pPr>
        <w:spacing w:after="0" w:line="183" w:lineRule="exact"/>
        <w:rPr>
          <w:sz w:val="20"/>
          <w:szCs w:val="20"/>
          <w:color w:val="auto"/>
        </w:rPr>
      </w:pPr>
    </w:p>
    <w:p>
      <w:pPr>
        <w:jc w:val="both"/>
        <w:ind w:right="100"/>
        <w:spacing w:after="0" w:line="262" w:lineRule="auto"/>
        <w:rPr>
          <w:sz w:val="20"/>
          <w:szCs w:val="20"/>
          <w:color w:val="auto"/>
        </w:rPr>
      </w:pPr>
      <w:r>
        <w:rPr>
          <w:rFonts w:ascii="Arial" w:cs="Arial" w:eastAsia="Arial" w:hAnsi="Arial"/>
          <w:sz w:val="17"/>
          <w:szCs w:val="17"/>
          <w:color w:val="auto"/>
        </w:rPr>
        <w:t>Data processing expenses decreased by $0.1 million and increased by $0.1 million in the second quarter and first six months of 2016, respectively, compared to the same periods in 2015. The 2016 quarterly decrease is primarily due to a decline in software amortization expense. The 2016 year-to-date increase primarily reflects new services added with our core data processing vendor or other outside service providers.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Furniture, fixtures and equipment, advertising, FDIC deposit insurance and supplies expenses were all relatively unchanged in 2016 as compared to 2015.</w:t>
      </w:r>
    </w:p>
    <w:p>
      <w:pPr>
        <w:spacing w:after="0" w:line="24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Communications expenses were relatively unchanged and increased by $0.2 million in the second quarter and first six months of 2016, respectively, compared to the same periods in 2015. The year-to-date increase in 2016 is due primarily to mailing costs to convert our debit card customers to a chip-enabled card and for distribution of materials related to a new checking account program.</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Loan and collection expenses primarily reflect costs related to the management and collection of non-performing loans and other problem credits. These expenses have further declined in 2016, which primarily reflects the overall year-over-year decrease in non-performing assets and watch credits. (See “Portfolio Loans and asset quality.”)</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Legal and professional fees decreased on both a comparative quarterly and year-to-date basis due primarily to a decline in legal fees at Mepco because of the resolution (in the first quarter of 2016) of counterparty litigation associated with collection matters.</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Interchange expense primarily represents our third-party cost to process debit card transactions. This cost has declined on both a comparative quarterly and year-to-date basis due primarily to the decline in debit card transaction revenue described above.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Credit card and bank service fees decreased on both a comparative quarterly and year-to-date basis primarily due to a decline in the number of payment plans being serviced by Mepco in 2016 compared to 2015.</w:t>
      </w:r>
    </w:p>
    <w:p>
      <w:pPr>
        <w:spacing w:after="0" w:line="190"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The amortization of intangible assets primarily relates to branch acquisitions and the amortization of the deposit customer relationship value, including core deposit value, which was acquired in connection with those acquisitions. We had remaining unamortized intangible assets of $2.1 million and $2.3 million at June 30, 2016 and December 31, 2015, respectively. See Note #8 to the Condensed Consolidated Financial Statements for a schedule of future amortization of intangible assets.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record estimated incurred losses associated with Mepco’s vehicle service contract payment plan receivables in our provision for loan losses and establish a related allowance for loan losses. (See “Portfolio Loans and asset quality.”) We record estimated incurred losses associated with defaults by Mepco’s counterparties as “vehicle service contract counterparty contingencies expense,” which is included in non-interest expenses in our Condensed Consolidated Statements of Operations. Such expense/(credit) totaled $(0.001) million and $0.03 million for vehicle service contract payment plan counterparty contingencies in the second quarter and first six months of 2016, respectively, compared to $0.03 million and $0.06 million, respectively, for the same periods in 2015.</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estimate of probable incurred losses from vehicle service contract counterparty contingencies requires a significant amount of judgment because a number of factors can influence the amount of loss that we may ultimately incur. These factors include our estimate of future cancellations of vehicle service contracts, our evaluation of collateral that may be available to recover funds due from our counterparties, and our assessment of the amount that may ultimately be collected from counterparties in connection with their contractual obligations. We apply a rigorous process, based upon historical payment plan activity and past experience, to estimate probable incurred losses and quantify the necessary reserves for our vehicle service contract counterparty contingencies, but there can be no assurance that our modeling process will successfully identify all such losses.</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particular, as noted in our Risk Factors included in Part I - Item 1A of our Annual Report on Form 10-K for the year ended December 31, 2015, Mepco has had to initiate litigation against certain counterparties, including third party insurers, to collect amounts owed to Mepco as a result of those parties’ dispute of their contractual obligations to Mepco. During the first quarter of 2016, we settled our last significant remaining litigation matter with certain of Mepco’s counterparties. This settlement resulted in our receipt of a cash payment of $4.0 million on March 31, 2016. This settlement also resulted in our receipt of an interest-bearing promissory note from one of Mepco’s counterparties for $1.5 million with monthly payments scheduled over a five-year period beginning in May 2016. Due to the lack of any payment history and limited financial information on this counterparty, we established a full reserve on this promissory note as of March 31, 2016. A full reserve on the remaining balance ($1.45 million) on this note was maintained at June 30, 2016. This counterparty has made the first three required monthly payments on the note. As a longer-term payment history is developed on this note, we will continue to evaluate the need for all or any part of a reserve. Vehicle service contract counterparty receivables, net totaled $3.0 million as of June 30, 2016 compared to $7.2 million as of December 31, 2015.</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addition, see Note #14 to the Condensed Consolidated Financial Statements included within this report for more information about Mepco’s business, certain risks and difficulties we currently face with respect to that business, and reserves we have established (through vehicle service contract counterparty contingencies expense) for losses related to the business.</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provision for loss reimbursement on sold loans was zero and a credit of $0.015 million in the second quarter and first six months of 2016, respectively, compared to an expense of $0.045 million and a credit of $0.024 million in the second quarter and first six months of 2015, respectively. This provision represents our estimate of incurred losses related to mortgage loans that we have sold to investors (primarily Fannie Mae, Freddie Mac and Ginnie Mae). The small credit provisions in 2016 and for the first six months of 2015 are due primarily to the settlements of certain loss reimbursement claims at slightly lower amounts than what had been specifically reserved for at the end of the respective previous period. Since we sell mortgage loans without recourse, loss reimbursements only occur in those instances where we have breached a representation or warranty or other contractual requirement related to the loan sale. The reserve for loss reimbursements on sold mortgage loans totaled $0.5 million at both June 30, 2016 and December 31, 2015. This reserve is included in accrued expenses and other liabilities in our Condensed Consolidated Statements of Financial Condition. This reserve is based on an analysis of mortgage loans that we have sold which are further categorized by delinquency status, loan to value, and year of origination. The calculation includes factors such as probability of default, probability of loss reimbursement (breach of representation or warranty) and estimated loss severity. The reserve levels at June 30, 2016 and December 31, 2015 also reflect the resolution of the mortgage loan origination years of 2000 to 2008 with Fannie Mae and Freddie Mac. We believe that the amounts that we have accrued for incurred losses on sold mortgage loans are appropriate given our analyses. However, future losses could exceed our current estimate.</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changes in cost (recoveries) related to unfunded lending commitments are primarily impacted by changes in the amounts of such commitments to originate portfolio loans as well as (for commercial loan commitments) the grade (pursuant to our loan rating system) of such commitments.</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Net gains on other real estate and repossessed assets primarily represent the gain or loss on the sale or additional write downs on these assets subsequent to the transfer of the asset from our loan portfolio. This transfer occurs at the time we acquire the collateral that secured the loan. At the time of acquisition, the other real estate or repossessed asset is valued at fair value, less estimated costs to sell, which becomes the new basis for the asset. Any write-downs at the time of acquisition are charged to the allowance for loan losses. The net gains of $0.16 million and $0.17 million recorded in the second quarter and first six months of 2016, respectively (as compared to net gains of $0.14 million and $0.18 million, respectively, recorded in the same periods in 2015) primarily reflect greater stability in real estate prices during the last two years, with some markets even experiencing price increases.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Other non-interest expenses were relatively unchanged in the second quarter and first six months of 2016, respectively, compared to the same periods in 2015.</w:t>
      </w:r>
    </w:p>
    <w:p>
      <w:pPr>
        <w:spacing w:after="0" w:line="24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color w:val="auto"/>
        </w:rPr>
        <w:t xml:space="preserve">Income tax expense. </w:t>
      </w:r>
      <w:r>
        <w:rPr>
          <w:rFonts w:ascii="Arial" w:cs="Arial" w:eastAsia="Arial" w:hAnsi="Arial"/>
          <w:sz w:val="16"/>
          <w:szCs w:val="16"/>
          <w:color w:val="auto"/>
        </w:rPr>
        <w:t>We recorded an income tax expense of $2.6 million and $4.6 million in the second quarter and the first six months of 2016, respectively. This</w:t>
      </w:r>
      <w:r>
        <w:rPr>
          <w:rFonts w:ascii="Arial" w:cs="Arial" w:eastAsia="Arial" w:hAnsi="Arial"/>
          <w:sz w:val="16"/>
          <w:szCs w:val="16"/>
          <w:b w:val="1"/>
          <w:bCs w:val="1"/>
          <w:color w:val="auto"/>
        </w:rPr>
        <w:t xml:space="preserve"> </w:t>
      </w:r>
      <w:r>
        <w:rPr>
          <w:rFonts w:ascii="Arial" w:cs="Arial" w:eastAsia="Arial" w:hAnsi="Arial"/>
          <w:sz w:val="16"/>
          <w:szCs w:val="16"/>
          <w:color w:val="auto"/>
        </w:rPr>
        <w:t>compares to an income tax expense of $2.6 million and $4.4 million in the second quarter and the first six months of 2015, respectively.</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second quarter of 2016 included a $0.3 million income tax benefit resulting from the adoption of Financial Accounting Standards Board Accounting Standards Update 2016-09 “Compensation – Stock Compensation (718) Improvements to Employee Share-Based Payment Accounting” (“ASU 2016-09”). See Note #2 to the Condensed Consolidated Financial Statements</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actual federal income tax expense is different than the amount computed by applying our statutory federal income tax rate to our pre-tax income primarily due to tax-exempt interest income and tax-exempt income from the increase in the cash surrender value on life insurance.</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both June 30, 2016 and 2015, that the realization of substantially all of our deferred tax assets continues to be more likely than not.</w:t>
      </w:r>
    </w:p>
    <w:p>
      <w:pPr>
        <w:spacing w:after="0" w:line="20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did maintain a valuation allowance against our deferred tax assets of approximately $1.1 million at both June 30, 2016 and December 31, 2015. This valuation allowance on our deferred tax assets primarily relates to state income taxes at our Mepco segment. In this instance, we determined that the future realization of these particular deferred tax assets was not more likely than not. This conclusion was primarily based on the uncertainty of Mepco’s future earnings attributable to particular states (given the various apportionment criteria) and the significant reduction in the size of Mepco’s business.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Because of our net operating loss and tax credit carryforwards, we are still subject to the rules of Section 382 of the Internal Revenue Code of 1986, as amended. An ownership change, as defined by these rules, would negatively affect our ability to utilize our net operating loss carryforwards and other deferred tax assets in the future. If such an ownership change were to occur, we may suffer higher-than-anticipated tax expense, and consequently lower net income and cash flow, in those future years. Although we cannot control market purchases or sales of our common stock, we have in place a Tax Benefits Preservation Plan to dissuade any movement in our stock that would trigger an ownership change to avoid triggering any Section 382 limitations.</w:t>
      </w:r>
    </w:p>
    <w:p>
      <w:pPr>
        <w:spacing w:after="0" w:line="18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 xml:space="preserve">Business Segments. </w:t>
      </w:r>
      <w:r>
        <w:rPr>
          <w:rFonts w:ascii="Arial" w:cs="Arial" w:eastAsia="Arial" w:hAnsi="Arial"/>
          <w:sz w:val="17"/>
          <w:szCs w:val="17"/>
          <w:color w:val="auto"/>
        </w:rPr>
        <w:t>Our reportable segments are based upon legal entities. We currently have two reportable segments: Independent Bank and Mepco. These</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segments are also differentiated based on the products and services provided. We evaluate performance based principally on net income (loss) of the respective reportable segments.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1"/>
        </w:trPr>
        <w:tc>
          <w:tcPr>
            <w:tcW w:w="534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00" w:type="dxa"/>
            <w:vAlign w:val="bottom"/>
            <w:shd w:val="clear" w:color="auto" w:fill="0000EE"/>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1"/>
        </w:trPr>
        <w:tc>
          <w:tcPr>
            <w:tcW w:w="5340" w:type="dxa"/>
            <w:vAlign w:val="bottom"/>
            <w:gridSpan w:val="2"/>
          </w:tcPr>
          <w:p>
            <w:pPr>
              <w:spacing w:after="0"/>
              <w:rPr>
                <w:sz w:val="20"/>
                <w:szCs w:val="20"/>
                <w:color w:val="auto"/>
              </w:rPr>
            </w:pPr>
            <w:r>
              <w:rPr>
                <w:rFonts w:ascii="Arial" w:cs="Arial" w:eastAsia="Arial" w:hAnsi="Arial"/>
                <w:sz w:val="17"/>
                <w:szCs w:val="17"/>
                <w:color w:val="auto"/>
              </w:rPr>
              <w:t>The following table presents net income (loss) by business segment.</w:t>
            </w: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8"/>
        </w:trPr>
        <w:tc>
          <w:tcPr>
            <w:tcW w:w="5340" w:type="dxa"/>
            <w:vAlign w:val="bottom"/>
            <w:gridSpan w:val="2"/>
          </w:tcPr>
          <w:p>
            <w:pPr>
              <w:spacing w:after="0"/>
              <w:rPr>
                <w:sz w:val="20"/>
                <w:szCs w:val="20"/>
                <w:color w:val="auto"/>
              </w:rPr>
            </w:pPr>
            <w:r>
              <w:rPr>
                <w:rFonts w:ascii="Arial" w:cs="Arial" w:eastAsia="Arial" w:hAnsi="Arial"/>
                <w:sz w:val="17"/>
                <w:szCs w:val="17"/>
                <w:b w:val="1"/>
                <w:bCs w:val="1"/>
                <w:color w:val="auto"/>
              </w:rPr>
              <w:t>Business Segments</w:t>
            </w: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2"/>
        </w:trPr>
        <w:tc>
          <w:tcPr>
            <w:tcW w:w="3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40" w:type="dxa"/>
            <w:vAlign w:val="bottom"/>
            <w:gridSpan w:val="4"/>
          </w:tcPr>
          <w:p>
            <w:pPr>
              <w:jc w:val="right"/>
              <w:ind w:right="102"/>
              <w:spacing w:after="0"/>
              <w:rPr>
                <w:sz w:val="20"/>
                <w:szCs w:val="20"/>
                <w:color w:val="auto"/>
              </w:rPr>
            </w:pPr>
            <w:r>
              <w:rPr>
                <w:rFonts w:ascii="Arial" w:cs="Arial" w:eastAsia="Arial" w:hAnsi="Arial"/>
                <w:sz w:val="17"/>
                <w:szCs w:val="17"/>
                <w:color w:val="auto"/>
              </w:rPr>
              <w:t>Three months ended</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20" w:type="dxa"/>
            <w:vAlign w:val="bottom"/>
            <w:gridSpan w:val="5"/>
          </w:tcPr>
          <w:p>
            <w:pPr>
              <w:jc w:val="right"/>
              <w:ind w:right="740"/>
              <w:spacing w:after="0"/>
              <w:rPr>
                <w:sz w:val="20"/>
                <w:szCs w:val="20"/>
                <w:color w:val="auto"/>
              </w:rPr>
            </w:pPr>
            <w:r>
              <w:rPr>
                <w:rFonts w:ascii="Arial" w:cs="Arial" w:eastAsia="Arial" w:hAnsi="Arial"/>
                <w:sz w:val="17"/>
                <w:szCs w:val="17"/>
                <w:color w:val="auto"/>
              </w:rPr>
              <w:t>Six months ended</w:t>
            </w:r>
          </w:p>
        </w:tc>
      </w:tr>
      <w:tr>
        <w:trPr>
          <w:trHeight w:val="204"/>
        </w:trPr>
        <w:tc>
          <w:tcPr>
            <w:tcW w:w="30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80" w:type="dxa"/>
            <w:vAlign w:val="bottom"/>
            <w:gridSpan w:val="3"/>
          </w:tcPr>
          <w:p>
            <w:pPr>
              <w:jc w:val="right"/>
              <w:ind w:right="522"/>
              <w:spacing w:after="0"/>
              <w:rPr>
                <w:sz w:val="20"/>
                <w:szCs w:val="20"/>
                <w:color w:val="auto"/>
              </w:rPr>
            </w:pPr>
            <w:r>
              <w:rPr>
                <w:rFonts w:ascii="Arial" w:cs="Arial" w:eastAsia="Arial" w:hAnsi="Arial"/>
                <w:sz w:val="17"/>
                <w:szCs w:val="17"/>
                <w:color w:val="auto"/>
              </w:rPr>
              <w:t>June 30,</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gridSpan w:val="3"/>
          </w:tcPr>
          <w:p>
            <w:pPr>
              <w:jc w:val="right"/>
              <w:ind w:right="46"/>
              <w:spacing w:after="0"/>
              <w:rPr>
                <w:sz w:val="20"/>
                <w:szCs w:val="20"/>
                <w:color w:val="auto"/>
              </w:rPr>
            </w:pPr>
            <w:r>
              <w:rPr>
                <w:rFonts w:ascii="Arial" w:cs="Arial" w:eastAsia="Arial" w:hAnsi="Arial"/>
                <w:sz w:val="17"/>
                <w:szCs w:val="17"/>
                <w:color w:val="auto"/>
              </w:rPr>
              <w:t>June 30,</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30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2016</w:t>
            </w: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2015</w:t>
            </w:r>
          </w:p>
        </w:tc>
        <w:tc>
          <w:tcPr>
            <w:tcW w:w="3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w w:val="89"/>
              </w:rPr>
              <w:t>2016</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19"/>
                <w:szCs w:val="19"/>
                <w:color w:val="auto"/>
              </w:rPr>
            </w:pPr>
          </w:p>
        </w:tc>
      </w:tr>
      <w:tr>
        <w:trPr>
          <w:trHeight w:val="204"/>
        </w:trPr>
        <w:tc>
          <w:tcPr>
            <w:tcW w:w="30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jc w:val="right"/>
              <w:ind w:right="95"/>
              <w:spacing w:after="0"/>
              <w:rPr>
                <w:sz w:val="20"/>
                <w:szCs w:val="20"/>
                <w:color w:val="auto"/>
              </w:rPr>
            </w:pPr>
            <w:r>
              <w:rPr>
                <w:rFonts w:ascii="Arial" w:cs="Arial" w:eastAsia="Arial" w:hAnsi="Arial"/>
                <w:sz w:val="17"/>
                <w:szCs w:val="17"/>
                <w:color w:val="auto"/>
                <w:w w:val="95"/>
              </w:rPr>
              <w:t>(in</w:t>
            </w:r>
          </w:p>
        </w:tc>
        <w:tc>
          <w:tcPr>
            <w:tcW w:w="620" w:type="dxa"/>
            <w:vAlign w:val="bottom"/>
            <w:gridSpan w:val="3"/>
          </w:tcPr>
          <w:p>
            <w:pPr>
              <w:jc w:val="center"/>
              <w:spacing w:after="0"/>
              <w:rPr>
                <w:sz w:val="20"/>
                <w:szCs w:val="20"/>
                <w:color w:val="auto"/>
              </w:rPr>
            </w:pPr>
            <w:r>
              <w:rPr>
                <w:rFonts w:ascii="Arial" w:cs="Arial" w:eastAsia="Arial" w:hAnsi="Arial"/>
                <w:sz w:val="17"/>
                <w:szCs w:val="17"/>
                <w:color w:val="auto"/>
                <w:w w:val="71"/>
              </w:rPr>
              <w:t>thousands)</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Independent Bank</w:t>
            </w:r>
          </w:p>
        </w:tc>
        <w:tc>
          <w:tcPr>
            <w:tcW w:w="1480" w:type="dxa"/>
            <w:vAlign w:val="bottom"/>
            <w:gridSpan w:val="2"/>
            <w:shd w:val="clear" w:color="auto" w:fill="CCEEFF"/>
          </w:tcPr>
          <w:p>
            <w:pPr>
              <w:jc w:val="right"/>
              <w:ind w:right="599"/>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6,550</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w w:val="84"/>
              </w:rPr>
              <w:t>5,935</w:t>
            </w:r>
          </w:p>
        </w:tc>
        <w:tc>
          <w:tcPr>
            <w:tcW w:w="480" w:type="dxa"/>
            <w:vAlign w:val="bottom"/>
            <w:gridSpan w:val="2"/>
            <w:shd w:val="clear" w:color="auto" w:fill="CCEEFF"/>
          </w:tcPr>
          <w:p>
            <w:pPr>
              <w:jc w:val="center"/>
              <w:ind w:right="115"/>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11,169</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10,168</w:t>
            </w:r>
          </w:p>
        </w:tc>
      </w:tr>
      <w:tr>
        <w:trPr>
          <w:trHeight w:val="204"/>
        </w:trPr>
        <w:tc>
          <w:tcPr>
            <w:tcW w:w="5340" w:type="dxa"/>
            <w:vAlign w:val="bottom"/>
            <w:gridSpan w:val="2"/>
          </w:tcPr>
          <w:p>
            <w:pPr>
              <w:spacing w:after="0"/>
              <w:rPr>
                <w:sz w:val="20"/>
                <w:szCs w:val="20"/>
                <w:color w:val="auto"/>
              </w:rPr>
            </w:pPr>
            <w:r>
              <w:rPr>
                <w:rFonts w:ascii="Arial" w:cs="Arial" w:eastAsia="Arial" w:hAnsi="Arial"/>
                <w:sz w:val="17"/>
                <w:szCs w:val="17"/>
                <w:color w:val="auto"/>
              </w:rPr>
              <w:t>Mepco</w:t>
            </w: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32</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(205)</w:t>
            </w:r>
          </w:p>
        </w:tc>
        <w:tc>
          <w:tcPr>
            <w:tcW w:w="28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(269)</w:t>
            </w:r>
          </w:p>
        </w:tc>
      </w:tr>
      <w:tr>
        <w:trPr>
          <w:trHeight w:val="204"/>
        </w:trPr>
        <w:tc>
          <w:tcPr>
            <w:tcW w:w="5340" w:type="dxa"/>
            <w:vAlign w:val="bottom"/>
            <w:gridSpan w:val="2"/>
            <w:shd w:val="clear" w:color="auto" w:fill="CCEEFF"/>
          </w:tcPr>
          <w:p>
            <w:pPr>
              <w:spacing w:after="0" w:line="203" w:lineRule="exact"/>
              <w:rPr>
                <w:sz w:val="20"/>
                <w:szCs w:val="20"/>
                <w:color w:val="auto"/>
              </w:rPr>
            </w:pPr>
            <w:r>
              <w:rPr>
                <w:rFonts w:ascii="Arial" w:cs="Arial" w:eastAsia="Arial" w:hAnsi="Arial"/>
                <w:sz w:val="14"/>
                <w:szCs w:val="14"/>
                <w:color w:val="auto"/>
              </w:rPr>
              <w:t>Other</w:t>
            </w:r>
            <w:r>
              <w:rPr>
                <w:rFonts w:ascii="Arial" w:cs="Arial" w:eastAsia="Arial" w:hAnsi="Arial"/>
                <w:sz w:val="23"/>
                <w:szCs w:val="23"/>
                <w:color w:val="auto"/>
                <w:vertAlign w:val="superscript"/>
              </w:rPr>
              <w:t>(1)</w:t>
            </w:r>
          </w:p>
        </w:tc>
        <w:tc>
          <w:tcPr>
            <w:tcW w:w="7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(129)</w:t>
            </w:r>
          </w:p>
        </w:tc>
        <w:tc>
          <w:tcPr>
            <w:tcW w:w="7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(396)</w:t>
            </w: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(469)</w:t>
            </w:r>
          </w:p>
        </w:tc>
      </w:tr>
      <w:tr>
        <w:trPr>
          <w:trHeight w:val="209"/>
        </w:trPr>
        <w:tc>
          <w:tcPr>
            <w:tcW w:w="5340" w:type="dxa"/>
            <w:vAlign w:val="bottom"/>
            <w:gridSpan w:val="2"/>
          </w:tcPr>
          <w:p>
            <w:pPr>
              <w:spacing w:after="0"/>
              <w:rPr>
                <w:sz w:val="20"/>
                <w:szCs w:val="20"/>
                <w:color w:val="auto"/>
              </w:rPr>
            </w:pPr>
            <w:r>
              <w:rPr>
                <w:rFonts w:ascii="Arial" w:cs="Arial" w:eastAsia="Arial" w:hAnsi="Arial"/>
                <w:sz w:val="17"/>
                <w:szCs w:val="17"/>
                <w:color w:val="auto"/>
              </w:rPr>
              <w:t>Elimination</w:t>
            </w: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(15)</w:t>
            </w:r>
          </w:p>
        </w:tc>
        <w:tc>
          <w:tcPr>
            <w:tcW w:w="7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(30)</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(30)</w:t>
            </w:r>
          </w:p>
        </w:tc>
      </w:tr>
      <w:tr>
        <w:trPr>
          <w:trHeight w:val="244"/>
        </w:trPr>
        <w:tc>
          <w:tcPr>
            <w:tcW w:w="5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Net income</w:t>
            </w:r>
          </w:p>
        </w:tc>
        <w:tc>
          <w:tcPr>
            <w:tcW w:w="7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6,438</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602"/>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5,619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center"/>
              <w:ind w:right="21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10,538</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(1) Includes amounts relating to our parent company.</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increase in second quarter and year-to-date net income at Independent Bank in 2016 compared to 2015 is primarily due to an increase in net interest income and decreases in the provision for loan losses (a larger credit) and in non-interest expenses that were partially offset by a decrease in non-interest income. (See “Net interest income,” “Provision for loan losses,” “Non-interest income,” “Non-interest expense,” and “Portfolio Loans and asset quality.”)</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improvement in Mepco’s results in 2016 compared to 2015 is primarily due to a decrease in non-interest expenses that was partially offset by a decrease in net interest income as a result of a decline in year-over-year average payment plan receivables. All of Mepco’s funding is provided by Independent Bank through an intercompany loan (that is eliminated in consolidation). The rate on this intercompany loan is based on the Prime Rate (currently 3.50%). Mepco might not be able to obtain such favorable funding costs on its own in the open market.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w:t>
      </w:r>
      <w:r>
        <w:rPr>
          <w:rFonts w:ascii="Arial" w:cs="Arial" w:eastAsia="Arial" w:hAnsi="Arial"/>
          <w:sz w:val="11"/>
          <w:szCs w:val="11"/>
          <w:b w:val="1"/>
          <w:bCs w:val="1"/>
          <w:color w:val="auto"/>
        </w:rPr>
        <w:t>INANCIAL</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ONDITION</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auto"/>
        </w:rPr>
        <w:t xml:space="preserve">Summary. </w:t>
      </w:r>
      <w:r>
        <w:rPr>
          <w:rFonts w:ascii="Arial" w:cs="Arial" w:eastAsia="Arial" w:hAnsi="Arial"/>
          <w:sz w:val="17"/>
          <w:szCs w:val="17"/>
          <w:color w:val="auto"/>
        </w:rPr>
        <w:t>Our total assets increased by $43.6 million during the first six months of 2016 due primarily to increases in securities available for sale and loans. Loans,</w:t>
      </w:r>
      <w:r>
        <w:rPr>
          <w:rFonts w:ascii="Arial" w:cs="Arial" w:eastAsia="Arial" w:hAnsi="Arial"/>
          <w:sz w:val="17"/>
          <w:szCs w:val="17"/>
          <w:b w:val="1"/>
          <w:bCs w:val="1"/>
          <w:color w:val="auto"/>
        </w:rPr>
        <w:t xml:space="preserve"> </w:t>
      </w:r>
      <w:r>
        <w:rPr>
          <w:rFonts w:ascii="Arial" w:cs="Arial" w:eastAsia="Arial" w:hAnsi="Arial"/>
          <w:sz w:val="17"/>
          <w:szCs w:val="17"/>
          <w:color w:val="auto"/>
        </w:rPr>
        <w:t>excluding loans held for sale (“Portfolio Loans”), totaled $1.58 billion at June 30, 2016, an increase of $67.1 million, or 4.4%, from December 31, 2015. The commercial loan total of $792.0 million at June 30, 2016, included $6.7 million of inadvertent commercial deposit customer overdrafts that were cleared on July 1, 2016. (See “Portfolio Loans and asset quality.”)</w:t>
      </w:r>
    </w:p>
    <w:p>
      <w:pPr>
        <w:spacing w:after="0" w:line="20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Deposits totaled $2.13 billion at June 30, 2016, compared to $2.09 billion at December 31, 2015. The $42.3 million increase in total deposits during the period is primarily due to growth in checking, savings and time deposit account balances.</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auto"/>
        </w:rPr>
        <w:t xml:space="preserve">Securities. </w:t>
      </w:r>
      <w:r>
        <w:rPr>
          <w:rFonts w:ascii="Arial" w:cs="Arial" w:eastAsia="Arial" w:hAnsi="Arial"/>
          <w:sz w:val="17"/>
          <w:szCs w:val="17"/>
          <w:color w:val="auto"/>
        </w:rPr>
        <w:t>We maintain diversified securities portfolios, which include obligations of U.S. government-sponsored agencies, securities issued by states and political</w:t>
      </w:r>
      <w:r>
        <w:rPr>
          <w:rFonts w:ascii="Arial" w:cs="Arial" w:eastAsia="Arial" w:hAnsi="Arial"/>
          <w:sz w:val="17"/>
          <w:szCs w:val="17"/>
          <w:b w:val="1"/>
          <w:bCs w:val="1"/>
          <w:color w:val="auto"/>
        </w:rPr>
        <w:t xml:space="preserve"> </w:t>
      </w:r>
      <w:r>
        <w:rPr>
          <w:rFonts w:ascii="Arial" w:cs="Arial" w:eastAsia="Arial" w:hAnsi="Arial"/>
          <w:sz w:val="17"/>
          <w:szCs w:val="17"/>
          <w:color w:val="auto"/>
        </w:rPr>
        <w:t>subdivisions, residential and commercial mortgage-backed securities, collateralized loan obligations, asset-backed securities, corporate securities and trust preferred securities. We regularly evaluate asset/liability management needs and attempt to maintain a portfolio structure that provides sufficient liquidity and cash flow. Except as discussed below, we believe that the unrealized losses on securities available for sale are temporary in nature and are expected to be recovered within a reasonable time period. We believe that we have the ability to hold securities with unrealized losses to maturity or until such time as the unrealized losses reverse. (See “Asset/liability management.”)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396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EE"/>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3960" w:type="dxa"/>
            <w:vAlign w:val="bottom"/>
            <w:gridSpan w:val="2"/>
          </w:tcPr>
          <w:p>
            <w:pPr>
              <w:spacing w:after="0"/>
              <w:rPr>
                <w:sz w:val="20"/>
                <w:szCs w:val="20"/>
                <w:color w:val="auto"/>
              </w:rPr>
            </w:pPr>
            <w:r>
              <w:rPr>
                <w:rFonts w:ascii="Arial" w:cs="Arial" w:eastAsia="Arial" w:hAnsi="Arial"/>
                <w:sz w:val="17"/>
                <w:szCs w:val="17"/>
                <w:b w:val="1"/>
                <w:bCs w:val="1"/>
                <w:color w:val="auto"/>
              </w:rPr>
              <w:t>Securities</w:t>
            </w: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ind w:left="660"/>
              <w:spacing w:after="0"/>
              <w:rPr>
                <w:sz w:val="20"/>
                <w:szCs w:val="20"/>
                <w:color w:val="auto"/>
              </w:rPr>
            </w:pPr>
            <w:r>
              <w:rPr>
                <w:rFonts w:ascii="Arial" w:cs="Arial" w:eastAsia="Arial" w:hAnsi="Arial"/>
                <w:sz w:val="17"/>
                <w:szCs w:val="17"/>
                <w:color w:val="auto"/>
                <w:w w:val="95"/>
              </w:rPr>
              <w:t>Unrealized</w:t>
            </w:r>
          </w:p>
        </w:tc>
        <w:tc>
          <w:tcPr>
            <w:tcW w:w="8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40"/>
              <w:spacing w:after="0" w:line="191" w:lineRule="exact"/>
              <w:rPr>
                <w:sz w:val="20"/>
                <w:szCs w:val="20"/>
                <w:color w:val="auto"/>
              </w:rPr>
            </w:pPr>
            <w:r>
              <w:rPr>
                <w:rFonts w:ascii="Arial" w:cs="Arial" w:eastAsia="Arial" w:hAnsi="Arial"/>
                <w:sz w:val="17"/>
                <w:szCs w:val="17"/>
                <w:color w:val="auto"/>
              </w:rPr>
              <w:t>Amortized</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35"/>
              <w:spacing w:after="0" w:line="191" w:lineRule="exact"/>
              <w:rPr>
                <w:sz w:val="20"/>
                <w:szCs w:val="20"/>
                <w:color w:val="auto"/>
              </w:rPr>
            </w:pPr>
            <w:r>
              <w:rPr>
                <w:rFonts w:ascii="Arial" w:cs="Arial" w:eastAsia="Arial" w:hAnsi="Arial"/>
                <w:sz w:val="17"/>
                <w:szCs w:val="17"/>
                <w:color w:val="auto"/>
              </w:rPr>
              <w:t>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Cost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Gains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Losses</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60" w:type="dxa"/>
            <w:vAlign w:val="bottom"/>
            <w:gridSpan w:val="2"/>
            <w:vMerge w:val="restart"/>
          </w:tcPr>
          <w:p>
            <w:pPr>
              <w:spacing w:after="0"/>
              <w:rPr>
                <w:sz w:val="20"/>
                <w:szCs w:val="20"/>
                <w:color w:val="auto"/>
              </w:rPr>
            </w:pPr>
            <w:r>
              <w:rPr>
                <w:rFonts w:ascii="Arial" w:cs="Arial" w:eastAsia="Arial" w:hAnsi="Arial"/>
                <w:sz w:val="17"/>
                <w:szCs w:val="17"/>
                <w:color w:val="auto"/>
              </w:rPr>
              <w:t>Securities available for sale</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540"/>
              <w:spacing w:after="0"/>
              <w:rPr>
                <w:sz w:val="20"/>
                <w:szCs w:val="20"/>
                <w:color w:val="auto"/>
              </w:rPr>
            </w:pPr>
            <w:r>
              <w:rPr>
                <w:rFonts w:ascii="Arial" w:cs="Arial" w:eastAsia="Arial" w:hAnsi="Arial"/>
                <w:sz w:val="17"/>
                <w:szCs w:val="17"/>
                <w:color w:val="auto"/>
              </w:rPr>
              <w:t>(In</w:t>
            </w:r>
          </w:p>
        </w:tc>
        <w:tc>
          <w:tcPr>
            <w:tcW w:w="1380" w:type="dxa"/>
            <w:vAlign w:val="bottom"/>
            <w:gridSpan w:val="4"/>
          </w:tcPr>
          <w:p>
            <w:pPr>
              <w:spacing w:after="0"/>
              <w:rPr>
                <w:sz w:val="20"/>
                <w:szCs w:val="20"/>
                <w:color w:val="auto"/>
              </w:rPr>
            </w:pPr>
            <w:r>
              <w:rPr>
                <w:rFonts w:ascii="Arial" w:cs="Arial" w:eastAsia="Arial" w:hAnsi="Arial"/>
                <w:sz w:val="17"/>
                <w:szCs w:val="17"/>
                <w:color w:val="auto"/>
              </w:rPr>
              <w:t>thousands)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960" w:type="dxa"/>
            <w:vAlign w:val="bottom"/>
            <w:gridSpan w:val="2"/>
            <w:vMerge w:val="continue"/>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9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June 30, 2016</w:t>
            </w:r>
          </w:p>
        </w:tc>
        <w:tc>
          <w:tcPr>
            <w:tcW w:w="2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595,886</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5,991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2,122</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599,755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960" w:type="dxa"/>
            <w:vAlign w:val="bottom"/>
            <w:gridSpan w:val="2"/>
          </w:tcPr>
          <w:p>
            <w:pPr>
              <w:ind w:left="160"/>
              <w:spacing w:after="0"/>
              <w:rPr>
                <w:sz w:val="20"/>
                <w:szCs w:val="20"/>
                <w:color w:val="auto"/>
              </w:rPr>
            </w:pPr>
            <w:r>
              <w:rPr>
                <w:rFonts w:ascii="Arial" w:cs="Arial" w:eastAsia="Arial" w:hAnsi="Arial"/>
                <w:sz w:val="17"/>
                <w:szCs w:val="17"/>
                <w:color w:val="auto"/>
              </w:rPr>
              <w:t>December 31, 2015</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585,851</w:t>
            </w:r>
          </w:p>
        </w:tc>
        <w:tc>
          <w:tcPr>
            <w:tcW w:w="220" w:type="dxa"/>
            <w:vAlign w:val="bottom"/>
          </w:tcPr>
          <w:p>
            <w:pPr>
              <w:spacing w:after="0"/>
              <w:rPr>
                <w:sz w:val="18"/>
                <w:szCs w:val="18"/>
                <w:color w:val="auto"/>
              </w:rPr>
            </w:pPr>
          </w:p>
        </w:tc>
        <w:tc>
          <w:tcPr>
            <w:tcW w:w="1040" w:type="dxa"/>
            <w:vAlign w:val="bottom"/>
            <w:gridSpan w:val="2"/>
          </w:tcPr>
          <w:p>
            <w:pPr>
              <w:ind w:left="540"/>
              <w:spacing w:after="0"/>
              <w:rPr>
                <w:sz w:val="20"/>
                <w:szCs w:val="20"/>
                <w:color w:val="auto"/>
              </w:rPr>
            </w:pPr>
            <w:r>
              <w:rPr>
                <w:rFonts w:ascii="Arial" w:cs="Arial" w:eastAsia="Arial" w:hAnsi="Arial"/>
                <w:sz w:val="17"/>
                <w:szCs w:val="17"/>
                <w:color w:val="auto"/>
              </w:rPr>
              <w:t>3,152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3,519</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585,484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the first quarter of 2016, we initiated the use of Pacific Investment Management Company LLC (“PIMCO”) to manage an approximately $150 million segment of our securities available for sale. We anticipate achieving about $0.5 million of additional annual interest income, after management fees, on this portion of our securities available for sale. Although this segment of our securities available for sale is expected to have a similar risk-weighting and duration as our remaining portfolio, the additional earnings are anticipated to be generated through rebalancing into other sectors and better trade execution. These other sectors include certain structured securities (commercial and non-agency residential mortgage-backed securities and collateralized loan obligations) and non-U.S. government securities (but U.S. dollar denominated) as well as an increased allocation of corporate securities.</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Securities available for sale increased by $14.3 million during the first six months of 2016 due primarily to increases in asset-backed securities, corporate securities and municipal securities. The securities were purchased to utilize a portion of the funds generated from the increase in total deposits. (See “Deposits” and “Liquidity and capital resources.”)</w:t>
      </w:r>
    </w:p>
    <w:p>
      <w:pPr>
        <w:spacing w:after="0" w:line="200"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Our portfolio of available-for-sale securities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these recovery criteria, the amount of impairment recognized in earnings is limited to the amount related to credit losses, while impairment related to other factors is recognized in other comprehensive income or loss.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54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EE"/>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460" w:type="dxa"/>
            <w:vAlign w:val="bottom"/>
            <w:gridSpan w:val="3"/>
          </w:tcPr>
          <w:p>
            <w:pPr>
              <w:spacing w:after="0"/>
              <w:rPr>
                <w:sz w:val="20"/>
                <w:szCs w:val="20"/>
                <w:color w:val="auto"/>
              </w:rPr>
            </w:pPr>
            <w:r>
              <w:rPr>
                <w:rFonts w:ascii="Arial" w:cs="Arial" w:eastAsia="Arial" w:hAnsi="Arial"/>
                <w:sz w:val="17"/>
                <w:szCs w:val="17"/>
                <w:color w:val="auto"/>
              </w:rPr>
              <w:t>Sales of securities were as follows (See “Non-interest income.”):</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6"/>
          </w:tcPr>
          <w:p>
            <w:pPr>
              <w:jc w:val="right"/>
              <w:ind w:right="780"/>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4"/>
          </w:tcPr>
          <w:p>
            <w:pPr>
              <w:jc w:val="right"/>
              <w:ind w:right="146"/>
              <w:spacing w:after="0"/>
              <w:rPr>
                <w:sz w:val="20"/>
                <w:szCs w:val="20"/>
                <w:color w:val="auto"/>
              </w:rPr>
            </w:pPr>
            <w:r>
              <w:rPr>
                <w:rFonts w:ascii="Arial" w:cs="Arial" w:eastAsia="Arial" w:hAnsi="Arial"/>
                <w:sz w:val="17"/>
                <w:szCs w:val="17"/>
                <w:color w:val="auto"/>
              </w:rPr>
              <w:t>June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w w:val="84"/>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95"/>
              <w:spacing w:after="0"/>
              <w:rPr>
                <w:sz w:val="20"/>
                <w:szCs w:val="20"/>
                <w:color w:val="auto"/>
              </w:rPr>
            </w:pPr>
            <w:r>
              <w:rPr>
                <w:rFonts w:ascii="Arial" w:cs="Arial" w:eastAsia="Arial" w:hAnsi="Arial"/>
                <w:sz w:val="17"/>
                <w:szCs w:val="17"/>
                <w:color w:val="auto"/>
              </w:rPr>
              <w:t>(In</w:t>
            </w:r>
          </w:p>
        </w:tc>
        <w:tc>
          <w:tcPr>
            <w:tcW w:w="620" w:type="dxa"/>
            <w:vAlign w:val="bottom"/>
            <w:gridSpan w:val="3"/>
          </w:tcPr>
          <w:p>
            <w:pPr>
              <w:jc w:val="right"/>
              <w:spacing w:after="0"/>
              <w:rPr>
                <w:sz w:val="20"/>
                <w:szCs w:val="20"/>
                <w:color w:val="auto"/>
              </w:rPr>
            </w:pPr>
            <w:r>
              <w:rPr>
                <w:rFonts w:ascii="Arial" w:cs="Arial" w:eastAsia="Arial" w:hAnsi="Arial"/>
                <w:sz w:val="16"/>
                <w:szCs w:val="16"/>
                <w:color w:val="auto"/>
                <w:w w:val="73"/>
              </w:rPr>
              <w:t>thousands)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300" w:type="dxa"/>
            <w:vAlign w:val="bottom"/>
            <w:vMerge w:val="restart"/>
          </w:tcPr>
          <w:p>
            <w:pPr>
              <w:spacing w:after="0"/>
              <w:rPr>
                <w:sz w:val="3"/>
                <w:szCs w:val="3"/>
                <w:color w:val="auto"/>
              </w:rPr>
            </w:pPr>
          </w:p>
        </w:tc>
        <w:tc>
          <w:tcPr>
            <w:tcW w:w="2000" w:type="dxa"/>
            <w:vAlign w:val="bottom"/>
            <w:vMerge w:val="restart"/>
          </w:tcPr>
          <w:p>
            <w:pPr>
              <w:spacing w:after="0"/>
              <w:rPr>
                <w:sz w:val="3"/>
                <w:szCs w:val="3"/>
                <w:color w:val="auto"/>
              </w:rPr>
            </w:pPr>
          </w:p>
        </w:tc>
        <w:tc>
          <w:tcPr>
            <w:tcW w:w="316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300" w:type="dxa"/>
            <w:vAlign w:val="bottom"/>
            <w:vMerge w:val="continue"/>
          </w:tcPr>
          <w:p>
            <w:pPr>
              <w:spacing w:after="0"/>
              <w:rPr>
                <w:sz w:val="21"/>
                <w:szCs w:val="21"/>
                <w:color w:val="auto"/>
              </w:rPr>
            </w:pPr>
          </w:p>
        </w:tc>
        <w:tc>
          <w:tcPr>
            <w:tcW w:w="2000" w:type="dxa"/>
            <w:vAlign w:val="bottom"/>
            <w:vMerge w:val="continue"/>
          </w:tcPr>
          <w:p>
            <w:pPr>
              <w:spacing w:after="0"/>
              <w:rPr>
                <w:sz w:val="21"/>
                <w:szCs w:val="21"/>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Proceeds</w:t>
            </w:r>
          </w:p>
        </w:tc>
        <w:tc>
          <w:tcPr>
            <w:tcW w:w="1280" w:type="dxa"/>
            <w:vAlign w:val="bottom"/>
            <w:gridSpan w:val="2"/>
            <w:shd w:val="clear" w:color="auto" w:fill="CCEEFF"/>
          </w:tcPr>
          <w:p>
            <w:pPr>
              <w:jc w:val="right"/>
              <w:ind w:right="8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55,362</w:t>
            </w:r>
          </w:p>
        </w:tc>
        <w:tc>
          <w:tcPr>
            <w:tcW w:w="12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66"/>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11,786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300" w:type="dxa"/>
            <w:vAlign w:val="bottom"/>
            <w:vMerge w:val="restart"/>
          </w:tcPr>
          <w:p>
            <w:pPr>
              <w:spacing w:after="0"/>
              <w:rPr>
                <w:sz w:val="16"/>
                <w:szCs w:val="16"/>
                <w:color w:val="auto"/>
              </w:rPr>
            </w:pPr>
          </w:p>
        </w:tc>
        <w:tc>
          <w:tcPr>
            <w:tcW w:w="2000" w:type="dxa"/>
            <w:vAlign w:val="bottom"/>
            <w:vMerge w:val="restart"/>
          </w:tcPr>
          <w:p>
            <w:pPr>
              <w:spacing w:after="0"/>
              <w:rPr>
                <w:sz w:val="16"/>
                <w:szCs w:val="16"/>
                <w:color w:val="auto"/>
              </w:rPr>
            </w:pPr>
          </w:p>
        </w:tc>
        <w:tc>
          <w:tcPr>
            <w:tcW w:w="316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00" w:type="dxa"/>
            <w:vAlign w:val="bottom"/>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Gross gains</w:t>
            </w:r>
          </w:p>
        </w:tc>
        <w:tc>
          <w:tcPr>
            <w:tcW w:w="1280" w:type="dxa"/>
            <w:vAlign w:val="bottom"/>
            <w:gridSpan w:val="2"/>
            <w:shd w:val="clear" w:color="auto" w:fill="CCEEFF"/>
          </w:tcPr>
          <w:p>
            <w:pPr>
              <w:jc w:val="right"/>
              <w:ind w:right="8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66"/>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Arial" w:cs="Arial" w:eastAsia="Arial" w:hAnsi="Arial"/>
                <w:sz w:val="17"/>
                <w:szCs w:val="17"/>
                <w:color w:val="auto"/>
              </w:rPr>
              <w:t>Gross losses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(53)</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Net impairment charges</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7"/>
                <w:szCs w:val="17"/>
                <w:color w:val="auto"/>
              </w:rPr>
              <w:t>Fair value adjustments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44"/>
        </w:trPr>
        <w:tc>
          <w:tcPr>
            <w:tcW w:w="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gains</w:t>
            </w: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color w:val="auto"/>
        </w:rPr>
        <w:t xml:space="preserve">Portfolio Loans and asset quality. </w:t>
      </w:r>
      <w:r>
        <w:rPr>
          <w:rFonts w:ascii="Arial" w:cs="Arial" w:eastAsia="Arial" w:hAnsi="Arial"/>
          <w:sz w:val="17"/>
          <w:szCs w:val="17"/>
          <w:color w:val="auto"/>
        </w:rPr>
        <w:t>In addition to the communities served by our Bank branch network, our principal lending markets also include nearby</w:t>
      </w:r>
      <w:r>
        <w:rPr>
          <w:rFonts w:ascii="Arial" w:cs="Arial" w:eastAsia="Arial" w:hAnsi="Arial"/>
          <w:sz w:val="17"/>
          <w:szCs w:val="17"/>
          <w:b w:val="1"/>
          <w:bCs w:val="1"/>
          <w:color w:val="auto"/>
        </w:rPr>
        <w:t xml:space="preserve"> </w:t>
      </w:r>
      <w:r>
        <w:rPr>
          <w:rFonts w:ascii="Arial" w:cs="Arial" w:eastAsia="Arial" w:hAnsi="Arial"/>
          <w:sz w:val="17"/>
          <w:szCs w:val="17"/>
          <w:color w:val="auto"/>
        </w:rPr>
        <w:t>communities and metropolitan areas. Subject to established underwriting criteria, we also may participate in commercial lending transactions with certain non-affiliated banks and make whole loan purchases from other financial institutions. In December 2015, we purchased $32.6 million of single-family residential fixed rate jumbo mortgage loans from another Michigan-based financial institution. These mortgage loans were all on properties located in Michigan, had a weighted average interest rate (after a 0.25% servicing fee) of 3.94% and a weighted average remaining contractual maturity of 344 months. We did not have any single-family residential mortgage loan purchases during the first six months of 2016. However, on June 30, 2016, we did execute a non-binding letter of intent to purchase approximately $15.5 million of fixed rate residential mortgage loans from another Michigan-based financial institution. These mortgage loans were also all on properties located in Michigan. We expect to close this transaction in August 2016.</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generally retain loans that may be profitably funded within established risk parameters. (See “Asset/liability management.”) As a result, we may hold adjustable-rate mortgage loans as Portfolio Loans, while 15- and 30-year, fixed-rate obligations are generally sold to mitigate exposure to changes in interest rates. (See “Non-interest income.”)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61"/>
        </w:trPr>
        <w:tc>
          <w:tcPr>
            <w:tcW w:w="81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0"/>
        </w:trPr>
        <w:tc>
          <w:tcPr>
            <w:tcW w:w="300" w:type="dxa"/>
            <w:vAlign w:val="bottom"/>
            <w:shd w:val="clear" w:color="auto" w:fill="0000EE"/>
          </w:tcPr>
          <w:p>
            <w:pPr>
              <w:spacing w:after="0" w:line="20" w:lineRule="exact"/>
              <w:rPr>
                <w:sz w:val="1"/>
                <w:szCs w:val="1"/>
                <w:color w:val="auto"/>
              </w:rPr>
            </w:pPr>
          </w:p>
        </w:tc>
        <w:tc>
          <w:tcPr>
            <w:tcW w:w="7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04"/>
        </w:trPr>
        <w:tc>
          <w:tcPr>
            <w:tcW w:w="8160" w:type="dxa"/>
            <w:vAlign w:val="bottom"/>
            <w:gridSpan w:val="3"/>
          </w:tcPr>
          <w:p>
            <w:pPr>
              <w:spacing w:after="0"/>
              <w:rPr>
                <w:sz w:val="20"/>
                <w:szCs w:val="20"/>
                <w:color w:val="auto"/>
              </w:rPr>
            </w:pPr>
            <w:r>
              <w:rPr>
                <w:rFonts w:ascii="Arial" w:cs="Arial" w:eastAsia="Arial" w:hAnsi="Arial"/>
                <w:sz w:val="17"/>
                <w:szCs w:val="17"/>
                <w:b w:val="1"/>
                <w:bCs w:val="1"/>
                <w:color w:val="auto"/>
              </w:rPr>
              <w:t>Non-performing assets</w:t>
            </w:r>
            <w:r>
              <w:rPr>
                <w:rFonts w:ascii="Arial" w:cs="Arial" w:eastAsia="Arial" w:hAnsi="Arial"/>
                <w:sz w:val="28"/>
                <w:szCs w:val="28"/>
                <w:b w:val="1"/>
                <w:bCs w:val="1"/>
                <w:color w:val="auto"/>
                <w:vertAlign w:val="superscript"/>
              </w:rPr>
              <w:t>(1)</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3"/>
        </w:trPr>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3"/>
          </w:tcPr>
          <w:p>
            <w:pPr>
              <w:jc w:val="right"/>
              <w:ind w:right="540"/>
              <w:spacing w:after="0"/>
              <w:rPr>
                <w:sz w:val="20"/>
                <w:szCs w:val="20"/>
                <w:color w:val="auto"/>
              </w:rPr>
            </w:pPr>
            <w:r>
              <w:rPr>
                <w:rFonts w:ascii="Arial" w:cs="Arial" w:eastAsia="Arial" w:hAnsi="Arial"/>
                <w:sz w:val="17"/>
                <w:szCs w:val="17"/>
                <w:color w:val="auto"/>
                <w:w w:val="98"/>
              </w:rPr>
              <w:t>June 30,</w:t>
            </w:r>
          </w:p>
        </w:tc>
        <w:tc>
          <w:tcPr>
            <w:tcW w:w="100" w:type="dxa"/>
            <w:vAlign w:val="bottom"/>
          </w:tcPr>
          <w:p>
            <w:pPr>
              <w:spacing w:after="0"/>
              <w:rPr>
                <w:sz w:val="22"/>
                <w:szCs w:val="22"/>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w w:val="88"/>
              </w:rPr>
              <w:t>December 31,</w:t>
            </w:r>
          </w:p>
        </w:tc>
      </w:tr>
      <w:tr>
        <w:trPr>
          <w:trHeight w:val="222"/>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2015</w:t>
            </w:r>
          </w:p>
        </w:tc>
        <w:tc>
          <w:tcPr>
            <w:tcW w:w="180" w:type="dxa"/>
            <w:vAlign w:val="bottom"/>
          </w:tcPr>
          <w:p>
            <w:pPr>
              <w:spacing w:after="0"/>
              <w:rPr>
                <w:sz w:val="19"/>
                <w:szCs w:val="19"/>
                <w:color w:val="auto"/>
              </w:rPr>
            </w:pPr>
          </w:p>
        </w:tc>
      </w:tr>
      <w:tr>
        <w:trPr>
          <w:trHeight w:val="204"/>
        </w:trPr>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(Dollars</w:t>
            </w:r>
          </w:p>
        </w:tc>
        <w:tc>
          <w:tcPr>
            <w:tcW w:w="260" w:type="dxa"/>
            <w:vAlign w:val="bottom"/>
            <w:gridSpan w:val="2"/>
          </w:tcPr>
          <w:p>
            <w:pPr>
              <w:jc w:val="right"/>
              <w:ind w:right="140"/>
              <w:spacing w:after="0"/>
              <w:rPr>
                <w:sz w:val="20"/>
                <w:szCs w:val="20"/>
                <w:color w:val="auto"/>
              </w:rPr>
            </w:pPr>
            <w:r>
              <w:rPr>
                <w:rFonts w:ascii="Arial" w:cs="Arial" w:eastAsia="Arial" w:hAnsi="Arial"/>
                <w:sz w:val="17"/>
                <w:szCs w:val="17"/>
                <w:color w:val="auto"/>
                <w:w w:val="75"/>
              </w:rPr>
              <w:t>in</w:t>
            </w:r>
          </w:p>
        </w:tc>
        <w:tc>
          <w:tcPr>
            <w:tcW w:w="1140" w:type="dxa"/>
            <w:vAlign w:val="bottom"/>
            <w:gridSpan w:val="2"/>
          </w:tcPr>
          <w:p>
            <w:pPr>
              <w:spacing w:after="0"/>
              <w:rPr>
                <w:sz w:val="20"/>
                <w:szCs w:val="20"/>
                <w:color w:val="auto"/>
              </w:rPr>
            </w:pPr>
            <w:r>
              <w:rPr>
                <w:rFonts w:ascii="Arial" w:cs="Arial" w:eastAsia="Arial" w:hAnsi="Arial"/>
                <w:sz w:val="17"/>
                <w:szCs w:val="17"/>
                <w:color w:val="auto"/>
              </w:rPr>
              <w:t>thousands)</w:t>
            </w:r>
          </w:p>
        </w:tc>
        <w:tc>
          <w:tcPr>
            <w:tcW w:w="180" w:type="dxa"/>
            <w:vAlign w:val="bottom"/>
          </w:tcPr>
          <w:p>
            <w:pPr>
              <w:spacing w:after="0"/>
              <w:rPr>
                <w:sz w:val="17"/>
                <w:szCs w:val="17"/>
                <w:color w:val="auto"/>
              </w:rPr>
            </w:pPr>
          </w:p>
        </w:tc>
      </w:tr>
      <w:tr>
        <w:trPr>
          <w:trHeight w:val="204"/>
        </w:trPr>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Non-accrual loans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10,803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10,607</w:t>
            </w:r>
          </w:p>
        </w:tc>
      </w:tr>
      <w:tr>
        <w:trPr>
          <w:trHeight w:val="209"/>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7"/>
                <w:szCs w:val="17"/>
                <w:color w:val="auto"/>
              </w:rPr>
              <w:t>Loans 90 days or more past due and still accruing interest</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116</w:t>
            </w:r>
          </w:p>
        </w:tc>
      </w:tr>
      <w:tr>
        <w:trPr>
          <w:trHeight w:val="204"/>
        </w:trPr>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5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Total non-performing loans</w:t>
            </w: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10,897</w:t>
            </w: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10,723</w:t>
            </w:r>
          </w:p>
        </w:tc>
        <w:tc>
          <w:tcPr>
            <w:tcW w:w="180" w:type="dxa"/>
            <w:vAlign w:val="bottom"/>
            <w:shd w:val="clear" w:color="auto" w:fill="CCEEFF"/>
          </w:tcPr>
          <w:p>
            <w:pPr>
              <w:spacing w:after="0"/>
              <w:rPr>
                <w:sz w:val="17"/>
                <w:szCs w:val="17"/>
                <w:color w:val="auto"/>
              </w:rPr>
            </w:pPr>
          </w:p>
        </w:tc>
      </w:tr>
      <w:tr>
        <w:trPr>
          <w:trHeight w:val="209"/>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7"/>
                <w:szCs w:val="17"/>
                <w:color w:val="auto"/>
              </w:rPr>
              <w:t>Other real estate and repossessed assets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5,572</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7,150</w:t>
            </w:r>
          </w:p>
        </w:tc>
        <w:tc>
          <w:tcPr>
            <w:tcW w:w="180" w:type="dxa"/>
            <w:vAlign w:val="bottom"/>
          </w:tcPr>
          <w:p>
            <w:pPr>
              <w:spacing w:after="0"/>
              <w:rPr>
                <w:sz w:val="18"/>
                <w:szCs w:val="18"/>
                <w:color w:val="auto"/>
              </w:rPr>
            </w:pPr>
          </w:p>
        </w:tc>
      </w:tr>
      <w:tr>
        <w:trPr>
          <w:trHeight w:val="244"/>
        </w:trPr>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5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Total non-performing assets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16,469</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17,873</w:t>
            </w:r>
          </w:p>
        </w:tc>
        <w:tc>
          <w:tcPr>
            <w:tcW w:w="180" w:type="dxa"/>
            <w:vAlign w:val="bottom"/>
            <w:shd w:val="clear" w:color="auto" w:fill="CCEEFF"/>
          </w:tcPr>
          <w:p>
            <w:pPr>
              <w:spacing w:after="0"/>
              <w:rPr>
                <w:sz w:val="21"/>
                <w:szCs w:val="21"/>
                <w:color w:val="auto"/>
              </w:rPr>
            </w:pPr>
          </w:p>
        </w:tc>
      </w:tr>
      <w:tr>
        <w:trPr>
          <w:trHeight w:val="195"/>
        </w:trPr>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58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As a percent of Portfolio Loans</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r>
      <w:tr>
        <w:trPr>
          <w:trHeight w:val="204"/>
        </w:trPr>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Non-performing loans</w:t>
            </w:r>
          </w:p>
        </w:tc>
        <w:tc>
          <w:tcPr>
            <w:tcW w:w="18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0.69%</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0.71%</w:t>
            </w:r>
          </w:p>
        </w:tc>
      </w:tr>
      <w:tr>
        <w:trPr>
          <w:trHeight w:val="204"/>
        </w:trPr>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580" w:type="dxa"/>
            <w:vAlign w:val="bottom"/>
          </w:tcPr>
          <w:p>
            <w:pPr>
              <w:ind w:left="140"/>
              <w:spacing w:after="0"/>
              <w:rPr>
                <w:sz w:val="20"/>
                <w:szCs w:val="20"/>
                <w:color w:val="auto"/>
              </w:rPr>
            </w:pPr>
            <w:r>
              <w:rPr>
                <w:rFonts w:ascii="Arial" w:cs="Arial" w:eastAsia="Arial" w:hAnsi="Arial"/>
                <w:sz w:val="17"/>
                <w:szCs w:val="17"/>
                <w:color w:val="auto"/>
              </w:rPr>
              <w:t>Allowance for loan losses</w:t>
            </w:r>
          </w:p>
        </w:tc>
        <w:tc>
          <w:tcPr>
            <w:tcW w:w="18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1.44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1.49</w:t>
            </w:r>
          </w:p>
        </w:tc>
      </w:tr>
      <w:tr>
        <w:trPr>
          <w:trHeight w:val="204"/>
        </w:trPr>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Non-performing assets to total assets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0.74</w:t>
            </w:r>
          </w:p>
        </w:tc>
      </w:tr>
      <w:tr>
        <w:trPr>
          <w:trHeight w:val="215"/>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7"/>
                <w:szCs w:val="17"/>
                <w:color w:val="auto"/>
              </w:rPr>
              <w:t>Allowance for loan losses as a percent of non-performing loans</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208.42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210.48</w:t>
            </w:r>
          </w:p>
        </w:tc>
      </w:tr>
    </w:tbl>
    <w:p>
      <w:pPr>
        <w:spacing w:after="0" w:line="194" w:lineRule="exact"/>
        <w:rPr>
          <w:sz w:val="20"/>
          <w:szCs w:val="20"/>
          <w:color w:val="auto"/>
        </w:rPr>
      </w:pPr>
    </w:p>
    <w:p>
      <w:pPr>
        <w:ind w:left="460"/>
        <w:spacing w:after="0"/>
        <w:rPr>
          <w:sz w:val="20"/>
          <w:szCs w:val="20"/>
          <w:color w:val="auto"/>
        </w:rPr>
      </w:pPr>
      <w:r>
        <w:rPr>
          <w:rFonts w:ascii="Arial" w:cs="Arial" w:eastAsia="Arial" w:hAnsi="Arial"/>
          <w:sz w:val="28"/>
          <w:szCs w:val="28"/>
          <w:color w:val="auto"/>
          <w:vertAlign w:val="superscript"/>
        </w:rPr>
        <w:t>(1)</w:t>
      </w:r>
      <w:r>
        <w:rPr>
          <w:rFonts w:ascii="Arial" w:cs="Arial" w:eastAsia="Arial" w:hAnsi="Arial"/>
          <w:sz w:val="17"/>
          <w:szCs w:val="17"/>
          <w:color w:val="auto"/>
        </w:rPr>
        <w:t>Excludes loans classified as “troubled debt restructured” that are not past due and vehicle service contract counterparty receivables, net.</w:t>
      </w:r>
    </w:p>
    <w:p>
      <w:pPr>
        <w:spacing w:after="0" w:line="12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Non-performing loans increased by $0.2 million, or 1.6%, during the first six months of 2016 due principally to small increases in non-performing commercial and mortgage loans. In general, improving economic conditions in our market areas, as well as our collection and resolution efforts, have resulted in a generally stable or downward trend in non-performing loans. However, we are still experiencing some loan defaults, particularly related to commercial loans secured by income-producing property and mortgage loans secured by resort/vacation property.</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Non-performing loans exclude performing loans that are classified as troubled debt restructurings (“TDRs”). Performing TDRs totaled $78.9 million, or 5.0% of total Portfolio Loans, and $81.5 million, or 5.4% of total Portfolio Loans, at June 30, 2016 and December 31, 2015, respectively. The decrease in the amount of performing TDRs in the first six months of 2016 reflects a decline in retail loan TDRs.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756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300" w:type="dxa"/>
            <w:vAlign w:val="bottom"/>
            <w:shd w:val="clear" w:color="auto" w:fill="0000EE"/>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1"/>
        </w:trPr>
        <w:tc>
          <w:tcPr>
            <w:tcW w:w="7560" w:type="dxa"/>
            <w:vAlign w:val="bottom"/>
            <w:gridSpan w:val="2"/>
          </w:tcPr>
          <w:p>
            <w:pPr>
              <w:spacing w:after="0"/>
              <w:rPr>
                <w:sz w:val="20"/>
                <w:szCs w:val="20"/>
                <w:color w:val="auto"/>
              </w:rPr>
            </w:pPr>
            <w:r>
              <w:rPr>
                <w:rFonts w:ascii="Arial" w:cs="Arial" w:eastAsia="Arial" w:hAnsi="Arial"/>
                <w:sz w:val="17"/>
                <w:szCs w:val="17"/>
                <w:b w:val="1"/>
                <w:bCs w:val="1"/>
                <w:color w:val="auto"/>
              </w:rPr>
              <w:t>Troubled debt restructurings (“TDR”)</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9"/>
        </w:trPr>
        <w:tc>
          <w:tcPr>
            <w:tcW w:w="30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90"/>
              </w:rPr>
              <w:t>June 30, 2016</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9"/>
        </w:trPr>
        <w:tc>
          <w:tcPr>
            <w:tcW w:w="30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w w:val="90"/>
              </w:rPr>
              <w:t>Commercial</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160"/>
              <w:spacing w:after="0"/>
              <w:rPr>
                <w:sz w:val="20"/>
                <w:szCs w:val="20"/>
                <w:color w:val="auto"/>
              </w:rPr>
            </w:pPr>
            <w:r>
              <w:rPr>
                <w:rFonts w:ascii="Arial" w:cs="Arial" w:eastAsia="Arial" w:hAnsi="Arial"/>
                <w:sz w:val="17"/>
                <w:szCs w:val="17"/>
                <w:color w:val="auto"/>
              </w:rPr>
              <w:t>Retail</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255"/>
              <w:spacing w:after="0"/>
              <w:rPr>
                <w:sz w:val="20"/>
                <w:szCs w:val="20"/>
                <w:color w:val="auto"/>
              </w:rPr>
            </w:pPr>
            <w:r>
              <w:rPr>
                <w:rFonts w:ascii="Arial" w:cs="Arial" w:eastAsia="Arial" w:hAnsi="Arial"/>
                <w:sz w:val="17"/>
                <w:szCs w:val="17"/>
                <w:color w:val="auto"/>
              </w:rPr>
              <w:t>Total</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4"/>
        </w:trPr>
        <w:tc>
          <w:tcPr>
            <w:tcW w:w="30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79"/>
              </w:rPr>
              <w:t>(In thousands)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7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Performing TDRs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14,130</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64,818</w:t>
            </w:r>
          </w:p>
        </w:tc>
        <w:tc>
          <w:tcPr>
            <w:tcW w:w="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78,948</w:t>
            </w:r>
          </w:p>
        </w:tc>
        <w:tc>
          <w:tcPr>
            <w:tcW w:w="40" w:type="dxa"/>
            <w:vAlign w:val="bottom"/>
            <w:shd w:val="clear" w:color="auto" w:fill="CCEEFF"/>
          </w:tcPr>
          <w:p>
            <w:pPr>
              <w:spacing w:after="0"/>
              <w:rPr>
                <w:sz w:val="17"/>
                <w:szCs w:val="17"/>
                <w:color w:val="auto"/>
              </w:rPr>
            </w:pPr>
          </w:p>
        </w:tc>
      </w:tr>
      <w:tr>
        <w:trPr>
          <w:trHeight w:val="209"/>
        </w:trPr>
        <w:tc>
          <w:tcPr>
            <w:tcW w:w="7560" w:type="dxa"/>
            <w:vAlign w:val="bottom"/>
            <w:gridSpan w:val="2"/>
          </w:tcPr>
          <w:p>
            <w:pPr>
              <w:spacing w:after="0"/>
              <w:rPr>
                <w:sz w:val="20"/>
                <w:szCs w:val="20"/>
                <w:color w:val="auto"/>
              </w:rPr>
            </w:pPr>
            <w:r>
              <w:rPr>
                <w:rFonts w:ascii="Arial" w:cs="Arial" w:eastAsia="Arial" w:hAnsi="Arial"/>
                <w:sz w:val="17"/>
                <w:szCs w:val="17"/>
                <w:color w:val="auto"/>
              </w:rPr>
              <w:t>Non-performing TDRs(1)</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2,678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3,788</w:t>
            </w:r>
          </w:p>
        </w:tc>
        <w:tc>
          <w:tcPr>
            <w:tcW w:w="20" w:type="dxa"/>
            <w:vAlign w:val="bottom"/>
          </w:tcPr>
          <w:p>
            <w:pPr>
              <w:spacing w:after="0"/>
              <w:rPr>
                <w:sz w:val="18"/>
                <w:szCs w:val="18"/>
                <w:color w:val="auto"/>
              </w:rPr>
            </w:pPr>
          </w:p>
        </w:tc>
        <w:tc>
          <w:tcPr>
            <w:tcW w:w="340" w:type="dxa"/>
            <w:vAlign w:val="bottom"/>
          </w:tcPr>
          <w:p>
            <w:pPr>
              <w:jc w:val="right"/>
              <w:ind w:right="101"/>
              <w:spacing w:after="0"/>
              <w:rPr>
                <w:sz w:val="20"/>
                <w:szCs w:val="20"/>
                <w:color w:val="auto"/>
              </w:rPr>
            </w:pPr>
            <w:r>
              <w:rPr>
                <w:rFonts w:ascii="Arial" w:cs="Arial" w:eastAsia="Arial" w:hAnsi="Arial"/>
                <w:sz w:val="14"/>
                <w:szCs w:val="14"/>
                <w:color w:val="auto"/>
                <w:w w:val="81"/>
              </w:rPr>
              <w:t>(2)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6,466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4"/>
        </w:trPr>
        <w:tc>
          <w:tcPr>
            <w:tcW w:w="7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16,808</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7"/>
                <w:szCs w:val="17"/>
                <w:color w:val="auto"/>
                <w:w w:val="84"/>
              </w:rPr>
              <w:t>68,606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85,414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20"/>
        </w:trPr>
        <w:tc>
          <w:tcPr>
            <w:tcW w:w="30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1080" w:type="dxa"/>
            <w:vAlign w:val="bottom"/>
            <w:gridSpan w:val="3"/>
          </w:tcPr>
          <w:p>
            <w:pPr>
              <w:spacing w:after="0"/>
              <w:rPr>
                <w:sz w:val="19"/>
                <w:szCs w:val="19"/>
                <w:color w:val="auto"/>
              </w:rPr>
            </w:pPr>
          </w:p>
        </w:tc>
        <w:tc>
          <w:tcPr>
            <w:tcW w:w="420" w:type="dxa"/>
            <w:vAlign w:val="bottom"/>
            <w:gridSpan w:val="3"/>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9"/>
        </w:trPr>
        <w:tc>
          <w:tcPr>
            <w:tcW w:w="300" w:type="dxa"/>
            <w:vAlign w:val="bottom"/>
            <w:tcBorders>
              <w:bottom w:val="single" w:sz="8" w:color="CCEEFF"/>
            </w:tcBorders>
            <w:shd w:val="clear" w:color="auto" w:fill="CCEEFF"/>
          </w:tcPr>
          <w:p>
            <w:pPr>
              <w:spacing w:after="0"/>
              <w:rPr>
                <w:sz w:val="18"/>
                <w:szCs w:val="18"/>
                <w:color w:val="auto"/>
              </w:rPr>
            </w:pPr>
          </w:p>
        </w:tc>
        <w:tc>
          <w:tcPr>
            <w:tcW w:w="7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gridSpan w:val="9"/>
            <w:shd w:val="clear" w:color="auto" w:fill="CCEEFF"/>
          </w:tcPr>
          <w:p>
            <w:pPr>
              <w:jc w:val="right"/>
              <w:ind w:right="400"/>
              <w:spacing w:after="0"/>
              <w:rPr>
                <w:sz w:val="20"/>
                <w:szCs w:val="20"/>
                <w:color w:val="auto"/>
              </w:rPr>
            </w:pPr>
            <w:r>
              <w:rPr>
                <w:rFonts w:ascii="Arial" w:cs="Arial" w:eastAsia="Arial" w:hAnsi="Arial"/>
                <w:sz w:val="17"/>
                <w:szCs w:val="17"/>
                <w:color w:val="auto"/>
                <w:w w:val="99"/>
              </w:rPr>
              <w:t>December 31, 2015</w:t>
            </w:r>
          </w:p>
        </w:tc>
        <w:tc>
          <w:tcPr>
            <w:tcW w:w="7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Commercial</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240"/>
              <w:spacing w:after="0"/>
              <w:rPr>
                <w:sz w:val="20"/>
                <w:szCs w:val="20"/>
                <w:color w:val="auto"/>
              </w:rPr>
            </w:pPr>
            <w:r>
              <w:rPr>
                <w:rFonts w:ascii="Arial" w:cs="Arial" w:eastAsia="Arial" w:hAnsi="Arial"/>
                <w:sz w:val="17"/>
                <w:szCs w:val="17"/>
                <w:color w:val="auto"/>
              </w:rPr>
              <w:t>Retail</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ind w:left="160"/>
              <w:spacing w:after="0"/>
              <w:rPr>
                <w:sz w:val="20"/>
                <w:szCs w:val="20"/>
                <w:color w:val="auto"/>
              </w:rPr>
            </w:pPr>
            <w:r>
              <w:rPr>
                <w:rFonts w:ascii="Arial" w:cs="Arial" w:eastAsia="Arial" w:hAnsi="Arial"/>
                <w:sz w:val="17"/>
                <w:szCs w:val="17"/>
                <w:color w:val="auto"/>
              </w:rPr>
              <w:t>Total</w:t>
            </w:r>
          </w:p>
        </w:tc>
      </w:tr>
      <w:tr>
        <w:trPr>
          <w:trHeight w:val="204"/>
        </w:trPr>
        <w:tc>
          <w:tcPr>
            <w:tcW w:w="300" w:type="dxa"/>
            <w:vAlign w:val="bottom"/>
            <w:shd w:val="clear" w:color="auto" w:fill="CCEEFF"/>
          </w:tcPr>
          <w:p>
            <w:pPr>
              <w:spacing w:after="0"/>
              <w:rPr>
                <w:sz w:val="17"/>
                <w:szCs w:val="17"/>
                <w:color w:val="auto"/>
              </w:rPr>
            </w:pPr>
          </w:p>
        </w:tc>
        <w:tc>
          <w:tcPr>
            <w:tcW w:w="72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w w:val="86"/>
              </w:rPr>
              <w:t>(In thousands)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4"/>
        </w:trPr>
        <w:tc>
          <w:tcPr>
            <w:tcW w:w="7560" w:type="dxa"/>
            <w:vAlign w:val="bottom"/>
            <w:gridSpan w:val="2"/>
          </w:tcPr>
          <w:p>
            <w:pPr>
              <w:spacing w:after="0"/>
              <w:rPr>
                <w:sz w:val="20"/>
                <w:szCs w:val="20"/>
                <w:color w:val="auto"/>
              </w:rPr>
            </w:pPr>
            <w:r>
              <w:rPr>
                <w:rFonts w:ascii="Arial" w:cs="Arial" w:eastAsia="Arial" w:hAnsi="Arial"/>
                <w:sz w:val="17"/>
                <w:szCs w:val="17"/>
                <w:color w:val="auto"/>
              </w:rPr>
              <w:t>Performing TDRs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13,318</w:t>
            </w:r>
          </w:p>
        </w:tc>
        <w:tc>
          <w:tcPr>
            <w:tcW w:w="3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3"/>
          </w:tcPr>
          <w:p>
            <w:pPr>
              <w:jc w:val="right"/>
              <w:ind w:right="20"/>
              <w:spacing w:after="0"/>
              <w:rPr>
                <w:sz w:val="20"/>
                <w:szCs w:val="20"/>
                <w:color w:val="auto"/>
              </w:rPr>
            </w:pPr>
            <w:r>
              <w:rPr>
                <w:rFonts w:ascii="Arial" w:cs="Arial" w:eastAsia="Arial" w:hAnsi="Arial"/>
                <w:sz w:val="17"/>
                <w:szCs w:val="17"/>
                <w:color w:val="auto"/>
              </w:rPr>
              <w:t>68,194</w:t>
            </w:r>
          </w:p>
        </w:tc>
        <w:tc>
          <w:tcPr>
            <w:tcW w:w="58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81,512</w:t>
            </w:r>
          </w:p>
        </w:tc>
      </w:tr>
      <w:tr>
        <w:trPr>
          <w:trHeight w:val="209"/>
        </w:trPr>
        <w:tc>
          <w:tcPr>
            <w:tcW w:w="7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Non-performing TDRs(1)</w:t>
            </w: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3,041</w:t>
            </w: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3,777</w:t>
            </w: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4"/>
                <w:szCs w:val="14"/>
                <w:color w:val="auto"/>
              </w:rPr>
              <w:t>(2)</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6,818</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4"/>
        </w:trPr>
        <w:tc>
          <w:tcPr>
            <w:tcW w:w="7560" w:type="dxa"/>
            <w:vAlign w:val="bottom"/>
            <w:gridSpan w:val="2"/>
          </w:tcPr>
          <w:p>
            <w:pPr>
              <w:ind w:left="160"/>
              <w:spacing w:after="0"/>
              <w:rPr>
                <w:sz w:val="20"/>
                <w:szCs w:val="20"/>
                <w:color w:val="auto"/>
              </w:rPr>
            </w:pPr>
            <w:r>
              <w:rPr>
                <w:rFonts w:ascii="Arial" w:cs="Arial" w:eastAsia="Arial" w:hAnsi="Arial"/>
                <w:sz w:val="17"/>
                <w:szCs w:val="17"/>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16,359</w:t>
            </w:r>
          </w:p>
        </w:tc>
        <w:tc>
          <w:tcPr>
            <w:tcW w:w="3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3"/>
          </w:tcPr>
          <w:p>
            <w:pPr>
              <w:jc w:val="right"/>
              <w:ind w:right="20"/>
              <w:spacing w:after="0"/>
              <w:rPr>
                <w:sz w:val="20"/>
                <w:szCs w:val="20"/>
                <w:color w:val="auto"/>
              </w:rPr>
            </w:pPr>
            <w:r>
              <w:rPr>
                <w:rFonts w:ascii="Arial" w:cs="Arial" w:eastAsia="Arial" w:hAnsi="Arial"/>
                <w:sz w:val="17"/>
                <w:szCs w:val="17"/>
                <w:color w:val="auto"/>
              </w:rPr>
              <w:t>71,971</w:t>
            </w:r>
          </w:p>
        </w:tc>
        <w:tc>
          <w:tcPr>
            <w:tcW w:w="58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88,330</w:t>
            </w:r>
          </w:p>
        </w:tc>
      </w:tr>
      <w:tr>
        <w:trPr>
          <w:trHeight w:val="20"/>
        </w:trPr>
        <w:tc>
          <w:tcPr>
            <w:tcW w:w="30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7" w:lineRule="exact"/>
        <w:rPr>
          <w:sz w:val="20"/>
          <w:szCs w:val="20"/>
          <w:color w:val="auto"/>
        </w:rPr>
      </w:pPr>
    </w:p>
    <w:p>
      <w:pPr>
        <w:ind w:left="300" w:hanging="298"/>
        <w:spacing w:after="0"/>
        <w:tabs>
          <w:tab w:leader="none" w:pos="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Included in non-performing loans table above.</w:t>
      </w:r>
    </w:p>
    <w:p>
      <w:pPr>
        <w:spacing w:after="0" w:line="19" w:lineRule="exact"/>
        <w:rPr>
          <w:rFonts w:ascii="Arial" w:cs="Arial" w:eastAsia="Arial" w:hAnsi="Arial"/>
          <w:sz w:val="17"/>
          <w:szCs w:val="17"/>
          <w:color w:val="auto"/>
        </w:rPr>
      </w:pPr>
    </w:p>
    <w:p>
      <w:pPr>
        <w:ind w:left="300" w:hanging="298"/>
        <w:spacing w:after="0"/>
        <w:tabs>
          <w:tab w:leader="none" w:pos="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Also includes loans on non-accrual at the time of modification until six payments are received on a timely basis.</w:t>
      </w:r>
    </w:p>
    <w:p>
      <w:pPr>
        <w:spacing w:after="0" w:line="226" w:lineRule="exact"/>
        <w:rPr>
          <w:sz w:val="20"/>
          <w:szCs w:val="20"/>
          <w:color w:val="auto"/>
        </w:rPr>
      </w:pPr>
    </w:p>
    <w:p>
      <w:pPr>
        <w:jc w:val="both"/>
        <w:spacing w:after="0" w:line="343" w:lineRule="auto"/>
        <w:rPr>
          <w:sz w:val="20"/>
          <w:szCs w:val="20"/>
          <w:color w:val="auto"/>
        </w:rPr>
      </w:pPr>
      <w:r>
        <w:rPr>
          <w:rFonts w:ascii="Arial" w:cs="Arial" w:eastAsia="Arial" w:hAnsi="Arial"/>
          <w:sz w:val="15"/>
          <w:szCs w:val="15"/>
          <w:color w:val="auto"/>
        </w:rPr>
        <w:t>Other real estate and repossessed assets totaled $5.6 million at June 30, 2016, compared to $7.2 million at December 31, 2015. This decrease is primarily the result of sales of other real estate being in excess of the migration of non-performing loans secured by real estate into other real estate as the foreclosure process is completed.</w:t>
      </w:r>
    </w:p>
    <w:p>
      <w:pPr>
        <w:spacing w:after="0" w:line="144" w:lineRule="exact"/>
        <w:rPr>
          <w:sz w:val="20"/>
          <w:szCs w:val="20"/>
          <w:color w:val="auto"/>
        </w:rPr>
      </w:pPr>
    </w:p>
    <w:p>
      <w:pPr>
        <w:jc w:val="both"/>
        <w:spacing w:after="0" w:line="343" w:lineRule="auto"/>
        <w:rPr>
          <w:sz w:val="20"/>
          <w:szCs w:val="20"/>
          <w:color w:val="auto"/>
        </w:rPr>
      </w:pPr>
      <w:r>
        <w:rPr>
          <w:rFonts w:ascii="Arial" w:cs="Arial" w:eastAsia="Arial" w:hAnsi="Arial"/>
          <w:sz w:val="15"/>
          <w:szCs w:val="15"/>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ratio of loan net charge-offs to average Portfolio Loans was a negative 0.18% (as a result of net recoveries) on an annualized basis in the first six months of 2016 compared to 0.09% in the first six months of 2015. The $2.0 million decline in loan net charge-offs is primarily due to declines in commercial loan, mortgage loan and consumer/installment loan net charge-offs. The overall decrease in loan net charge-offs primarily reflects a year-over-year reduction in non-performing loans and improvement in collateral liquidation values.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57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gridSpan w:val="2"/>
            <w:shd w:val="clear" w:color="auto" w:fill="0000EE"/>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760" w:type="dxa"/>
            <w:vAlign w:val="bottom"/>
            <w:gridSpan w:val="3"/>
          </w:tcPr>
          <w:p>
            <w:pPr>
              <w:spacing w:after="0"/>
              <w:rPr>
                <w:sz w:val="20"/>
                <w:szCs w:val="20"/>
                <w:color w:val="auto"/>
              </w:rPr>
            </w:pPr>
            <w:r>
              <w:rPr>
                <w:rFonts w:ascii="Arial" w:cs="Arial" w:eastAsia="Arial" w:hAnsi="Arial"/>
                <w:sz w:val="17"/>
                <w:szCs w:val="17"/>
                <w:b w:val="1"/>
                <w:bCs w:val="1"/>
                <w:color w:val="auto"/>
              </w:rPr>
              <w:t>Allowance for loan losses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gridSpan w:val="6"/>
          </w:tcPr>
          <w:p>
            <w:pPr>
              <w:jc w:val="center"/>
              <w:ind w:right="640"/>
              <w:spacing w:after="0"/>
              <w:rPr>
                <w:sz w:val="20"/>
                <w:szCs w:val="20"/>
                <w:color w:val="auto"/>
              </w:rPr>
            </w:pPr>
            <w:r>
              <w:rPr>
                <w:rFonts w:ascii="Arial" w:cs="Arial" w:eastAsia="Arial" w:hAnsi="Arial"/>
                <w:sz w:val="17"/>
                <w:szCs w:val="17"/>
                <w:color w:val="auto"/>
                <w:w w:val="89"/>
              </w:rPr>
              <w:t>Six months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4"/>
            <w:vMerge w:val="restart"/>
          </w:tcPr>
          <w:p>
            <w:pPr>
              <w:jc w:val="right"/>
              <w:ind w:right="40"/>
              <w:spacing w:after="0"/>
              <w:rPr>
                <w:sz w:val="20"/>
                <w:szCs w:val="20"/>
                <w:color w:val="auto"/>
              </w:rPr>
            </w:pPr>
            <w:r>
              <w:rPr>
                <w:rFonts w:ascii="Arial" w:cs="Arial" w:eastAsia="Arial" w:hAnsi="Arial"/>
                <w:sz w:val="17"/>
                <w:szCs w:val="17"/>
                <w:color w:val="auto"/>
              </w:rPr>
              <w:t>2016</w:t>
            </w:r>
          </w:p>
        </w:tc>
        <w:tc>
          <w:tcPr>
            <w:tcW w:w="200" w:type="dxa"/>
            <w:vAlign w:val="bottom"/>
          </w:tcPr>
          <w:p>
            <w:pPr>
              <w:spacing w:after="0"/>
              <w:rPr>
                <w:sz w:val="18"/>
                <w:szCs w:val="18"/>
                <w:color w:val="auto"/>
              </w:rPr>
            </w:pPr>
          </w:p>
        </w:tc>
        <w:tc>
          <w:tcPr>
            <w:tcW w:w="1280" w:type="dxa"/>
            <w:vAlign w:val="bottom"/>
            <w:gridSpan w:val="3"/>
          </w:tcPr>
          <w:p>
            <w:pPr>
              <w:jc w:val="center"/>
              <w:ind w:left="355"/>
              <w:spacing w:after="0"/>
              <w:rPr>
                <w:sz w:val="20"/>
                <w:szCs w:val="20"/>
                <w:color w:val="auto"/>
              </w:rPr>
            </w:pPr>
            <w:r>
              <w:rPr>
                <w:rFonts w:ascii="Arial" w:cs="Arial" w:eastAsia="Arial" w:hAnsi="Arial"/>
                <w:sz w:val="17"/>
                <w:szCs w:val="17"/>
                <w:color w:val="auto"/>
                <w:w w:val="85"/>
              </w:rPr>
              <w:t>June 30,</w:t>
            </w:r>
          </w:p>
        </w:tc>
        <w:tc>
          <w:tcPr>
            <w:tcW w:w="1160" w:type="dxa"/>
            <w:vAlign w:val="bottom"/>
            <w:gridSpan w:val="5"/>
            <w:vMerge w:val="restart"/>
          </w:tcPr>
          <w:p>
            <w:pPr>
              <w:jc w:val="right"/>
              <w:spacing w:after="0"/>
              <w:rPr>
                <w:sz w:val="20"/>
                <w:szCs w:val="20"/>
                <w:color w:val="auto"/>
              </w:rPr>
            </w:pPr>
            <w:r>
              <w:rPr>
                <w:rFonts w:ascii="Arial" w:cs="Arial" w:eastAsia="Arial" w:hAnsi="Arial"/>
                <w:sz w:val="17"/>
                <w:szCs w:val="17"/>
                <w:color w:val="auto"/>
              </w:rPr>
              <w:t>2015</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5"/>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35"/>
              <w:spacing w:after="0" w:line="191" w:lineRule="exact"/>
              <w:rPr>
                <w:sz w:val="20"/>
                <w:szCs w:val="20"/>
                <w:color w:val="auto"/>
              </w:rPr>
            </w:pPr>
            <w:r>
              <w:rPr>
                <w:rFonts w:ascii="Arial" w:cs="Arial" w:eastAsia="Arial" w:hAnsi="Arial"/>
                <w:sz w:val="17"/>
                <w:szCs w:val="17"/>
                <w:color w:val="auto"/>
              </w:rPr>
              <w:t>Unfunded</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135"/>
              <w:spacing w:after="0" w:line="191" w:lineRule="exact"/>
              <w:rPr>
                <w:sz w:val="20"/>
                <w:szCs w:val="20"/>
                <w:color w:val="auto"/>
              </w:rPr>
            </w:pPr>
            <w:r>
              <w:rPr>
                <w:rFonts w:ascii="Arial" w:cs="Arial" w:eastAsia="Arial" w:hAnsi="Arial"/>
                <w:sz w:val="17"/>
                <w:szCs w:val="17"/>
                <w:color w:val="auto"/>
                <w:w w:val="97"/>
              </w:rPr>
              <w:t>Unfunded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Loans</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7"/>
              </w:rPr>
              <w:t>Commitments</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w w:val="99"/>
              </w:rPr>
              <w:t>Loans</w:t>
            </w:r>
          </w:p>
        </w:tc>
        <w:tc>
          <w:tcPr>
            <w:tcW w:w="2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89"/>
              </w:rPr>
              <w:t>Commitments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6"/>
          </w:tcPr>
          <w:p>
            <w:pPr>
              <w:jc w:val="center"/>
              <w:ind w:right="640"/>
              <w:spacing w:after="0"/>
              <w:rPr>
                <w:sz w:val="20"/>
                <w:szCs w:val="20"/>
                <w:color w:val="auto"/>
              </w:rPr>
            </w:pPr>
            <w:r>
              <w:rPr>
                <w:rFonts w:ascii="Arial" w:cs="Arial" w:eastAsia="Arial" w:hAnsi="Arial"/>
                <w:sz w:val="17"/>
                <w:szCs w:val="17"/>
                <w:color w:val="auto"/>
                <w:w w:val="90"/>
              </w:rPr>
              <w:t>(Dollars in thousands)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52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22,570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652</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25,990</w:t>
            </w:r>
          </w:p>
        </w:tc>
        <w:tc>
          <w:tcPr>
            <w:tcW w:w="2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40" w:type="dxa"/>
            <w:vAlign w:val="bottom"/>
            <w:gridSpan w:val="2"/>
          </w:tcPr>
          <w:p>
            <w:pPr>
              <w:spacing w:after="0"/>
              <w:rPr>
                <w:sz w:val="20"/>
                <w:szCs w:val="20"/>
                <w:color w:val="auto"/>
              </w:rPr>
            </w:pPr>
            <w:r>
              <w:rPr>
                <w:rFonts w:ascii="Arial" w:cs="Arial" w:eastAsia="Arial" w:hAnsi="Arial"/>
                <w:sz w:val="17"/>
                <w:szCs w:val="17"/>
                <w:color w:val="auto"/>
              </w:rPr>
              <w:t>Additions (deductions)</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Provision for loan losses</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(1,264)</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(793)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40" w:type="dxa"/>
            <w:vAlign w:val="bottom"/>
            <w:gridSpan w:val="2"/>
          </w:tcPr>
          <w:p>
            <w:pPr>
              <w:ind w:left="140"/>
              <w:spacing w:after="0"/>
              <w:rPr>
                <w:sz w:val="20"/>
                <w:szCs w:val="20"/>
                <w:color w:val="auto"/>
              </w:rPr>
            </w:pPr>
            <w:r>
              <w:rPr>
                <w:rFonts w:ascii="Arial" w:cs="Arial" w:eastAsia="Arial" w:hAnsi="Arial"/>
                <w:sz w:val="17"/>
                <w:szCs w:val="17"/>
                <w:color w:val="auto"/>
              </w:rPr>
              <w:t>Recoveries credited to allowance</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2,718</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2,245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Loans charged against the allowance</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(1,312)</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(2,856)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7"/>
                <w:szCs w:val="17"/>
                <w:color w:val="auto"/>
              </w:rPr>
              <w:t>Additions (deductions) included in non-interest expense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(67)</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Balance at end of period</w:t>
            </w: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22,712</w:t>
            </w:r>
          </w:p>
        </w:tc>
        <w:tc>
          <w:tcPr>
            <w:tcW w:w="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24,586</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8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4"/>
              </w:rPr>
              <w:t>Net loans charged against the allowance to average Portfolio Loans (annualized)</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(0.18)%</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5760" w:type="dxa"/>
            <w:vAlign w:val="bottom"/>
            <w:gridSpan w:val="3"/>
          </w:tcPr>
          <w:p>
            <w:pPr>
              <w:spacing w:after="0"/>
              <w:rPr>
                <w:sz w:val="20"/>
                <w:szCs w:val="20"/>
                <w:color w:val="auto"/>
              </w:rPr>
            </w:pPr>
            <w:r>
              <w:rPr>
                <w:rFonts w:ascii="Arial" w:cs="Arial" w:eastAsia="Arial" w:hAnsi="Arial"/>
                <w:sz w:val="17"/>
                <w:szCs w:val="17"/>
                <w:b w:val="1"/>
                <w:bCs w:val="1"/>
                <w:color w:val="auto"/>
              </w:rPr>
              <w:t>Allocation of the Allowance for Loan Losses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7"/>
                <w:szCs w:val="17"/>
                <w:color w:val="auto"/>
                <w:w w:val="98"/>
              </w:rPr>
              <w:t>June 30,</w:t>
            </w:r>
          </w:p>
        </w:tc>
        <w:tc>
          <w:tcPr>
            <w:tcW w:w="300" w:type="dxa"/>
            <w:vAlign w:val="bottom"/>
          </w:tcPr>
          <w:p>
            <w:pPr>
              <w:spacing w:after="0"/>
              <w:rPr>
                <w:sz w:val="24"/>
                <w:szCs w:val="24"/>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7"/>
                <w:szCs w:val="17"/>
                <w:color w:val="auto"/>
                <w:w w:val="86"/>
              </w:rPr>
              <w:t>December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2016</w:t>
            </w: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2015</w:t>
            </w:r>
          </w:p>
        </w:tc>
        <w:tc>
          <w:tcPr>
            <w:tcW w:w="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5"/>
          </w:tcPr>
          <w:p>
            <w:pPr>
              <w:jc w:val="right"/>
              <w:ind w:right="760"/>
              <w:spacing w:after="0"/>
              <w:rPr>
                <w:sz w:val="20"/>
                <w:szCs w:val="20"/>
                <w:color w:val="auto"/>
              </w:rPr>
            </w:pPr>
            <w:r>
              <w:rPr>
                <w:rFonts w:ascii="Arial" w:cs="Arial" w:eastAsia="Arial" w:hAnsi="Arial"/>
                <w:sz w:val="17"/>
                <w:szCs w:val="17"/>
                <w:color w:val="auto"/>
              </w:rPr>
              <w:t>(In thousands)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Specific allocations</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10,941</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10,983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40" w:type="dxa"/>
            <w:vAlign w:val="bottom"/>
            <w:gridSpan w:val="2"/>
          </w:tcPr>
          <w:p>
            <w:pPr>
              <w:spacing w:after="0"/>
              <w:rPr>
                <w:sz w:val="20"/>
                <w:szCs w:val="20"/>
                <w:color w:val="auto"/>
              </w:rPr>
            </w:pPr>
            <w:r>
              <w:rPr>
                <w:rFonts w:ascii="Arial" w:cs="Arial" w:eastAsia="Arial" w:hAnsi="Arial"/>
                <w:sz w:val="17"/>
                <w:szCs w:val="17"/>
                <w:color w:val="auto"/>
              </w:rPr>
              <w:t>Other adversely rated commercial loans</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659</w:t>
            </w:r>
          </w:p>
        </w:tc>
        <w:tc>
          <w:tcPr>
            <w:tcW w:w="300" w:type="dxa"/>
            <w:vAlign w:val="bottom"/>
          </w:tcPr>
          <w:p>
            <w:pPr>
              <w:spacing w:after="0"/>
              <w:rPr>
                <w:sz w:val="17"/>
                <w:szCs w:val="17"/>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7"/>
                <w:szCs w:val="17"/>
                <w:color w:val="auto"/>
              </w:rPr>
              <w:t>1,053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Historical loss allocations</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5,586</w:t>
            </w:r>
          </w:p>
        </w:tc>
        <w:tc>
          <w:tcPr>
            <w:tcW w:w="3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5,262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7"/>
                <w:szCs w:val="17"/>
                <w:color w:val="auto"/>
              </w:rPr>
              <w:t>Additional allocations based on subjective factors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5,526</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5,272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22,712</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22,570</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Some loans will not be repaid in full. Therefore, an allowance for loan losses (“AFLL”) is maintained at a level which represents our best estimate of losses incurred. In determining the AFLL and the related provision for loan losses, we consider four principal elements: (i) specific allocations based upon probable losses identified during the review of the loan portfolio, (ii) allocations established for other adversely rated commercial loans, (iii) allocations based principally on historical loan loss experience, and (iv) additional allowances based on subjective factors, including local and general economic business factors and trends, portfolio concentrations and changes in the size and/or the general terms of the loan portfolios.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The first AFLL element (specific allocations) reflects our estimate of probable incurred losses based upon our systematic review of specific loans. These estimates are based upon a number of factors, such as payment history, financial condition of the borrower, discounted collateral exposure and discounted cash flow analysis. Impaired commercial, mortgage and installment loans are allocated allowance amounts using this first element. The second AFLL element (other adversely rated commercial loans) reflects the application of our commercial loan rating system. This rating system is similar to those employed by state and federal banking regulators. Commercial loans that are rated below a certain predetermined classification are assigned a loss allocation factor for each loan classification category that is based upon a historical analysis of both the probability of default and the expected loss rate (“loss given default”). The lower the rating assigned to a loan or category, the greater the allocation percentage that is applied. The third AFLL element (historical loss allocations) is determined by assigning allocations to higher rated (“non-watch credit”) commercial loans using a probability of default and loss given default similar to the second AFLL element and to homogenous mortgage and installment loan groups based upon borrower credit score and portfolio segment. For homogenous mortgage and installment loans a probability of default for each homogenous pool is calculated by way of credit score migration. Historical loss data for each homogenous pool coupled with the associated probability of default is utilized to calculate an expected loss allocation rate. The fourth AFLL element (additional allocations based on subjective factors) is based on factors that cannot be associated with a specific credit or loan category and reflects our attempt to ensure that the overall allowance for loan losses appropriately reflects a margin for the imprecision necessarily inherent in the estimates of expected credit losses. We consider a number of subjective factors when determining this fourth element, including local and general economic business factors and trends, portfolio concentrations and changes in the size, mix and the general terms of the overall loan portfolio.</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Increases in the AFLL are recorded by a provision for loan losses charged to expense. Although we periodically allocate portions of the AFLL to specific loans and loan portfolios, the entire AFLL is available for incurred losses. We generally charge-off commercial, homogenous residential mortgage and installment loans and payment plan receivables when they are deemed uncollectible or reach a predetermined number of days past due based on product, industry practice and other factors. Collection efforts may continue and recoveries may occur after a loan is charged against the AFLL.</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While we use relevant information to recognize losses on loans, additional provisions for related losses may be necessary based on changes in economic conditions, customer circumstances and other credit risk factors.</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Mepco’s allowance for losses is determined in a similar manner as discussed above, and primarily takes into account historical loss experience and other subjective factors deemed relevant to Mepco’s payment plan business. Estimated incurred losses associated with Mepco’s outstanding vehicle service contract payment plans are included in the provision for loan losses. Mepco recorded a $0.004 million credit and a $0.001 million expense in the first six months of 2016 and 2015, respectively, for its provision for loan losses. Mepco’s allowance for loan losses totaled $0.059 million and $0.063 million at June 30, 2016 and December 31, 2015, respectively. Mepco has established procedures for vehicle service contract payment plan servicing, administration and collections, including the timely cancellation of the vehicle service contract, in order to protect our position in the event of payment default or voluntary cancellation by the customer. Mepco has also established procedures to attempt to prevent and detect fraud since the payment plan origination activities and initial customer contacts are done entirely through unrelated third parties (vehicle service contract administrators and sellers or automobile dealerships). However, there can be no assurance that the aforementioned risk management policies and procedures will prevent us from the possibility of incurring significant credit or fraud related losses in this business segment. The estimated incurred losses described in this paragraph should be distinguished from the possible losses we may incur from counterparties failing to pay their obligations to Mepco. See Note #14 to the Condensed Consolidated Financial Statements included within this report.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allowance for loan losses increased $0.1 million to $22.7 million at June 30, 2016 from $22.6 million at December 31, 2015 and was equal to 1.44% of total Portfolio Loans at June 30, 2016 compared to 1.49% at December 31, 2015. Two of the four components of the allowance for loan losses outlined above declined in the first six months of 2016. The allowance for loan losses related to specific loans decreased $0.04 million in 2016 due primarily to a decline in the balance of individually impaired loans as well as charge-offs. The allowance for loan losses related to other adversely rated commercial loans decreased $0.4 million in 2016 primarily due to a decrease in the balance of such loans included in this component to $16.4 million at June 30, 2016 from $27.8 million at December 31, 2015. The allowance for loan losses related to historical losses increased $0.3 million during 2016 due principally to commercial loan growth. The allowance for loan losses related to subjective factors increased $0.3 million during 2016 primarily due to overall growth of the loan portfolio.</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 xml:space="preserve">Deposits and borrowings. </w:t>
      </w:r>
      <w:r>
        <w:rPr>
          <w:rFonts w:ascii="Arial" w:cs="Arial" w:eastAsia="Arial" w:hAnsi="Arial"/>
          <w:sz w:val="17"/>
          <w:szCs w:val="17"/>
          <w:color w:val="auto"/>
        </w:rPr>
        <w:t>Historically, the loyalty of our customer base has allowed us to price deposits competitively, contributing to a net interest margin that</w:t>
      </w:r>
      <w:r>
        <w:rPr>
          <w:rFonts w:ascii="Arial" w:cs="Arial" w:eastAsia="Arial" w:hAnsi="Arial"/>
          <w:sz w:val="17"/>
          <w:szCs w:val="17"/>
          <w:b w:val="1"/>
          <w:bCs w:val="1"/>
          <w:color w:val="auto"/>
        </w:rPr>
        <w:t xml:space="preserve"> </w:t>
      </w:r>
      <w:r>
        <w:rPr>
          <w:rFonts w:ascii="Arial" w:cs="Arial" w:eastAsia="Arial" w:hAnsi="Arial"/>
          <w:sz w:val="17"/>
          <w:szCs w:val="17"/>
          <w:color w:val="auto"/>
        </w:rPr>
        <w:t>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90"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Deposits totaled $2.13 billion and $2.09 billion at June 30, 2016 and December 31, 2015, respectively. The $42.3 million increase in deposits during the first six months of 2016 is due to growth in checking, savings and time deposit account balances. Reciprocal deposits totaled $49.4 million and $50.2 million at June 30, 2016 and December 31, 2015, respectively. These deposits represent demand, money market and time deposits from our customers that have been placed through Promontory Interfinancial Network’s Insured Cash Sweep</w:t>
      </w:r>
      <w:r>
        <w:rPr>
          <w:rFonts w:ascii="Arial" w:cs="Arial" w:eastAsia="Arial" w:hAnsi="Arial"/>
          <w:sz w:val="27"/>
          <w:szCs w:val="27"/>
          <w:color w:val="auto"/>
          <w:vertAlign w:val="superscript"/>
        </w:rPr>
        <w:t>®</w:t>
      </w:r>
      <w:r>
        <w:rPr>
          <w:rFonts w:ascii="Arial" w:cs="Arial" w:eastAsia="Arial" w:hAnsi="Arial"/>
          <w:sz w:val="16"/>
          <w:szCs w:val="16"/>
          <w:color w:val="auto"/>
        </w:rPr>
        <w:t xml:space="preserve"> service and Certificate of Deposit Account Registry Service</w:t>
      </w:r>
      <w:r>
        <w:rPr>
          <w:rFonts w:ascii="Arial" w:cs="Arial" w:eastAsia="Arial" w:hAnsi="Arial"/>
          <w:sz w:val="27"/>
          <w:szCs w:val="27"/>
          <w:color w:val="auto"/>
          <w:vertAlign w:val="superscript"/>
        </w:rPr>
        <w:t>®</w:t>
      </w:r>
      <w:r>
        <w:rPr>
          <w:rFonts w:ascii="Arial" w:cs="Arial" w:eastAsia="Arial" w:hAnsi="Arial"/>
          <w:sz w:val="16"/>
          <w:szCs w:val="16"/>
          <w:color w:val="auto"/>
        </w:rPr>
        <w:t>. These services allow our customers to access multi-million dollar FDIC deposit insurance on deposit balances greater than the standard FDIC insurance maximum.</w:t>
      </w: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cannot be sure that we will be able to maintain our current level of core deposits. In particular, those deposits that are uninsured may be susceptible to outflow. At June 30, 2016, we had approximately $495.5 million of uninsured deposits. A reduction in core deposits would likely increase our need to rely on wholesale funding sources.</w:t>
      </w:r>
    </w:p>
    <w:p>
      <w:pPr>
        <w:spacing w:after="0" w:line="20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have also implemented strategies that incorporate using federal funds purchased, other borrowings and Brokered CDs to fund a portion of our interest-earning assets. The use of such alternate sources of funds supplements our core deposits and is also an integral part of our asset/liability management efforts.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Other borrowings, comprised almost entirely of advances from the Federal Home Loan Bank (the “FHLB”), totaled $11.8 million and $12.0 million at June 30, 2016 and December 31, 2015, respectively.</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As described above, we utilize wholesale funding, including FHLB borrowings and Brokered CDs to augment our core deposits and fund a portion of our assets. At June 30, 2016, our use of such wholesale funding sources (including reciprocal deposits) amounted to approximately $61.2 million, or 2.9% of total funding (deposits and total borrowings, excluding subordinated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historically employed derivative financial instruments to manage our exposure to changes in interest rates. We discontinued the active use of derivative financial instruments during 2008. We began to again utilize interest-rate swaps in 2014, relating to our commercial lending activities. During the first six months of 2016 and 2015, we entered into $18.0 million and $16.6 million (aggregate notional amounts), respectively, of interest rate swaps with commercial loan customers, which were offset with interest rate swaps that the Bank entered into with a broker-dealer. We recorded $0.3 million of fee income related to these transactions during each of the first six month periods of 2016 and 2015.</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auto"/>
        </w:rPr>
        <w:t xml:space="preserve">Liquidity and capital resources. </w:t>
      </w:r>
      <w:r>
        <w:rPr>
          <w:rFonts w:ascii="Arial" w:cs="Arial" w:eastAsia="Arial" w:hAnsi="Arial"/>
          <w:sz w:val="17"/>
          <w:szCs w:val="17"/>
          <w:color w:val="auto"/>
        </w:rPr>
        <w:t>Liquidity risk is the risk of being unable to timely meet obligations as they come due at a reasonable funding cost or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incurring unacceptable losses. Our liquidity management involves the measurement and monitoring of a variety of sources and uses of funds. Our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available for sale) as well as developing access to a variety of borrowing sources to supplement our deposit gathering activities and provide funds for purchasing securities available for sale or originating Portfolio Loans as well as to be able to respond to unforeseen liquidity needs.</w:t>
      </w:r>
    </w:p>
    <w:p>
      <w:pPr>
        <w:spacing w:after="0" w:line="20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primary sources of funds include our deposit base, secured advances from the FHLB, a federal funds purchased borrowing facility with another commercial bank, and access to the capital markets (for Brokered CDs).</w:t>
      </w:r>
    </w:p>
    <w:p>
      <w:pPr>
        <w:spacing w:after="0" w:line="190" w:lineRule="exact"/>
        <w:rPr>
          <w:sz w:val="20"/>
          <w:szCs w:val="20"/>
          <w:color w:val="auto"/>
        </w:rPr>
      </w:pPr>
    </w:p>
    <w:p>
      <w:pPr>
        <w:jc w:val="both"/>
        <w:ind w:right="100"/>
        <w:spacing w:after="0" w:line="256" w:lineRule="auto"/>
        <w:rPr>
          <w:sz w:val="20"/>
          <w:szCs w:val="20"/>
          <w:color w:val="auto"/>
        </w:rPr>
      </w:pPr>
      <w:r>
        <w:rPr>
          <w:rFonts w:ascii="Arial" w:cs="Arial" w:eastAsia="Arial" w:hAnsi="Arial"/>
          <w:sz w:val="17"/>
          <w:szCs w:val="17"/>
          <w:color w:val="auto"/>
        </w:rPr>
        <w:t>At June 30, 2016, we had $310.2 million of time deposits that mature in the next 12 months. Historically, a majority of these maturing time deposits are renewed by our customers. Additionally, $1.69 billion of our deposits at June 30, 2016,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short-term assets with maturities less than 30 days and loans held for sale) to total assets, short-term liability dependence and basic surplus (defined as quick assets compared to short-term liabilities). Policy limits have been established for our various liquidity measurements and are monitored on a monthly basis. In addition, we also prepare cash flow forecasts that include a variety of different scenarios.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believe that we currently have adequate liquidity at our Bank because of our cash and cash equivalents, our portfolio of securities available for sale, our access to secured advances from the FHLB, our ability to issue Brokered CDs and our improved financial metrics.</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also believe that the available cash on hand at the parent company (including time deposits) of approximately $14.4 million as of June 30, 2016 provides sufficient liquidity resources at the parent company to meet operating expenses, to make interest payments on the subordinated debentures and to pay a cash dividend on our common stock for the foreseeable future.</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Effective management of capital resources is critical to our mission to create value for our shareholders. In addition to common stock, our capital structure also currently includes cumulative trust preferred securities.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880" w:type="dxa"/>
            <w:vAlign w:val="bottom"/>
            <w:gridSpan w:val="2"/>
          </w:tcPr>
          <w:p>
            <w:pPr>
              <w:spacing w:after="0"/>
              <w:rPr>
                <w:sz w:val="20"/>
                <w:szCs w:val="20"/>
                <w:color w:val="auto"/>
              </w:rPr>
            </w:pPr>
            <w:r>
              <w:rPr>
                <w:rFonts w:ascii="Arial" w:cs="Arial" w:eastAsia="Arial" w:hAnsi="Arial"/>
                <w:sz w:val="17"/>
                <w:szCs w:val="17"/>
                <w:b w:val="1"/>
                <w:bCs w:val="1"/>
                <w:color w:val="auto"/>
              </w:rPr>
              <w:t>Capitalization</w:t>
            </w:r>
          </w:p>
        </w:tc>
        <w:tc>
          <w:tcPr>
            <w:tcW w:w="2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vMerge w:val="restart"/>
          </w:tcPr>
          <w:p>
            <w:pPr>
              <w:jc w:val="right"/>
              <w:ind w:right="435"/>
              <w:spacing w:after="0"/>
              <w:rPr>
                <w:sz w:val="20"/>
                <w:szCs w:val="20"/>
                <w:color w:val="auto"/>
              </w:rPr>
            </w:pPr>
            <w:r>
              <w:rPr>
                <w:rFonts w:ascii="Arial" w:cs="Arial" w:eastAsia="Arial" w:hAnsi="Arial"/>
                <w:sz w:val="17"/>
                <w:szCs w:val="17"/>
                <w:color w:val="auto"/>
                <w:w w:val="98"/>
              </w:rPr>
              <w:t>June 30,</w:t>
            </w:r>
          </w:p>
        </w:tc>
        <w:tc>
          <w:tcPr>
            <w:tcW w:w="80" w:type="dxa"/>
            <w:vAlign w:val="bottom"/>
          </w:tcPr>
          <w:p>
            <w:pPr>
              <w:spacing w:after="0"/>
              <w:rPr>
                <w:sz w:val="19"/>
                <w:szCs w:val="19"/>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w w:val="88"/>
              </w:rPr>
              <w:t>December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2016</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(In</w:t>
            </w:r>
          </w:p>
        </w:tc>
        <w:tc>
          <w:tcPr>
            <w:tcW w:w="1380" w:type="dxa"/>
            <w:vAlign w:val="bottom"/>
            <w:gridSpan w:val="3"/>
          </w:tcPr>
          <w:p>
            <w:pPr>
              <w:jc w:val="right"/>
              <w:ind w:right="675"/>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Subordinated debentures</w:t>
            </w:r>
          </w:p>
        </w:tc>
        <w:tc>
          <w:tcPr>
            <w:tcW w:w="312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35,569</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35,569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7"/>
                <w:szCs w:val="17"/>
                <w:color w:val="auto"/>
              </w:rPr>
              <w:t>Amount not qualifying as regulatory capital</w:t>
            </w:r>
          </w:p>
        </w:tc>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95"/>
              <w:spacing w:after="0"/>
              <w:rPr>
                <w:sz w:val="20"/>
                <w:szCs w:val="20"/>
                <w:color w:val="auto"/>
              </w:rPr>
            </w:pPr>
            <w:r>
              <w:rPr>
                <w:rFonts w:ascii="Arial" w:cs="Arial" w:eastAsia="Arial" w:hAnsi="Arial"/>
                <w:sz w:val="17"/>
                <w:szCs w:val="17"/>
                <w:color w:val="auto"/>
              </w:rPr>
              <w:t>(1,069)</w:t>
            </w: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(1,069)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Amount qualifying as regulatory capital</w:t>
            </w:r>
          </w:p>
        </w:tc>
        <w:tc>
          <w:tcPr>
            <w:tcW w:w="2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34,500</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Arial" w:cs="Arial" w:eastAsia="Arial" w:hAnsi="Arial"/>
                <w:sz w:val="17"/>
                <w:szCs w:val="17"/>
                <w:color w:val="auto"/>
              </w:rPr>
              <w:t>Shareholders’ equity</w:t>
            </w:r>
          </w:p>
        </w:tc>
        <w:tc>
          <w:tcPr>
            <w:tcW w:w="2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Common stock</w:t>
            </w:r>
          </w:p>
        </w:tc>
        <w:tc>
          <w:tcPr>
            <w:tcW w:w="2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324,268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339,462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60" w:type="dxa"/>
            <w:vAlign w:val="bottom"/>
          </w:tcPr>
          <w:p>
            <w:pPr>
              <w:ind w:left="140"/>
              <w:spacing w:after="0"/>
              <w:rPr>
                <w:sz w:val="20"/>
                <w:szCs w:val="20"/>
                <w:color w:val="auto"/>
              </w:rPr>
            </w:pPr>
            <w:r>
              <w:rPr>
                <w:rFonts w:ascii="Arial" w:cs="Arial" w:eastAsia="Arial" w:hAnsi="Arial"/>
                <w:sz w:val="17"/>
                <w:szCs w:val="17"/>
                <w:color w:val="auto"/>
              </w:rPr>
              <w:t>Accumulated deficit</w:t>
            </w:r>
          </w:p>
        </w:tc>
        <w:tc>
          <w:tcPr>
            <w:tcW w:w="2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95"/>
              <w:spacing w:after="0"/>
              <w:rPr>
                <w:sz w:val="20"/>
                <w:szCs w:val="20"/>
                <w:color w:val="auto"/>
              </w:rPr>
            </w:pPr>
            <w:r>
              <w:rPr>
                <w:rFonts w:ascii="Arial" w:cs="Arial" w:eastAsia="Arial" w:hAnsi="Arial"/>
                <w:sz w:val="17"/>
                <w:szCs w:val="17"/>
                <w:color w:val="auto"/>
              </w:rPr>
              <w:t>(74,062)</w:t>
            </w:r>
          </w:p>
        </w:tc>
        <w:tc>
          <w:tcPr>
            <w:tcW w:w="8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(82,334)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Accumulated other comprehensive loss</w:t>
            </w:r>
          </w:p>
        </w:tc>
        <w:tc>
          <w:tcPr>
            <w:tcW w:w="2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(3,283)</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tcBorders>
              <w:top w:val="single" w:sz="8" w:color="CCEEFF"/>
            </w:tcBorders>
          </w:tcPr>
          <w:p>
            <w:pPr>
              <w:ind w:left="280"/>
              <w:spacing w:after="0"/>
              <w:rPr>
                <w:sz w:val="20"/>
                <w:szCs w:val="20"/>
                <w:color w:val="auto"/>
              </w:rPr>
            </w:pPr>
            <w:r>
              <w:rPr>
                <w:rFonts w:ascii="Arial" w:cs="Arial" w:eastAsia="Arial" w:hAnsi="Arial"/>
                <w:sz w:val="17"/>
                <w:szCs w:val="17"/>
                <w:color w:val="auto"/>
              </w:rPr>
              <w:t>Total shareholders’ equity</w:t>
            </w:r>
          </w:p>
        </w:tc>
        <w:tc>
          <w:tcPr>
            <w:tcW w:w="29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246,923</w:t>
            </w: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251,092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Total capitalization</w:t>
            </w:r>
          </w:p>
        </w:tc>
        <w:tc>
          <w:tcPr>
            <w:tcW w:w="2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281,423</w:t>
            </w: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285,592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currently have three special purpose entities with $34.5 million of outstanding cumulative trust preferred securities.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Condensed Consolidated Statements of Financial Condition.</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June 30, 2016 and December 31, 2015. Although the Dodd-Frank Act further limited Tier 1 treatment for trust preferred securities, those new limits did not apply to our outstanding trust preferred securities. Further, the New Capital Rules grandfathered the treatment of our trust preferred securities as qualifying regulatory capital.</w:t>
      </w:r>
    </w:p>
    <w:p>
      <w:pPr>
        <w:spacing w:after="0" w:line="20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Common shareholders’ equity decreased to $246.9 million at June 30, 2016 from $251.1 million at December 31, 2015 due primarily to share repurchases and dividends paid that were partially offset by our net income in the first six months of 2016 and a decline in our accumulated other comprehensive loss.</w:t>
      </w:r>
    </w:p>
    <w:p>
      <w:pPr>
        <w:spacing w:after="0" w:line="16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resumed a quarterly cash dividend on our common stock of six cents per share in May 2014 and continued to pay regular quarterly dividends at that amount through August 2015. In October 2015, our Board of Directors increased the quarterly cash dividend on our common stock to eight cents per share.</w:t>
      </w:r>
    </w:p>
    <w:p>
      <w:pPr>
        <w:spacing w:after="0" w:line="168"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For the past several years, the Bank had negative “undivided profits” (i.e. a retained deficit). Under Michigan banking regulations, the Bank was not permitted to pay a dividend when it had a retained deficit. We can request regulatory approval for a return of capital from the Bank to the parent company. During the first quarter of 2016, we requested regulatory approval for an $18.0 million return of capital from the Bank to the parent company. This return of capital request was approved by our banking regulators on February 24, 2016 and the Bank returned $18.0 million of capital to the parent company on February 25, 2016. In the second quarter of 2016, the Bank returned to a positive retained earnings position. At June 30, 2016, the Bank had retained earnings of $2.1 million. This will permit the Bank to begin to pay dividends to the parent company in the second half of 2016. Also see Note #11 to the Condensed Consolidated Financial Statements included within this report.</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January 21, 2016, our Board of Directors authorized a share repurchase plan. Under the terms of the 2016 share repurchase plan, we are authorized to buy back up to 5% of our outstanding common stock. The repurchase plan is authorized to last through December 31, 2016. We intend and expect to accomplish the repurchases through open market transactions, though we could effect repurchases through other means, such as privately negotiated transactions. The timing and amount of any share repurchases will depend on a variety of factors, including, among others, securities law restrictions, the trading price of our common stock, other regulatory requirements, potential alternative uses for capital, and our financial performance. The repurchase program does not obligate us to acquire any particular amount of common stock, and it may be modified or suspended at any time at our discretion. On April 26, 2016 our Board of Directors authorized a $5.0 million expansion of this repurchase plan. Through July 31, 2016, we repurchased 1,153,136 shares of our common stock pursuant to this plan at an average price of $14.62 per share leaving $4.4 million remaining under this repurchase plan.</w:t>
      </w:r>
    </w:p>
    <w:p>
      <w:pPr>
        <w:spacing w:after="0" w:line="19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of June 30, 2016 and December 31, 2015, our Bank (and holding company) continued to meet the requirements to be considered “well-capitalized” under federal regulatory standards (also see Note #11 to the Condensed Consolidated Financial Statements included within this report).</w:t>
      </w:r>
    </w:p>
    <w:p>
      <w:pPr>
        <w:spacing w:after="0" w:line="18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color w:val="auto"/>
        </w:rPr>
        <w:t xml:space="preserve">Asset/liability management. </w:t>
      </w:r>
      <w:r>
        <w:rPr>
          <w:rFonts w:ascii="Arial" w:cs="Arial" w:eastAsia="Arial" w:hAnsi="Arial"/>
          <w:sz w:val="16"/>
          <w:szCs w:val="16"/>
          <w:color w:val="auto"/>
        </w:rPr>
        <w:t>Interest-rate risk is created by differences in the cash flow characteristics of our assets and liabilities. Options embedded in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instruments, including caps on adjustable-rate loans as well as borrowers’ rights to prepay fixed-rate loans, also create interest-rate risk.</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Our asset/liability management efforts identify and evaluate opportunities to structure our statement of financial condition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61"/>
        </w:trPr>
        <w:tc>
          <w:tcPr>
            <w:tcW w:w="59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gridSpan w:val="2"/>
            <w:shd w:val="clear" w:color="auto" w:fill="0000EE"/>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940" w:type="dxa"/>
            <w:vAlign w:val="bottom"/>
            <w:gridSpan w:val="3"/>
          </w:tcPr>
          <w:p>
            <w:pPr>
              <w:spacing w:after="0"/>
              <w:rPr>
                <w:sz w:val="20"/>
                <w:szCs w:val="20"/>
                <w:color w:val="auto"/>
              </w:rPr>
            </w:pPr>
            <w:r>
              <w:rPr>
                <w:rFonts w:ascii="Arial" w:cs="Arial" w:eastAsia="Arial" w:hAnsi="Arial"/>
                <w:sz w:val="17"/>
                <w:szCs w:val="17"/>
                <w:b w:val="1"/>
                <w:bCs w:val="1"/>
                <w:color w:val="auto"/>
              </w:rPr>
              <w:t>Changes in Market Value of Portfolio Equity and Net Interest Income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color w:val="auto"/>
                <w:w w:val="91"/>
              </w:rPr>
              <w:t>Market Value</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color w:val="auto"/>
                <w:w w:val="98"/>
              </w:rPr>
              <w:t>Of Portfolio</w:t>
            </w:r>
          </w:p>
        </w:tc>
        <w:tc>
          <w:tcPr>
            <w:tcW w:w="1380" w:type="dxa"/>
            <w:vAlign w:val="bottom"/>
            <w:gridSpan w:val="2"/>
          </w:tcPr>
          <w:p>
            <w:pPr>
              <w:jc w:val="right"/>
              <w:ind w:right="560"/>
              <w:spacing w:after="0"/>
              <w:rPr>
                <w:sz w:val="20"/>
                <w:szCs w:val="20"/>
                <w:color w:val="auto"/>
              </w:rPr>
            </w:pPr>
            <w:r>
              <w:rPr>
                <w:rFonts w:ascii="Arial" w:cs="Arial" w:eastAsia="Arial" w:hAnsi="Arial"/>
                <w:sz w:val="17"/>
                <w:szCs w:val="17"/>
                <w:color w:val="auto"/>
              </w:rPr>
              <w:t>Percent</w:t>
            </w:r>
          </w:p>
        </w:tc>
        <w:tc>
          <w:tcPr>
            <w:tcW w:w="140" w:type="dxa"/>
            <w:vAlign w:val="bottom"/>
          </w:tcPr>
          <w:p>
            <w:pPr>
              <w:spacing w:after="0"/>
              <w:rPr>
                <w:sz w:val="17"/>
                <w:szCs w:val="17"/>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7"/>
                <w:szCs w:val="17"/>
                <w:color w:val="auto"/>
                <w:w w:val="90"/>
              </w:rPr>
              <w:t>Net Interest</w:t>
            </w:r>
          </w:p>
        </w:tc>
        <w:tc>
          <w:tcPr>
            <w:tcW w:w="1260" w:type="dxa"/>
            <w:vAlign w:val="bottom"/>
            <w:gridSpan w:val="2"/>
          </w:tcPr>
          <w:p>
            <w:pPr>
              <w:jc w:val="right"/>
              <w:ind w:right="460"/>
              <w:spacing w:after="0"/>
              <w:rPr>
                <w:sz w:val="20"/>
                <w:szCs w:val="20"/>
                <w:color w:val="auto"/>
              </w:rPr>
            </w:pPr>
            <w:r>
              <w:rPr>
                <w:rFonts w:ascii="Arial" w:cs="Arial" w:eastAsia="Arial" w:hAnsi="Arial"/>
                <w:sz w:val="17"/>
                <w:szCs w:val="17"/>
                <w:color w:val="auto"/>
              </w:rPr>
              <w:t>Percent</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7"/>
                <w:szCs w:val="17"/>
                <w:color w:val="auto"/>
              </w:rPr>
              <w:t>Change in Interest Rates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color w:val="auto"/>
                <w:w w:val="94"/>
              </w:rPr>
              <w:t>Equity(1)</w:t>
            </w:r>
          </w:p>
        </w:tc>
        <w:tc>
          <w:tcPr>
            <w:tcW w:w="1380" w:type="dxa"/>
            <w:vAlign w:val="bottom"/>
            <w:gridSpan w:val="2"/>
          </w:tcPr>
          <w:p>
            <w:pPr>
              <w:jc w:val="right"/>
              <w:ind w:right="560"/>
              <w:spacing w:after="0"/>
              <w:rPr>
                <w:sz w:val="20"/>
                <w:szCs w:val="20"/>
                <w:color w:val="auto"/>
              </w:rPr>
            </w:pPr>
            <w:r>
              <w:rPr>
                <w:rFonts w:ascii="Arial" w:cs="Arial" w:eastAsia="Arial" w:hAnsi="Arial"/>
                <w:sz w:val="17"/>
                <w:szCs w:val="17"/>
                <w:color w:val="auto"/>
              </w:rPr>
              <w:t>Change</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w w:val="99"/>
              </w:rPr>
              <w:t>Income(2)</w:t>
            </w:r>
          </w:p>
        </w:tc>
        <w:tc>
          <w:tcPr>
            <w:tcW w:w="1260" w:type="dxa"/>
            <w:vAlign w:val="bottom"/>
            <w:gridSpan w:val="2"/>
          </w:tcPr>
          <w:p>
            <w:pPr>
              <w:jc w:val="right"/>
              <w:ind w:right="440"/>
              <w:spacing w:after="0"/>
              <w:rPr>
                <w:sz w:val="20"/>
                <w:szCs w:val="20"/>
                <w:color w:val="auto"/>
              </w:rPr>
            </w:pPr>
            <w:r>
              <w:rPr>
                <w:rFonts w:ascii="Arial" w:cs="Arial" w:eastAsia="Arial" w:hAnsi="Arial"/>
                <w:sz w:val="17"/>
                <w:szCs w:val="17"/>
                <w:color w:val="auto"/>
              </w:rPr>
              <w:t>Change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5940" w:type="dxa"/>
            <w:vAlign w:val="bottom"/>
            <w:gridSpan w:val="3"/>
            <w:vMerge w:val="restart"/>
          </w:tcPr>
          <w:p>
            <w:pPr>
              <w:spacing w:after="0"/>
              <w:rPr>
                <w:sz w:val="20"/>
                <w:szCs w:val="20"/>
                <w:color w:val="auto"/>
              </w:rPr>
            </w:pPr>
            <w:r>
              <w:rPr>
                <w:rFonts w:ascii="Arial" w:cs="Arial" w:eastAsia="Arial" w:hAnsi="Arial"/>
                <w:sz w:val="17"/>
                <w:szCs w:val="17"/>
                <w:color w:val="auto"/>
              </w:rPr>
              <w:t>June 30, 2016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5"/>
          </w:tcPr>
          <w:p>
            <w:pPr>
              <w:jc w:val="right"/>
              <w:ind w:right="740"/>
              <w:spacing w:after="0"/>
              <w:rPr>
                <w:sz w:val="20"/>
                <w:szCs w:val="20"/>
                <w:color w:val="auto"/>
              </w:rPr>
            </w:pPr>
            <w:r>
              <w:rPr>
                <w:rFonts w:ascii="Arial" w:cs="Arial" w:eastAsia="Arial" w:hAnsi="Arial"/>
                <w:sz w:val="17"/>
                <w:szCs w:val="17"/>
                <w:color w:val="auto"/>
              </w:rPr>
              <w:t>(Dollars in thousands)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9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 basis point rise</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390,100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12.03%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83,400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100 basis point rise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374,600</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7.58</w:t>
            </w: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81,000</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4.25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Base-rate scenario</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348,200</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77,700</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100 basis point decline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315,900</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(9.28)</w:t>
            </w: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73,400</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5.53</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December 31, 2015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 basis point rise</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419,600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80,700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100 basis point rise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407,300</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5.25</w:t>
            </w: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78,700</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3.69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Base-rate scenario</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387,000</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75,900</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100 basis point decline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356,500</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(7.88)</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72,000</w:t>
            </w: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(5.14)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146812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68120" cy="3683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both"/>
        <w:ind w:left="300" w:hanging="298"/>
        <w:spacing w:after="0" w:line="254" w:lineRule="auto"/>
        <w:tabs>
          <w:tab w:leader="none" w:pos="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spacing w:after="0" w:line="2" w:lineRule="exact"/>
        <w:rPr>
          <w:rFonts w:ascii="Arial" w:cs="Arial" w:eastAsia="Arial" w:hAnsi="Arial"/>
          <w:sz w:val="17"/>
          <w:szCs w:val="17"/>
          <w:color w:val="auto"/>
        </w:rPr>
      </w:pPr>
    </w:p>
    <w:p>
      <w:pPr>
        <w:ind w:left="300" w:hanging="298"/>
        <w:spacing w:after="0" w:line="260" w:lineRule="auto"/>
        <w:tabs>
          <w:tab w:leader="none" w:pos="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Simulation analyses calculate the change in net interest income under immediate parallel shifts in interest rates over the next twelve months, based upon a static statement of financial condition, which includes debt and related financial derivative instruments, and do not consider loan fees.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color w:val="auto"/>
        </w:rPr>
        <w:t xml:space="preserve">Accounting standards update. </w:t>
      </w:r>
      <w:r>
        <w:rPr>
          <w:rFonts w:ascii="Arial" w:cs="Arial" w:eastAsia="Arial" w:hAnsi="Arial"/>
          <w:sz w:val="17"/>
          <w:szCs w:val="17"/>
          <w:color w:val="auto"/>
        </w:rPr>
        <w:t>See Note #2 to the Condensed Consolidated Financial Statements included elsewhere in this report for details on recently issued</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pronouncements and their impact on our financial statements.</w:t>
      </w:r>
    </w:p>
    <w:p>
      <w:pPr>
        <w:spacing w:after="0" w:line="182" w:lineRule="exact"/>
        <w:rPr>
          <w:sz w:val="20"/>
          <w:szCs w:val="20"/>
          <w:color w:val="auto"/>
        </w:rPr>
      </w:pPr>
    </w:p>
    <w:p>
      <w:pPr>
        <w:jc w:val="both"/>
        <w:spacing w:after="0" w:line="316" w:lineRule="auto"/>
        <w:rPr>
          <w:sz w:val="20"/>
          <w:szCs w:val="20"/>
          <w:color w:val="auto"/>
        </w:rPr>
      </w:pPr>
      <w:r>
        <w:rPr>
          <w:rFonts w:ascii="Arial" w:cs="Arial" w:eastAsia="Arial" w:hAnsi="Arial"/>
          <w:sz w:val="15"/>
          <w:szCs w:val="15"/>
          <w:b w:val="1"/>
          <w:bCs w:val="1"/>
          <w:color w:val="auto"/>
        </w:rPr>
        <w:t xml:space="preserve">Fair valuation of financial instruments. </w:t>
      </w:r>
      <w:r>
        <w:rPr>
          <w:rFonts w:ascii="Arial" w:cs="Arial" w:eastAsia="Arial" w:hAnsi="Arial"/>
          <w:sz w:val="15"/>
          <w:szCs w:val="15"/>
          <w:color w:val="auto"/>
        </w:rPr>
        <w:t>Financial Accounting Standards Board (“FASB”) Accounting Standards Codification (“ASC”) topic 820 - “Fair Value</w:t>
      </w:r>
      <w:r>
        <w:rPr>
          <w:rFonts w:ascii="Arial" w:cs="Arial" w:eastAsia="Arial" w:hAnsi="Arial"/>
          <w:sz w:val="15"/>
          <w:szCs w:val="15"/>
          <w:b w:val="1"/>
          <w:bCs w:val="1"/>
          <w:color w:val="auto"/>
        </w:rPr>
        <w:t xml:space="preserve"> </w:t>
      </w:r>
      <w:r>
        <w:rPr>
          <w:rFonts w:ascii="Arial" w:cs="Arial" w:eastAsia="Arial" w:hAnsi="Arial"/>
          <w:sz w:val="15"/>
          <w:szCs w:val="15"/>
          <w:color w:val="auto"/>
        </w:rPr>
        <w:t>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6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Trading securities, securities available-for-sale, loans held for sale, and derivatives are financial instruments recorded at fair value on a recurring basis. Additionally, from time to time, we may be required to record at fair value other financial assets on a nonrecurring basis, such as loans held for investment, capitalized mortgage loan servicing rights and certain other assets. These nonrecurring fair value adjustments typically involve application of lower of cost or market accounting or write-downs of individual assets.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86" w:name="page87"/>
    <w:bookmarkEnd w:id="8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See Note #12 to the Condensed Consolidated Financial Statements included within this report for a complete discussion on our use of fair valuation of financial instruments and the related measurement techniques.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L</w:t>
      </w:r>
      <w:r>
        <w:rPr>
          <w:rFonts w:ascii="Arial" w:cs="Arial" w:eastAsia="Arial" w:hAnsi="Arial"/>
          <w:sz w:val="11"/>
          <w:szCs w:val="11"/>
          <w:b w:val="1"/>
          <w:bCs w:val="1"/>
          <w:color w:val="auto"/>
        </w:rPr>
        <w:t>ITIGATION</w:t>
      </w:r>
      <w:r>
        <w:rPr>
          <w:rFonts w:ascii="Arial" w:cs="Arial" w:eastAsia="Arial" w:hAnsi="Arial"/>
          <w:sz w:val="17"/>
          <w:szCs w:val="17"/>
          <w:b w:val="1"/>
          <w:bCs w:val="1"/>
          <w:color w:val="auto"/>
        </w:rPr>
        <w:t xml:space="preserve"> M</w:t>
      </w:r>
      <w:r>
        <w:rPr>
          <w:rFonts w:ascii="Arial" w:cs="Arial" w:eastAsia="Arial" w:hAnsi="Arial"/>
          <w:sz w:val="11"/>
          <w:szCs w:val="11"/>
          <w:b w:val="1"/>
          <w:bCs w:val="1"/>
          <w:color w:val="auto"/>
        </w:rPr>
        <w:t>ATTERS</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approximately $1.0 million. However, because of a number of factors, including the fact that certain of these litigation matters are still in their early stages, this maximum amount may change in the future.</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or vehicle service contract counterparty receivables).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RITICAL</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CCOUNTING</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OLICIES</w:t>
      </w:r>
    </w:p>
    <w:p>
      <w:pPr>
        <w:spacing w:after="0" w:line="242"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Our accounting and reporting policies are in accordance with accounting principles generally accepted in the United States of America and conform to general practices within the banking industry. Accounting and reporting policies for the allowance for loan losses, capitalized mortgage loan servicing rights, vehicle service contract payment plan counterparty contingencies, and income taxes are deemed critical since they involve the use of estimates and require significant management judgments. Application of assumptions different than those that we have used could result in material changes in our consolidated financial position or results of operations. During the first quarter of 2016, we dropped the assessment of other than temporary impairment of securities available for sale as a critical accounting policy as we do not believe that this assessment will have a material impact on our consolidated financial position or results of operations. There have been no other material changes to our critical accounting policies as disclosed in our Annual Report on Form 10-K for the year ended December 31, 2015.</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Item 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w:t>
      </w:r>
      <w:r>
        <w:rPr>
          <w:rFonts w:ascii="Arial" w:cs="Arial" w:eastAsia="Arial" w:hAnsi="Arial"/>
          <w:sz w:val="11"/>
          <w:szCs w:val="11"/>
          <w:b w:val="1"/>
          <w:bCs w:val="1"/>
          <w:color w:val="auto"/>
        </w:rPr>
        <w:t>UANTITATIVE AND</w:t>
      </w:r>
      <w:r>
        <w:rPr>
          <w:rFonts w:ascii="Arial" w:cs="Arial" w:eastAsia="Arial" w:hAnsi="Arial"/>
          <w:sz w:val="17"/>
          <w:szCs w:val="17"/>
          <w:b w:val="1"/>
          <w:bCs w:val="1"/>
          <w:color w:val="auto"/>
        </w:rPr>
        <w:t xml:space="preserve"> Q</w:t>
      </w:r>
      <w:r>
        <w:rPr>
          <w:rFonts w:ascii="Arial" w:cs="Arial" w:eastAsia="Arial" w:hAnsi="Arial"/>
          <w:sz w:val="11"/>
          <w:szCs w:val="11"/>
          <w:b w:val="1"/>
          <w:bCs w:val="1"/>
          <w:color w:val="auto"/>
        </w:rPr>
        <w:t>UALITATIVE</w:t>
      </w:r>
      <w:r>
        <w:rPr>
          <w:rFonts w:ascii="Arial" w:cs="Arial" w:eastAsia="Arial" w:hAnsi="Arial"/>
          <w:sz w:val="17"/>
          <w:szCs w:val="17"/>
          <w:b w:val="1"/>
          <w:bCs w:val="1"/>
          <w:color w:val="auto"/>
        </w:rPr>
        <w:t xml:space="preserve"> D</w:t>
      </w:r>
      <w:r>
        <w:rPr>
          <w:rFonts w:ascii="Arial" w:cs="Arial" w:eastAsia="Arial" w:hAnsi="Arial"/>
          <w:sz w:val="11"/>
          <w:szCs w:val="11"/>
          <w:b w:val="1"/>
          <w:bCs w:val="1"/>
          <w:color w:val="auto"/>
        </w:rPr>
        <w:t>ISCLOSURES ABOUT</w:t>
      </w:r>
      <w:r>
        <w:rPr>
          <w:rFonts w:ascii="Arial" w:cs="Arial" w:eastAsia="Arial" w:hAnsi="Arial"/>
          <w:sz w:val="17"/>
          <w:szCs w:val="17"/>
          <w:b w:val="1"/>
          <w:bCs w:val="1"/>
          <w:color w:val="auto"/>
        </w:rPr>
        <w:t xml:space="preserve"> M</w:t>
      </w:r>
      <w:r>
        <w:rPr>
          <w:rFonts w:ascii="Arial" w:cs="Arial" w:eastAsia="Arial" w:hAnsi="Arial"/>
          <w:sz w:val="11"/>
          <w:szCs w:val="11"/>
          <w:b w:val="1"/>
          <w:bCs w:val="1"/>
          <w:color w:val="auto"/>
        </w:rPr>
        <w:t>ARKET</w:t>
      </w:r>
      <w:r>
        <w:rPr>
          <w:rFonts w:ascii="Arial" w:cs="Arial" w:eastAsia="Arial" w:hAnsi="Arial"/>
          <w:sz w:val="17"/>
          <w:szCs w:val="17"/>
          <w:b w:val="1"/>
          <w:bCs w:val="1"/>
          <w:color w:val="auto"/>
        </w:rPr>
        <w:t xml:space="preserve"> R</w:t>
      </w:r>
      <w:r>
        <w:rPr>
          <w:rFonts w:ascii="Arial" w:cs="Arial" w:eastAsia="Arial" w:hAnsi="Arial"/>
          <w:sz w:val="11"/>
          <w:szCs w:val="11"/>
          <w:b w:val="1"/>
          <w:bCs w:val="1"/>
          <w:color w:val="auto"/>
        </w:rPr>
        <w:t>ISK</w:t>
      </w:r>
    </w:p>
    <w:p>
      <w:pPr>
        <w:spacing w:after="0" w:line="24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See applicable disclosures set forth in “Management’s Discussion and Analysis of Financial Condition and Results of Operations” in Item 2 under the caption “Asset/liability management.”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Item 4.</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ONTROLS AND</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ROCEDURES</w:t>
      </w:r>
    </w:p>
    <w:p>
      <w:pPr>
        <w:spacing w:after="0" w:line="242" w:lineRule="exact"/>
        <w:rPr>
          <w:sz w:val="20"/>
          <w:szCs w:val="20"/>
          <w:color w:val="auto"/>
        </w:rPr>
      </w:pPr>
    </w:p>
    <w:p>
      <w:pPr>
        <w:ind w:left="300" w:hanging="298"/>
        <w:spacing w:after="0"/>
        <w:tabs>
          <w:tab w:leader="none" w:pos="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Evaluation of Disclosure Controls and Procedures.</w:t>
      </w:r>
    </w:p>
    <w:p>
      <w:pPr>
        <w:spacing w:after="0" w:line="237" w:lineRule="exact"/>
        <w:rPr>
          <w:rFonts w:ascii="Arial" w:cs="Arial" w:eastAsia="Arial" w:hAnsi="Arial"/>
          <w:sz w:val="17"/>
          <w:szCs w:val="17"/>
          <w:color w:val="auto"/>
        </w:rPr>
      </w:pPr>
    </w:p>
    <w:p>
      <w:pPr>
        <w:jc w:val="both"/>
        <w:ind w:left="300"/>
        <w:spacing w:after="0" w:line="262" w:lineRule="auto"/>
        <w:rPr>
          <w:rFonts w:ascii="Arial" w:cs="Arial" w:eastAsia="Arial" w:hAnsi="Arial"/>
          <w:sz w:val="17"/>
          <w:szCs w:val="17"/>
          <w:color w:val="auto"/>
        </w:rPr>
      </w:pPr>
      <w:r>
        <w:rPr>
          <w:rFonts w:ascii="Arial" w:cs="Arial" w:eastAsia="Arial" w:hAnsi="Arial"/>
          <w:sz w:val="17"/>
          <w:szCs w:val="17"/>
          <w:color w:val="auto"/>
        </w:rPr>
        <w:t>With the participation of management, our chief executive officer and chief financial officer, after evaluating the effectiveness of our disclosure controls and procedures (as defined in Exchange Act Rules 13a – 15(e) and 15d – 15(e)) for the period ended June 30, 2016, have concluded that, as of such date, our disclosure controls and procedures were effective.</w:t>
      </w:r>
    </w:p>
    <w:p>
      <w:pPr>
        <w:spacing w:after="0" w:line="200" w:lineRule="exact"/>
        <w:rPr>
          <w:rFonts w:ascii="Arial" w:cs="Arial" w:eastAsia="Arial" w:hAnsi="Arial"/>
          <w:sz w:val="17"/>
          <w:szCs w:val="17"/>
          <w:color w:val="auto"/>
        </w:rPr>
      </w:pPr>
    </w:p>
    <w:p>
      <w:pPr>
        <w:ind w:left="300" w:hanging="298"/>
        <w:spacing w:after="0"/>
        <w:tabs>
          <w:tab w:leader="none" w:pos="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Internal Controls.</w:t>
      </w:r>
    </w:p>
    <w:p>
      <w:pPr>
        <w:spacing w:after="0" w:line="237" w:lineRule="exact"/>
        <w:rPr>
          <w:rFonts w:ascii="Arial" w:cs="Arial" w:eastAsia="Arial" w:hAnsi="Arial"/>
          <w:sz w:val="17"/>
          <w:szCs w:val="17"/>
          <w:color w:val="auto"/>
        </w:rPr>
      </w:pPr>
    </w:p>
    <w:p>
      <w:pPr>
        <w:ind w:left="300"/>
        <w:spacing w:after="0" w:line="274" w:lineRule="auto"/>
        <w:rPr>
          <w:rFonts w:ascii="Arial" w:cs="Arial" w:eastAsia="Arial" w:hAnsi="Arial"/>
          <w:sz w:val="17"/>
          <w:szCs w:val="17"/>
          <w:color w:val="auto"/>
        </w:rPr>
      </w:pPr>
      <w:r>
        <w:rPr>
          <w:rFonts w:ascii="Arial" w:cs="Arial" w:eastAsia="Arial" w:hAnsi="Arial"/>
          <w:sz w:val="17"/>
          <w:szCs w:val="17"/>
          <w:color w:val="auto"/>
        </w:rPr>
        <w:t>During the quarter ended June 30, 2016, there were no changes in our internal control over financial reporting that materially affected, or are reasonably likely to materially affect, our internal control over financial reporting.</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Part II</w:t>
      </w:r>
    </w:p>
    <w:p>
      <w:pPr>
        <w:spacing w:after="0" w:line="238"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u w:val="single" w:color="auto"/>
          <w:color w:val="auto"/>
        </w:rPr>
        <w:t>Item 1A.</w:t>
      </w:r>
      <w:r>
        <w:rPr>
          <w:sz w:val="20"/>
          <w:szCs w:val="20"/>
          <w:color w:val="auto"/>
        </w:rPr>
        <w:tab/>
      </w:r>
      <w:r>
        <w:rPr>
          <w:rFonts w:ascii="Arial" w:cs="Arial" w:eastAsia="Arial" w:hAnsi="Arial"/>
          <w:sz w:val="15"/>
          <w:szCs w:val="15"/>
          <w:u w:val="single" w:color="auto"/>
          <w:color w:val="auto"/>
        </w:rPr>
        <w:t>Risk Factors</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There have been no material changes to the risk factors disclosed in Item 1A. Risk Factors of our Annual Report on Form 10-K for the year ended December 31, 2015.</w:t>
      </w:r>
    </w:p>
    <w:p>
      <w:pPr>
        <w:spacing w:after="0" w:line="261"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u w:val="single" w:color="auto"/>
          <w:color w:val="auto"/>
        </w:rPr>
        <w:t>Item 2.</w:t>
      </w:r>
      <w:r>
        <w:rPr>
          <w:sz w:val="20"/>
          <w:szCs w:val="20"/>
          <w:color w:val="auto"/>
        </w:rPr>
        <w:tab/>
      </w:r>
      <w:r>
        <w:rPr>
          <w:rFonts w:ascii="Arial" w:cs="Arial" w:eastAsia="Arial" w:hAnsi="Arial"/>
          <w:sz w:val="15"/>
          <w:szCs w:val="15"/>
          <w:u w:val="single" w:color="auto"/>
          <w:color w:val="auto"/>
        </w:rPr>
        <w:t>Unregistered Sales of Equity Securities and Use of Proceeds</w:t>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second quarter of 2016, the Company issued 651 shares of common stock to non-employee directors on a current basis and 1,322 shares of common stock to the trust for distribution to directors on a deferred basis. The shares were issued on April 1, 2016, at a price of $14.55 per share, representing aggregate fees of $0.03 million.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certain information relating to repurchases of common stock for the three-months ended June 30, 2016:</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w w:val="91"/>
              </w:rPr>
              <w:t>Total Number of</w:t>
            </w:r>
          </w:p>
        </w:tc>
        <w:tc>
          <w:tcPr>
            <w:tcW w:w="154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Remaining</w:t>
            </w:r>
          </w:p>
        </w:tc>
      </w:tr>
      <w:tr>
        <w:trPr>
          <w:trHeight w:val="204"/>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w w:val="85"/>
              </w:rPr>
              <w:t>Shares Purchased</w:t>
            </w:r>
          </w:p>
        </w:tc>
        <w:tc>
          <w:tcPr>
            <w:tcW w:w="154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Number of</w:t>
            </w:r>
          </w:p>
        </w:tc>
      </w:tr>
      <w:tr>
        <w:trPr>
          <w:trHeight w:val="204"/>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w w:val="87"/>
              </w:rPr>
              <w:t>as Part of a</w:t>
            </w:r>
          </w:p>
        </w:tc>
        <w:tc>
          <w:tcPr>
            <w:tcW w:w="1540" w:type="dxa"/>
            <w:vAlign w:val="bottom"/>
            <w:gridSpan w:val="2"/>
          </w:tcPr>
          <w:p>
            <w:pPr>
              <w:jc w:val="center"/>
              <w:ind w:right="80"/>
              <w:spacing w:after="0"/>
              <w:rPr>
                <w:sz w:val="20"/>
                <w:szCs w:val="20"/>
                <w:color w:val="auto"/>
              </w:rPr>
            </w:pPr>
            <w:r>
              <w:rPr>
                <w:rFonts w:ascii="Arial" w:cs="Arial" w:eastAsia="Arial" w:hAnsi="Arial"/>
                <w:sz w:val="17"/>
                <w:szCs w:val="17"/>
                <w:color w:val="auto"/>
                <w:w w:val="90"/>
              </w:rPr>
              <w:t>Shares Authorized</w:t>
            </w:r>
          </w:p>
        </w:tc>
      </w:tr>
      <w:tr>
        <w:trPr>
          <w:trHeight w:val="204"/>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380" w:type="dxa"/>
            <w:vAlign w:val="bottom"/>
          </w:tcPr>
          <w:p>
            <w:pPr>
              <w:jc w:val="right"/>
              <w:ind w:right="175"/>
              <w:spacing w:after="0"/>
              <w:rPr>
                <w:sz w:val="20"/>
                <w:szCs w:val="20"/>
                <w:color w:val="auto"/>
              </w:rPr>
            </w:pPr>
            <w:r>
              <w:rPr>
                <w:rFonts w:ascii="Arial" w:cs="Arial" w:eastAsia="Arial" w:hAnsi="Arial"/>
                <w:sz w:val="17"/>
                <w:szCs w:val="17"/>
                <w:color w:val="auto"/>
                <w:w w:val="90"/>
              </w:rPr>
              <w:t>Total Number of</w:t>
            </w:r>
          </w:p>
        </w:tc>
        <w:tc>
          <w:tcPr>
            <w:tcW w:w="180" w:type="dxa"/>
            <w:vAlign w:val="bottom"/>
          </w:tcPr>
          <w:p>
            <w:pPr>
              <w:spacing w:after="0"/>
              <w:rPr>
                <w:sz w:val="17"/>
                <w:szCs w:val="17"/>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w w:val="88"/>
              </w:rPr>
              <w:t>Average Price</w:t>
            </w:r>
          </w:p>
        </w:tc>
        <w:tc>
          <w:tcPr>
            <w:tcW w:w="1400" w:type="dxa"/>
            <w:vAlign w:val="bottom"/>
          </w:tcPr>
          <w:p>
            <w:pPr>
              <w:jc w:val="center"/>
              <w:spacing w:after="0"/>
              <w:rPr>
                <w:sz w:val="20"/>
                <w:szCs w:val="20"/>
                <w:color w:val="auto"/>
              </w:rPr>
            </w:pPr>
            <w:r>
              <w:rPr>
                <w:rFonts w:ascii="Arial" w:cs="Arial" w:eastAsia="Arial" w:hAnsi="Arial"/>
                <w:sz w:val="17"/>
                <w:szCs w:val="17"/>
                <w:color w:val="auto"/>
                <w:w w:val="95"/>
              </w:rPr>
              <w:t>Publicly</w:t>
            </w:r>
          </w:p>
        </w:tc>
        <w:tc>
          <w:tcPr>
            <w:tcW w:w="1540" w:type="dxa"/>
            <w:vAlign w:val="bottom"/>
            <w:gridSpan w:val="2"/>
          </w:tcPr>
          <w:p>
            <w:pPr>
              <w:jc w:val="center"/>
              <w:ind w:right="100"/>
              <w:spacing w:after="0"/>
              <w:rPr>
                <w:sz w:val="20"/>
                <w:szCs w:val="20"/>
                <w:color w:val="auto"/>
              </w:rPr>
            </w:pPr>
            <w:r>
              <w:rPr>
                <w:rFonts w:ascii="Arial" w:cs="Arial" w:eastAsia="Arial" w:hAnsi="Arial"/>
                <w:sz w:val="17"/>
                <w:szCs w:val="17"/>
                <w:color w:val="auto"/>
                <w:w w:val="87"/>
              </w:rPr>
              <w:t>for Purchase</w:t>
            </w:r>
          </w:p>
        </w:tc>
      </w:tr>
      <w:tr>
        <w:trPr>
          <w:trHeight w:val="222"/>
        </w:trPr>
        <w:tc>
          <w:tcPr>
            <w:tcW w:w="20" w:type="dxa"/>
            <w:vAlign w:val="bottom"/>
          </w:tcPr>
          <w:p>
            <w:pPr>
              <w:spacing w:after="0"/>
              <w:rPr>
                <w:sz w:val="19"/>
                <w:szCs w:val="19"/>
                <w:color w:val="auto"/>
              </w:rPr>
            </w:pPr>
          </w:p>
        </w:tc>
        <w:tc>
          <w:tcPr>
            <w:tcW w:w="31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Period</w:t>
            </w:r>
          </w:p>
        </w:tc>
        <w:tc>
          <w:tcPr>
            <w:tcW w:w="398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7"/>
                <w:szCs w:val="17"/>
                <w:color w:val="auto"/>
              </w:rPr>
              <w:t>Shares Purchased (1)</w:t>
            </w:r>
          </w:p>
        </w:tc>
        <w:tc>
          <w:tcPr>
            <w:tcW w:w="132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7"/>
                <w:szCs w:val="17"/>
                <w:color w:val="auto"/>
                <w:w w:val="98"/>
              </w:rPr>
              <w:t>Paid Per Share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Announced Plan</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Under the Plan</w:t>
            </w:r>
          </w:p>
        </w:tc>
        <w:tc>
          <w:tcPr>
            <w:tcW w:w="20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April 2016</w:t>
            </w:r>
          </w:p>
        </w:tc>
        <w:tc>
          <w:tcPr>
            <w:tcW w:w="398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52,703(2)</w:t>
            </w:r>
          </w:p>
        </w:tc>
      </w:tr>
      <w:tr>
        <w:trPr>
          <w:trHeight w:val="204"/>
        </w:trPr>
        <w:tc>
          <w:tcPr>
            <w:tcW w:w="2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Arial" w:cs="Arial" w:eastAsia="Arial" w:hAnsi="Arial"/>
                <w:sz w:val="17"/>
                <w:szCs w:val="17"/>
                <w:color w:val="auto"/>
              </w:rPr>
              <w:t>May 2016</w:t>
            </w:r>
          </w:p>
        </w:tc>
        <w:tc>
          <w:tcPr>
            <w:tcW w:w="3980" w:type="dxa"/>
            <w:vAlign w:val="bottom"/>
            <w:gridSpan w:val="2"/>
          </w:tcPr>
          <w:p>
            <w:pPr>
              <w:jc w:val="right"/>
              <w:ind w:right="15"/>
              <w:spacing w:after="0"/>
              <w:rPr>
                <w:sz w:val="20"/>
                <w:szCs w:val="20"/>
                <w:color w:val="auto"/>
              </w:rPr>
            </w:pPr>
            <w:r>
              <w:rPr>
                <w:rFonts w:ascii="Arial" w:cs="Arial" w:eastAsia="Arial" w:hAnsi="Arial"/>
                <w:sz w:val="17"/>
                <w:szCs w:val="17"/>
                <w:color w:val="auto"/>
              </w:rPr>
              <w:t>37,367</w:t>
            </w:r>
          </w:p>
        </w:tc>
        <w:tc>
          <w:tcPr>
            <w:tcW w:w="180" w:type="dxa"/>
            <w:vAlign w:val="bottom"/>
          </w:tcPr>
          <w:p>
            <w:pPr>
              <w:spacing w:after="0"/>
              <w:rPr>
                <w:sz w:val="17"/>
                <w:szCs w:val="17"/>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14.99</w:t>
            </w:r>
          </w:p>
        </w:tc>
        <w:tc>
          <w:tcPr>
            <w:tcW w:w="14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52,703(2)</w:t>
            </w:r>
          </w:p>
        </w:tc>
      </w:tr>
      <w:tr>
        <w:trPr>
          <w:trHeight w:val="204"/>
        </w:trPr>
        <w:tc>
          <w:tcPr>
            <w:tcW w:w="20" w:type="dxa"/>
            <w:vAlign w:val="bottom"/>
          </w:tcPr>
          <w:p>
            <w:pPr>
              <w:spacing w:after="0"/>
              <w:rPr>
                <w:sz w:val="17"/>
                <w:szCs w:val="17"/>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June 2016</w:t>
            </w:r>
          </w:p>
        </w:tc>
        <w:tc>
          <w:tcPr>
            <w:tcW w:w="26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52,703(2)</w:t>
            </w:r>
          </w:p>
        </w:tc>
      </w:tr>
      <w:tr>
        <w:trPr>
          <w:trHeight w:val="25"/>
        </w:trPr>
        <w:tc>
          <w:tcPr>
            <w:tcW w:w="20" w:type="dxa"/>
            <w:vAlign w:val="bottom"/>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04"/>
        </w:trPr>
        <w:tc>
          <w:tcPr>
            <w:tcW w:w="20" w:type="dxa"/>
            <w:vAlign w:val="bottom"/>
          </w:tcPr>
          <w:p>
            <w:pPr>
              <w:spacing w:after="0"/>
              <w:rPr>
                <w:sz w:val="17"/>
                <w:szCs w:val="17"/>
                <w:color w:val="auto"/>
              </w:rPr>
            </w:pPr>
          </w:p>
        </w:tc>
        <w:tc>
          <w:tcPr>
            <w:tcW w:w="3160" w:type="dxa"/>
            <w:vAlign w:val="bottom"/>
          </w:tcPr>
          <w:p>
            <w:pPr>
              <w:ind w:left="140"/>
              <w:spacing w:after="0"/>
              <w:rPr>
                <w:sz w:val="20"/>
                <w:szCs w:val="20"/>
                <w:color w:val="auto"/>
              </w:rPr>
            </w:pPr>
            <w:r>
              <w:rPr>
                <w:rFonts w:ascii="Arial" w:cs="Arial" w:eastAsia="Arial" w:hAnsi="Arial"/>
                <w:sz w:val="17"/>
                <w:szCs w:val="17"/>
                <w:color w:val="auto"/>
              </w:rPr>
              <w:t>Total</w:t>
            </w:r>
          </w:p>
        </w:tc>
        <w:tc>
          <w:tcPr>
            <w:tcW w:w="2600" w:type="dxa"/>
            <w:vAlign w:val="bottom"/>
          </w:tcPr>
          <w:p>
            <w:pPr>
              <w:spacing w:after="0"/>
              <w:rPr>
                <w:sz w:val="17"/>
                <w:szCs w:val="17"/>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37,367</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14.99</w:t>
            </w:r>
          </w:p>
        </w:tc>
        <w:tc>
          <w:tcPr>
            <w:tcW w:w="14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52,703(2)</w:t>
            </w: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7" w:lineRule="exact"/>
        <w:rPr>
          <w:sz w:val="20"/>
          <w:szCs w:val="20"/>
          <w:color w:val="auto"/>
        </w:rPr>
      </w:pPr>
    </w:p>
    <w:p>
      <w:pPr>
        <w:ind w:left="300" w:hanging="298"/>
        <w:spacing w:after="0" w:line="257" w:lineRule="auto"/>
        <w:tabs>
          <w:tab w:leader="none" w:pos="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Represents shares withheld from the shares that would otherwise have been issued to certain officers in order to satisfy tax withholding obligations resulting from vesting of restricted stock units.</w:t>
      </w:r>
    </w:p>
    <w:p>
      <w:pPr>
        <w:ind w:left="300" w:hanging="298"/>
        <w:spacing w:after="0"/>
        <w:tabs>
          <w:tab w:leader="none" w:pos="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Plus an additional $5.0 million.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u w:val="single" w:color="auto"/>
          <w:color w:val="auto"/>
        </w:rPr>
        <w:t>Item 6.</w:t>
      </w:r>
      <w:r>
        <w:rPr>
          <w:sz w:val="20"/>
          <w:szCs w:val="20"/>
          <w:color w:val="auto"/>
        </w:rPr>
        <w:tab/>
      </w:r>
      <w:r>
        <w:rPr>
          <w:rFonts w:ascii="Arial" w:cs="Arial" w:eastAsia="Arial" w:hAnsi="Arial"/>
          <w:sz w:val="16"/>
          <w:szCs w:val="16"/>
          <w:u w:val="single" w:color="auto"/>
          <w:color w:val="auto"/>
        </w:rPr>
        <w:t>Exhibits</w:t>
      </w:r>
    </w:p>
    <w:p>
      <w:pPr>
        <w:spacing w:after="0" w:line="238" w:lineRule="exact"/>
        <w:rPr>
          <w:sz w:val="20"/>
          <w:szCs w:val="20"/>
          <w:color w:val="auto"/>
        </w:rPr>
      </w:pPr>
    </w:p>
    <w:p>
      <w:pPr>
        <w:ind w:left="620" w:hanging="325"/>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following exhibits (listed by number corresponding to the Exhibit Table as Item 601 in Regulation S-K) are filed with this report:</w:t>
      </w:r>
    </w:p>
    <w:p>
      <w:pPr>
        <w:spacing w:after="0" w:line="19" w:lineRule="exact"/>
        <w:rPr>
          <w:rFonts w:ascii="Arial" w:cs="Arial" w:eastAsia="Arial" w:hAnsi="Arial"/>
          <w:sz w:val="17"/>
          <w:szCs w:val="17"/>
          <w:color w:val="auto"/>
        </w:rPr>
      </w:pPr>
    </w:p>
    <w:p>
      <w:pPr>
        <w:ind w:left="1080" w:hanging="459"/>
        <w:spacing w:after="0" w:line="250" w:lineRule="auto"/>
        <w:rPr>
          <w:rFonts w:ascii="Arial" w:cs="Arial" w:eastAsia="Arial" w:hAnsi="Arial"/>
          <w:sz w:val="17"/>
          <w:szCs w:val="17"/>
          <w:color w:val="0000EE"/>
        </w:rPr>
      </w:pPr>
      <w:hyperlink w:anchor="page92">
        <w:r>
          <w:rPr>
            <w:rFonts w:ascii="Arial" w:cs="Arial" w:eastAsia="Arial" w:hAnsi="Arial"/>
            <w:sz w:val="17"/>
            <w:szCs w:val="17"/>
            <w:u w:val="single" w:color="auto"/>
            <w:color w:val="0000EE"/>
          </w:rPr>
          <w:t>31.1</w:t>
        </w:r>
        <w:r>
          <w:rPr>
            <w:rFonts w:ascii="Arial" w:cs="Arial" w:eastAsia="Arial" w:hAnsi="Arial"/>
            <w:sz w:val="17"/>
            <w:szCs w:val="17"/>
            <w:color w:val="0000EE"/>
          </w:rPr>
          <w:t xml:space="preserve"> </w:t>
        </w:r>
      </w:hyperlink>
      <w:r>
        <w:rPr>
          <w:rFonts w:ascii="Arial" w:cs="Arial" w:eastAsia="Arial" w:hAnsi="Arial"/>
          <w:sz w:val="17"/>
          <w:szCs w:val="17"/>
          <w:color w:val="000000"/>
        </w:rPr>
        <w:t>Certificate</w:t>
      </w:r>
      <w:r>
        <w:rPr>
          <w:rFonts w:ascii="Arial" w:cs="Arial" w:eastAsia="Arial" w:hAnsi="Arial"/>
          <w:sz w:val="17"/>
          <w:szCs w:val="17"/>
          <w:color w:val="0000EE"/>
        </w:rPr>
        <w:t xml:space="preserve"> </w:t>
      </w:r>
      <w:r>
        <w:rPr>
          <w:rFonts w:ascii="Arial" w:cs="Arial" w:eastAsia="Arial" w:hAnsi="Arial"/>
          <w:sz w:val="17"/>
          <w:szCs w:val="17"/>
          <w:color w:val="000000"/>
        </w:rPr>
        <w:t>of the Chief Executive Officer of Independent Bank Corporation pursuant to Section 302 of the Sarbanes-Oxley Act of 2002 (18 U.S.C.</w:t>
      </w:r>
      <w:r>
        <w:rPr>
          <w:rFonts w:ascii="Arial" w:cs="Arial" w:eastAsia="Arial" w:hAnsi="Arial"/>
          <w:sz w:val="17"/>
          <w:szCs w:val="17"/>
          <w:color w:val="0000EE"/>
        </w:rPr>
        <w:t xml:space="preserve"> </w:t>
      </w:r>
      <w:r>
        <w:rPr>
          <w:rFonts w:ascii="Arial" w:cs="Arial" w:eastAsia="Arial" w:hAnsi="Arial"/>
          <w:sz w:val="17"/>
          <w:szCs w:val="17"/>
          <w:color w:val="000000"/>
        </w:rPr>
        <w:t>1350).</w:t>
      </w:r>
    </w:p>
    <w:p>
      <w:pPr>
        <w:ind w:left="1080" w:hanging="459"/>
        <w:spacing w:after="0" w:line="250" w:lineRule="auto"/>
        <w:rPr>
          <w:rFonts w:ascii="Arial" w:cs="Arial" w:eastAsia="Arial" w:hAnsi="Arial"/>
          <w:sz w:val="17"/>
          <w:szCs w:val="17"/>
          <w:color w:val="0000EE"/>
        </w:rPr>
      </w:pPr>
      <w:hyperlink w:anchor="page93">
        <w:r>
          <w:rPr>
            <w:rFonts w:ascii="Arial" w:cs="Arial" w:eastAsia="Arial" w:hAnsi="Arial"/>
            <w:sz w:val="17"/>
            <w:szCs w:val="17"/>
            <w:u w:val="single" w:color="auto"/>
            <w:color w:val="0000EE"/>
          </w:rPr>
          <w:t>31.2</w:t>
        </w:r>
        <w:r>
          <w:rPr>
            <w:rFonts w:ascii="Arial" w:cs="Arial" w:eastAsia="Arial" w:hAnsi="Arial"/>
            <w:sz w:val="17"/>
            <w:szCs w:val="17"/>
            <w:color w:val="0000EE"/>
          </w:rPr>
          <w:t xml:space="preserve"> </w:t>
        </w:r>
      </w:hyperlink>
      <w:r>
        <w:rPr>
          <w:rFonts w:ascii="Arial" w:cs="Arial" w:eastAsia="Arial" w:hAnsi="Arial"/>
          <w:sz w:val="17"/>
          <w:szCs w:val="17"/>
          <w:color w:val="000000"/>
        </w:rPr>
        <w:t>Certificate</w:t>
      </w:r>
      <w:r>
        <w:rPr>
          <w:rFonts w:ascii="Arial" w:cs="Arial" w:eastAsia="Arial" w:hAnsi="Arial"/>
          <w:sz w:val="17"/>
          <w:szCs w:val="17"/>
          <w:color w:val="0000EE"/>
        </w:rPr>
        <w:t xml:space="preserve"> </w:t>
      </w:r>
      <w:r>
        <w:rPr>
          <w:rFonts w:ascii="Arial" w:cs="Arial" w:eastAsia="Arial" w:hAnsi="Arial"/>
          <w:sz w:val="17"/>
          <w:szCs w:val="17"/>
          <w:color w:val="000000"/>
        </w:rPr>
        <w:t>of the Chief Financial Officer of Independent Bank Corporation pursuant to Section 302 of the Sarbanes-Oxley Act of 2002 (18 U.S.C.</w:t>
      </w:r>
      <w:r>
        <w:rPr>
          <w:rFonts w:ascii="Arial" w:cs="Arial" w:eastAsia="Arial" w:hAnsi="Arial"/>
          <w:sz w:val="17"/>
          <w:szCs w:val="17"/>
          <w:color w:val="0000EE"/>
        </w:rPr>
        <w:t xml:space="preserve"> </w:t>
      </w:r>
      <w:r>
        <w:rPr>
          <w:rFonts w:ascii="Arial" w:cs="Arial" w:eastAsia="Arial" w:hAnsi="Arial"/>
          <w:sz w:val="17"/>
          <w:szCs w:val="17"/>
          <w:color w:val="000000"/>
        </w:rPr>
        <w:t>1350).</w:t>
      </w:r>
    </w:p>
    <w:p>
      <w:pPr>
        <w:ind w:left="1080" w:hanging="459"/>
        <w:spacing w:after="0" w:line="250" w:lineRule="auto"/>
        <w:rPr>
          <w:rFonts w:ascii="Arial" w:cs="Arial" w:eastAsia="Arial" w:hAnsi="Arial"/>
          <w:sz w:val="17"/>
          <w:szCs w:val="17"/>
          <w:color w:val="0000EE"/>
        </w:rPr>
      </w:pPr>
      <w:hyperlink w:anchor="page94">
        <w:r>
          <w:rPr>
            <w:rFonts w:ascii="Arial" w:cs="Arial" w:eastAsia="Arial" w:hAnsi="Arial"/>
            <w:sz w:val="17"/>
            <w:szCs w:val="17"/>
            <w:u w:val="single" w:color="auto"/>
            <w:color w:val="0000EE"/>
          </w:rPr>
          <w:t>32.1</w:t>
        </w:r>
        <w:r>
          <w:rPr>
            <w:rFonts w:ascii="Arial" w:cs="Arial" w:eastAsia="Arial" w:hAnsi="Arial"/>
            <w:sz w:val="17"/>
            <w:szCs w:val="17"/>
            <w:color w:val="0000EE"/>
          </w:rPr>
          <w:t xml:space="preserve"> </w:t>
        </w:r>
      </w:hyperlink>
      <w:r>
        <w:rPr>
          <w:rFonts w:ascii="Arial" w:cs="Arial" w:eastAsia="Arial" w:hAnsi="Arial"/>
          <w:sz w:val="17"/>
          <w:szCs w:val="17"/>
          <w:color w:val="000000"/>
        </w:rPr>
        <w:t>Certificate</w:t>
      </w:r>
      <w:r>
        <w:rPr>
          <w:rFonts w:ascii="Arial" w:cs="Arial" w:eastAsia="Arial" w:hAnsi="Arial"/>
          <w:sz w:val="17"/>
          <w:szCs w:val="17"/>
          <w:color w:val="0000EE"/>
        </w:rPr>
        <w:t xml:space="preserve"> </w:t>
      </w:r>
      <w:r>
        <w:rPr>
          <w:rFonts w:ascii="Arial" w:cs="Arial" w:eastAsia="Arial" w:hAnsi="Arial"/>
          <w:sz w:val="17"/>
          <w:szCs w:val="17"/>
          <w:color w:val="000000"/>
        </w:rPr>
        <w:t>of the Chief Executive Officer of Independent Bank Corporation pursuant to Section 906 of the Sarbanes-Oxley Act of 2002 (18 U.S.C.</w:t>
      </w:r>
      <w:r>
        <w:rPr>
          <w:rFonts w:ascii="Arial" w:cs="Arial" w:eastAsia="Arial" w:hAnsi="Arial"/>
          <w:sz w:val="17"/>
          <w:szCs w:val="17"/>
          <w:color w:val="0000EE"/>
        </w:rPr>
        <w:t xml:space="preserve"> </w:t>
      </w:r>
      <w:r>
        <w:rPr>
          <w:rFonts w:ascii="Arial" w:cs="Arial" w:eastAsia="Arial" w:hAnsi="Arial"/>
          <w:sz w:val="17"/>
          <w:szCs w:val="17"/>
          <w:color w:val="000000"/>
        </w:rPr>
        <w:t>1350).</w:t>
      </w:r>
    </w:p>
    <w:p>
      <w:pPr>
        <w:ind w:left="1080" w:hanging="459"/>
        <w:spacing w:after="0" w:line="250" w:lineRule="auto"/>
        <w:rPr>
          <w:rFonts w:ascii="Arial" w:cs="Arial" w:eastAsia="Arial" w:hAnsi="Arial"/>
          <w:sz w:val="17"/>
          <w:szCs w:val="17"/>
          <w:color w:val="0000EE"/>
        </w:rPr>
      </w:pPr>
      <w:hyperlink w:anchor="page95">
        <w:r>
          <w:rPr>
            <w:rFonts w:ascii="Arial" w:cs="Arial" w:eastAsia="Arial" w:hAnsi="Arial"/>
            <w:sz w:val="17"/>
            <w:szCs w:val="17"/>
            <w:u w:val="single" w:color="auto"/>
            <w:color w:val="0000EE"/>
          </w:rPr>
          <w:t>32.2</w:t>
        </w:r>
        <w:r>
          <w:rPr>
            <w:rFonts w:ascii="Arial" w:cs="Arial" w:eastAsia="Arial" w:hAnsi="Arial"/>
            <w:sz w:val="17"/>
            <w:szCs w:val="17"/>
            <w:color w:val="0000EE"/>
          </w:rPr>
          <w:t xml:space="preserve"> </w:t>
        </w:r>
      </w:hyperlink>
      <w:r>
        <w:rPr>
          <w:rFonts w:ascii="Arial" w:cs="Arial" w:eastAsia="Arial" w:hAnsi="Arial"/>
          <w:sz w:val="17"/>
          <w:szCs w:val="17"/>
          <w:color w:val="000000"/>
        </w:rPr>
        <w:t>Certificate</w:t>
      </w:r>
      <w:r>
        <w:rPr>
          <w:rFonts w:ascii="Arial" w:cs="Arial" w:eastAsia="Arial" w:hAnsi="Arial"/>
          <w:sz w:val="17"/>
          <w:szCs w:val="17"/>
          <w:color w:val="0000EE"/>
        </w:rPr>
        <w:t xml:space="preserve"> </w:t>
      </w:r>
      <w:r>
        <w:rPr>
          <w:rFonts w:ascii="Arial" w:cs="Arial" w:eastAsia="Arial" w:hAnsi="Arial"/>
          <w:sz w:val="17"/>
          <w:szCs w:val="17"/>
          <w:color w:val="000000"/>
        </w:rPr>
        <w:t>of the Chief Financial Officer of Independent Bank Corporation pursuant to Section 906 of the Sarbanes-Oxley Act of 2002 (18 U.S.C.</w:t>
      </w:r>
      <w:r>
        <w:rPr>
          <w:rFonts w:ascii="Arial" w:cs="Arial" w:eastAsia="Arial" w:hAnsi="Arial"/>
          <w:sz w:val="17"/>
          <w:szCs w:val="17"/>
          <w:color w:val="0000EE"/>
        </w:rPr>
        <w:t xml:space="preserve"> </w:t>
      </w:r>
      <w:r>
        <w:rPr>
          <w:rFonts w:ascii="Arial" w:cs="Arial" w:eastAsia="Arial" w:hAnsi="Arial"/>
          <w:sz w:val="17"/>
          <w:szCs w:val="17"/>
          <w:color w:val="000000"/>
        </w:rPr>
        <w:t>1350).</w:t>
      </w:r>
    </w:p>
    <w:p>
      <w:pPr>
        <w:ind w:left="620"/>
        <w:spacing w:after="0"/>
        <w:rPr>
          <w:rFonts w:ascii="Arial" w:cs="Arial" w:eastAsia="Arial" w:hAnsi="Arial"/>
          <w:sz w:val="17"/>
          <w:szCs w:val="17"/>
          <w:color w:val="0000EE"/>
        </w:rPr>
      </w:pPr>
      <w:r>
        <w:rPr>
          <w:rFonts w:ascii="Arial" w:cs="Arial" w:eastAsia="Arial" w:hAnsi="Arial"/>
          <w:sz w:val="17"/>
          <w:szCs w:val="17"/>
          <w:color w:val="auto"/>
        </w:rPr>
        <w:t>101.INS Instance Document</w:t>
      </w:r>
    </w:p>
    <w:p>
      <w:pPr>
        <w:spacing w:after="0" w:line="8" w:lineRule="exact"/>
        <w:rPr>
          <w:rFonts w:ascii="Arial" w:cs="Arial" w:eastAsia="Arial" w:hAnsi="Arial"/>
          <w:sz w:val="17"/>
          <w:szCs w:val="17"/>
          <w:color w:val="0000EE"/>
        </w:rPr>
      </w:pPr>
    </w:p>
    <w:p>
      <w:pPr>
        <w:ind w:left="620"/>
        <w:spacing w:after="0"/>
        <w:rPr>
          <w:rFonts w:ascii="Arial" w:cs="Arial" w:eastAsia="Arial" w:hAnsi="Arial"/>
          <w:sz w:val="17"/>
          <w:szCs w:val="17"/>
          <w:color w:val="0000EE"/>
        </w:rPr>
      </w:pPr>
      <w:r>
        <w:rPr>
          <w:rFonts w:ascii="Arial" w:cs="Arial" w:eastAsia="Arial" w:hAnsi="Arial"/>
          <w:sz w:val="17"/>
          <w:szCs w:val="17"/>
          <w:color w:val="auto"/>
        </w:rPr>
        <w:t>101.SCH XBRL Taxonomy Extension Schema Document</w:t>
      </w:r>
    </w:p>
    <w:p>
      <w:pPr>
        <w:spacing w:after="0" w:line="8" w:lineRule="exact"/>
        <w:rPr>
          <w:rFonts w:ascii="Arial" w:cs="Arial" w:eastAsia="Arial" w:hAnsi="Arial"/>
          <w:sz w:val="17"/>
          <w:szCs w:val="17"/>
          <w:color w:val="0000EE"/>
        </w:rPr>
      </w:pPr>
    </w:p>
    <w:p>
      <w:pPr>
        <w:ind w:left="620"/>
        <w:spacing w:after="0"/>
        <w:rPr>
          <w:rFonts w:ascii="Arial" w:cs="Arial" w:eastAsia="Arial" w:hAnsi="Arial"/>
          <w:sz w:val="17"/>
          <w:szCs w:val="17"/>
          <w:color w:val="0000EE"/>
        </w:rPr>
      </w:pPr>
      <w:r>
        <w:rPr>
          <w:rFonts w:ascii="Arial" w:cs="Arial" w:eastAsia="Arial" w:hAnsi="Arial"/>
          <w:sz w:val="17"/>
          <w:szCs w:val="17"/>
          <w:color w:val="auto"/>
        </w:rPr>
        <w:t>101.CAL XBRL Taxonomy Extension Calculation Linkbase Document</w:t>
      </w:r>
    </w:p>
    <w:p>
      <w:pPr>
        <w:spacing w:after="0" w:line="8" w:lineRule="exact"/>
        <w:rPr>
          <w:rFonts w:ascii="Arial" w:cs="Arial" w:eastAsia="Arial" w:hAnsi="Arial"/>
          <w:sz w:val="17"/>
          <w:szCs w:val="17"/>
          <w:color w:val="0000EE"/>
        </w:rPr>
      </w:pPr>
    </w:p>
    <w:p>
      <w:pPr>
        <w:ind w:left="620"/>
        <w:spacing w:after="0"/>
        <w:rPr>
          <w:rFonts w:ascii="Arial" w:cs="Arial" w:eastAsia="Arial" w:hAnsi="Arial"/>
          <w:sz w:val="17"/>
          <w:szCs w:val="17"/>
          <w:color w:val="0000EE"/>
        </w:rPr>
      </w:pPr>
      <w:r>
        <w:rPr>
          <w:rFonts w:ascii="Arial" w:cs="Arial" w:eastAsia="Arial" w:hAnsi="Arial"/>
          <w:sz w:val="17"/>
          <w:szCs w:val="17"/>
          <w:color w:val="auto"/>
        </w:rPr>
        <w:t>101.DEF XBRL Taxonomy Extension Definition Linkbase Document</w:t>
      </w:r>
    </w:p>
    <w:p>
      <w:pPr>
        <w:spacing w:after="0" w:line="8" w:lineRule="exact"/>
        <w:rPr>
          <w:rFonts w:ascii="Arial" w:cs="Arial" w:eastAsia="Arial" w:hAnsi="Arial"/>
          <w:sz w:val="17"/>
          <w:szCs w:val="17"/>
          <w:color w:val="0000EE"/>
        </w:rPr>
      </w:pPr>
    </w:p>
    <w:p>
      <w:pPr>
        <w:ind w:left="620"/>
        <w:spacing w:after="0"/>
        <w:rPr>
          <w:rFonts w:ascii="Arial" w:cs="Arial" w:eastAsia="Arial" w:hAnsi="Arial"/>
          <w:sz w:val="17"/>
          <w:szCs w:val="17"/>
          <w:color w:val="0000EE"/>
        </w:rPr>
      </w:pPr>
      <w:r>
        <w:rPr>
          <w:rFonts w:ascii="Arial" w:cs="Arial" w:eastAsia="Arial" w:hAnsi="Arial"/>
          <w:sz w:val="17"/>
          <w:szCs w:val="17"/>
          <w:color w:val="auto"/>
        </w:rPr>
        <w:t>101.LAB XBRL Taxonomy Extension Label Linkbase Document</w:t>
      </w:r>
    </w:p>
    <w:p>
      <w:pPr>
        <w:spacing w:after="0" w:line="8" w:lineRule="exact"/>
        <w:rPr>
          <w:rFonts w:ascii="Arial" w:cs="Arial" w:eastAsia="Arial" w:hAnsi="Arial"/>
          <w:sz w:val="17"/>
          <w:szCs w:val="17"/>
          <w:color w:val="0000EE"/>
        </w:rPr>
      </w:pPr>
    </w:p>
    <w:p>
      <w:pPr>
        <w:ind w:left="620"/>
        <w:spacing w:after="0"/>
        <w:rPr>
          <w:rFonts w:ascii="Arial" w:cs="Arial" w:eastAsia="Arial" w:hAnsi="Arial"/>
          <w:sz w:val="17"/>
          <w:szCs w:val="17"/>
          <w:color w:val="0000EE"/>
        </w:rPr>
      </w:pPr>
      <w:r>
        <w:rPr>
          <w:rFonts w:ascii="Arial" w:cs="Arial" w:eastAsia="Arial" w:hAnsi="Arial"/>
          <w:sz w:val="17"/>
          <w:szCs w:val="17"/>
          <w:color w:val="auto"/>
        </w:rPr>
        <w:t>101.PRE XBRL Taxonomy Extension Presentation Linkbase Document</w:t>
      </w:r>
    </w:p>
    <w:p>
      <w:pPr>
        <w:spacing w:after="0" w:line="20" w:lineRule="exact"/>
        <w:rPr>
          <w:rFonts w:ascii="Arial" w:cs="Arial" w:eastAsia="Arial" w:hAnsi="Arial"/>
          <w:sz w:val="17"/>
          <w:szCs w:val="17"/>
          <w:color w:val="0000EE"/>
        </w:rPr>
      </w:pPr>
      <w:r>
        <w:rPr>
          <w:rFonts w:ascii="Arial" w:cs="Arial" w:eastAsia="Arial" w:hAnsi="Arial"/>
          <w:sz w:val="17"/>
          <w:szCs w:val="17"/>
          <w:color w:val="0000EE"/>
        </w:rPr>
        <w:drawing>
          <wp:anchor simplePos="0" relativeHeight="251657728" behindDoc="1" locked="0" layoutInCell="0" allowOverlap="1">
            <wp:simplePos x="0" y="0"/>
            <wp:positionH relativeFrom="column">
              <wp:posOffset>1270</wp:posOffset>
            </wp:positionH>
            <wp:positionV relativeFrom="paragraph">
              <wp:posOffset>-1805305</wp:posOffset>
            </wp:positionV>
            <wp:extent cx="7254240" cy="2590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240" cy="25908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-1287780</wp:posOffset>
            </wp:positionV>
            <wp:extent cx="7254240" cy="2590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240" cy="25908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-769620</wp:posOffset>
            </wp:positionV>
            <wp:extent cx="7254240" cy="1295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240" cy="1295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-511175</wp:posOffset>
            </wp:positionV>
            <wp:extent cx="7254240" cy="1295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240" cy="1295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-252095</wp:posOffset>
            </wp:positionV>
            <wp:extent cx="7254240" cy="1295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240" cy="129540"/>
                    </a:xfrm>
                    <a:prstGeom prst="rect">
                      <a:avLst/>
                    </a:prstGeom>
                    <a:noFill/>
                  </pic:spPr>
                </pic:pic>
              </a:graphicData>
            </a:graphic>
          </wp:anchor>
        </w:drawing>
      </w:r>
    </w:p>
    <w:p>
      <w:pPr>
        <w:spacing w:after="0" w:line="353" w:lineRule="exact"/>
        <w:rPr>
          <w:rFonts w:ascii="Arial" w:cs="Arial" w:eastAsia="Arial" w:hAnsi="Arial"/>
          <w:sz w:val="17"/>
          <w:szCs w:val="17"/>
          <w:color w:val="0000EE"/>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rFonts w:ascii="Arial" w:cs="Arial" w:eastAsia="Arial" w:hAnsi="Arial"/>
          <w:sz w:val="17"/>
          <w:szCs w:val="17"/>
          <w:color w:val="0000EE"/>
        </w:rPr>
      </w:pPr>
      <w:r>
        <w:rPr>
          <w:rFonts w:ascii="Arial" w:cs="Arial" w:eastAsia="Arial" w:hAnsi="Arial"/>
          <w:sz w:val="17"/>
          <w:szCs w:val="17"/>
          <w:color w:val="0000EE"/>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254240"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SIGNATURES</w:t>
      </w:r>
    </w:p>
    <w:p>
      <w:pPr>
        <w:spacing w:after="0" w:line="238"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0" w:type="dxa"/>
            <w:vAlign w:val="bottom"/>
          </w:tcPr>
          <w:p>
            <w:pPr>
              <w:spacing w:after="0"/>
              <w:rPr>
                <w:sz w:val="20"/>
                <w:szCs w:val="20"/>
                <w:color w:val="auto"/>
              </w:rPr>
            </w:pPr>
            <w:r>
              <w:rPr>
                <w:rFonts w:ascii="Arial" w:cs="Arial" w:eastAsia="Arial" w:hAnsi="Arial"/>
                <w:sz w:val="17"/>
                <w:szCs w:val="17"/>
                <w:color w:val="auto"/>
                <w:w w:val="88"/>
              </w:rPr>
              <w:t>Date</w:t>
            </w:r>
          </w:p>
        </w:tc>
        <w:tc>
          <w:tcPr>
            <w:tcW w:w="8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w w:val="94"/>
              </w:rPr>
              <w:t>August</w:t>
            </w:r>
          </w:p>
        </w:tc>
        <w:tc>
          <w:tcPr>
            <w:tcW w:w="2020" w:type="dxa"/>
            <w:vAlign w:val="bottom"/>
            <w:tcBorders>
              <w:bottom w:val="single" w:sz="8" w:color="auto"/>
            </w:tcBorders>
          </w:tcPr>
          <w:p>
            <w:pPr>
              <w:jc w:val="right"/>
              <w:ind w:right="1375"/>
              <w:spacing w:after="0"/>
              <w:rPr>
                <w:sz w:val="20"/>
                <w:szCs w:val="20"/>
                <w:color w:val="auto"/>
              </w:rPr>
            </w:pPr>
            <w:r>
              <w:rPr>
                <w:rFonts w:ascii="Arial" w:cs="Arial" w:eastAsia="Arial" w:hAnsi="Arial"/>
                <w:sz w:val="17"/>
                <w:szCs w:val="17"/>
                <w:color w:val="auto"/>
                <w:w w:val="95"/>
              </w:rPr>
              <w:t>4, 2016</w:t>
            </w:r>
          </w:p>
        </w:tc>
        <w:tc>
          <w:tcPr>
            <w:tcW w:w="3760" w:type="dxa"/>
            <w:vAlign w:val="bottom"/>
          </w:tcPr>
          <w:p>
            <w:pPr>
              <w:ind w:left="3440"/>
              <w:spacing w:after="0"/>
              <w:rPr>
                <w:sz w:val="20"/>
                <w:szCs w:val="20"/>
                <w:color w:val="auto"/>
              </w:rPr>
            </w:pPr>
            <w:r>
              <w:rPr>
                <w:rFonts w:ascii="Arial" w:cs="Arial" w:eastAsia="Arial" w:hAnsi="Arial"/>
                <w:sz w:val="17"/>
                <w:szCs w:val="17"/>
                <w:color w:val="auto"/>
              </w:rPr>
              <w:t>By</w:t>
            </w:r>
          </w:p>
        </w:tc>
        <w:tc>
          <w:tcPr>
            <w:tcW w:w="444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/s/ Robert N. Shuster</w:t>
            </w:r>
          </w:p>
        </w:tc>
      </w:tr>
      <w:tr>
        <w:trPr>
          <w:trHeight w:val="215"/>
        </w:trPr>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440" w:type="dxa"/>
            <w:vAlign w:val="bottom"/>
          </w:tcPr>
          <w:p>
            <w:pPr>
              <w:ind w:left="300"/>
              <w:spacing w:after="0"/>
              <w:rPr>
                <w:sz w:val="20"/>
                <w:szCs w:val="20"/>
                <w:color w:val="auto"/>
              </w:rPr>
            </w:pPr>
            <w:r>
              <w:rPr>
                <w:rFonts w:ascii="Arial" w:cs="Arial" w:eastAsia="Arial" w:hAnsi="Arial"/>
                <w:sz w:val="17"/>
                <w:szCs w:val="17"/>
                <w:color w:val="auto"/>
              </w:rPr>
              <w:t>Robert N. Shuster, Principal Financial Officer</w:t>
            </w:r>
          </w:p>
        </w:tc>
      </w:tr>
      <w:tr>
        <w:trPr>
          <w:trHeight w:val="605"/>
        </w:trPr>
        <w:tc>
          <w:tcPr>
            <w:tcW w:w="340" w:type="dxa"/>
            <w:vAlign w:val="bottom"/>
          </w:tcPr>
          <w:p>
            <w:pPr>
              <w:spacing w:after="0"/>
              <w:rPr>
                <w:sz w:val="20"/>
                <w:szCs w:val="20"/>
                <w:color w:val="auto"/>
              </w:rPr>
            </w:pPr>
            <w:r>
              <w:rPr>
                <w:rFonts w:ascii="Arial" w:cs="Arial" w:eastAsia="Arial" w:hAnsi="Arial"/>
                <w:sz w:val="17"/>
                <w:szCs w:val="17"/>
                <w:color w:val="auto"/>
                <w:w w:val="88"/>
              </w:rPr>
              <w:t>Date</w:t>
            </w:r>
          </w:p>
        </w:tc>
        <w:tc>
          <w:tcPr>
            <w:tcW w:w="8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w w:val="94"/>
              </w:rPr>
              <w:t>August</w:t>
            </w:r>
          </w:p>
        </w:tc>
        <w:tc>
          <w:tcPr>
            <w:tcW w:w="2020" w:type="dxa"/>
            <w:vAlign w:val="bottom"/>
            <w:tcBorders>
              <w:bottom w:val="single" w:sz="8" w:color="auto"/>
            </w:tcBorders>
          </w:tcPr>
          <w:p>
            <w:pPr>
              <w:jc w:val="right"/>
              <w:ind w:right="1375"/>
              <w:spacing w:after="0"/>
              <w:rPr>
                <w:sz w:val="20"/>
                <w:szCs w:val="20"/>
                <w:color w:val="auto"/>
              </w:rPr>
            </w:pPr>
            <w:r>
              <w:rPr>
                <w:rFonts w:ascii="Arial" w:cs="Arial" w:eastAsia="Arial" w:hAnsi="Arial"/>
                <w:sz w:val="17"/>
                <w:szCs w:val="17"/>
                <w:color w:val="auto"/>
                <w:w w:val="95"/>
              </w:rPr>
              <w:t>4, 2016</w:t>
            </w:r>
          </w:p>
        </w:tc>
        <w:tc>
          <w:tcPr>
            <w:tcW w:w="3760" w:type="dxa"/>
            <w:vAlign w:val="bottom"/>
          </w:tcPr>
          <w:p>
            <w:pPr>
              <w:ind w:left="3440"/>
              <w:spacing w:after="0"/>
              <w:rPr>
                <w:sz w:val="20"/>
                <w:szCs w:val="20"/>
                <w:color w:val="auto"/>
              </w:rPr>
            </w:pPr>
            <w:r>
              <w:rPr>
                <w:rFonts w:ascii="Arial" w:cs="Arial" w:eastAsia="Arial" w:hAnsi="Arial"/>
                <w:sz w:val="17"/>
                <w:szCs w:val="17"/>
                <w:color w:val="auto"/>
              </w:rPr>
              <w:t>By</w:t>
            </w:r>
          </w:p>
        </w:tc>
        <w:tc>
          <w:tcPr>
            <w:tcW w:w="444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/s/ James J. Twarozynski</w:t>
            </w:r>
          </w:p>
        </w:tc>
      </w:tr>
      <w:tr>
        <w:trPr>
          <w:trHeight w:val="215"/>
        </w:trPr>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440" w:type="dxa"/>
            <w:vAlign w:val="bottom"/>
          </w:tcPr>
          <w:p>
            <w:pPr>
              <w:ind w:left="300"/>
              <w:spacing w:after="0"/>
              <w:rPr>
                <w:sz w:val="20"/>
                <w:szCs w:val="20"/>
                <w:color w:val="auto"/>
              </w:rPr>
            </w:pPr>
            <w:r>
              <w:rPr>
                <w:rFonts w:ascii="Arial" w:cs="Arial" w:eastAsia="Arial" w:hAnsi="Arial"/>
                <w:sz w:val="17"/>
                <w:szCs w:val="17"/>
                <w:color w:val="auto"/>
              </w:rPr>
              <w:t>James J. Twarozynski, Principal Accounting Officer</w:t>
            </w:r>
          </w:p>
        </w:tc>
      </w:tr>
      <w:tr>
        <w:trPr>
          <w:trHeight w:val="602"/>
        </w:trPr>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760" w:type="dxa"/>
            <w:vAlign w:val="bottom"/>
          </w:tcPr>
          <w:p>
            <w:pPr>
              <w:jc w:val="right"/>
              <w:ind w:right="1121"/>
              <w:spacing w:after="0"/>
              <w:rPr>
                <w:sz w:val="20"/>
                <w:szCs w:val="20"/>
                <w:color w:val="auto"/>
              </w:rPr>
            </w:pPr>
            <w:r>
              <w:rPr>
                <w:rFonts w:ascii="Arial" w:cs="Arial" w:eastAsia="Arial" w:hAnsi="Arial"/>
                <w:sz w:val="14"/>
                <w:szCs w:val="14"/>
                <w:color w:val="auto"/>
              </w:rPr>
              <w:t>90</w:t>
            </w:r>
          </w:p>
        </w:tc>
        <w:tc>
          <w:tcPr>
            <w:tcW w:w="4440" w:type="dxa"/>
            <w:vAlign w:val="bottom"/>
          </w:tcPr>
          <w:p>
            <w:pPr>
              <w:spacing w:after="0"/>
              <w:rPr>
                <w:sz w:val="24"/>
                <w:szCs w:val="24"/>
                <w:color w:val="auto"/>
              </w:rPr>
            </w:pPr>
          </w:p>
        </w:tc>
      </w:tr>
      <w:tr>
        <w:trPr>
          <w:trHeight w:val="122"/>
        </w:trPr>
        <w:tc>
          <w:tcPr>
            <w:tcW w:w="3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-36195</wp:posOffset>
            </wp:positionV>
            <wp:extent cx="1270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-36195</wp:posOffset>
            </wp:positionV>
            <wp:extent cx="1270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58685" cy="50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8685" cy="50800"/>
                    </a:xfrm>
                    <a:prstGeom prst="rect">
                      <a:avLst/>
                    </a:prstGeom>
                    <a:noFill/>
                  </pic:spPr>
                </pic:pic>
              </a:graphicData>
            </a:graphic>
          </wp:anchor>
        </w:drawing>
        <w:t>EXHIBIT 31.1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I, William B. Kessel, certify that:</w:t>
      </w:r>
    </w:p>
    <w:p>
      <w:pPr>
        <w:spacing w:after="0" w:line="238" w:lineRule="exact"/>
        <w:rPr>
          <w:sz w:val="20"/>
          <w:szCs w:val="20"/>
          <w:color w:val="auto"/>
        </w:rPr>
      </w:pPr>
    </w:p>
    <w:p>
      <w:pPr>
        <w:ind w:left="620" w:hanging="618"/>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Independent Bank Corporation;</w:t>
      </w:r>
    </w:p>
    <w:p>
      <w:pPr>
        <w:spacing w:after="0" w:line="19" w:lineRule="exact"/>
        <w:rPr>
          <w:rFonts w:ascii="Arial" w:cs="Arial" w:eastAsia="Arial" w:hAnsi="Arial"/>
          <w:sz w:val="17"/>
          <w:szCs w:val="17"/>
          <w:color w:val="auto"/>
        </w:rPr>
      </w:pPr>
    </w:p>
    <w:p>
      <w:pPr>
        <w:jc w:val="both"/>
        <w:ind w:left="620" w:hanging="618"/>
        <w:spacing w:after="0" w:line="250" w:lineRule="auto"/>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ind w:left="620" w:hanging="618"/>
        <w:spacing w:after="0" w:line="265" w:lineRule="auto"/>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jc w:val="both"/>
        <w:ind w:left="620" w:hanging="618"/>
        <w:spacing w:after="0" w:line="250" w:lineRule="auto"/>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jc w:val="both"/>
        <w:ind w:left="1220" w:hanging="607"/>
        <w:spacing w:after="0" w:line="250" w:lineRule="auto"/>
        <w:tabs>
          <w:tab w:leader="none" w:pos="12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jc w:val="both"/>
        <w:ind w:left="1220" w:hanging="607"/>
        <w:spacing w:after="0" w:line="250" w:lineRule="auto"/>
        <w:tabs>
          <w:tab w:leader="none" w:pos="12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20" w:hanging="607"/>
        <w:spacing w:after="0" w:line="265" w:lineRule="auto"/>
        <w:tabs>
          <w:tab w:leader="none" w:pos="12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220" w:hanging="607"/>
        <w:spacing w:after="0" w:line="250" w:lineRule="auto"/>
        <w:tabs>
          <w:tab w:leader="none" w:pos="12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ind w:left="620" w:hanging="618"/>
        <w:spacing w:after="0" w:line="250" w:lineRule="auto"/>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20" w:hanging="607"/>
        <w:spacing w:after="0" w:line="250" w:lineRule="auto"/>
        <w:tabs>
          <w:tab w:leader="none" w:pos="12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20" w:right="80" w:hanging="607"/>
        <w:spacing w:after="0" w:line="260" w:lineRule="auto"/>
        <w:tabs>
          <w:tab w:leader="none" w:pos="12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controls over financial reporting.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7"/>
                <w:szCs w:val="17"/>
                <w:color w:val="auto"/>
              </w:rPr>
              <w:t>INDEPENDENT BANK CORPORATION</w:t>
            </w:r>
          </w:p>
        </w:tc>
      </w:tr>
      <w:tr>
        <w:trPr>
          <w:trHeight w:val="370"/>
        </w:trPr>
        <w:tc>
          <w:tcPr>
            <w:tcW w:w="5720" w:type="dxa"/>
            <w:vAlign w:val="bottom"/>
          </w:tcPr>
          <w:p>
            <w:pPr>
              <w:spacing w:after="0"/>
              <w:rPr>
                <w:sz w:val="20"/>
                <w:szCs w:val="20"/>
                <w:color w:val="auto"/>
              </w:rPr>
            </w:pPr>
            <w:r>
              <w:rPr>
                <w:rFonts w:ascii="Arial" w:cs="Arial" w:eastAsia="Arial" w:hAnsi="Arial"/>
                <w:sz w:val="17"/>
                <w:szCs w:val="17"/>
                <w:color w:val="auto"/>
              </w:rPr>
              <w:t>Date: August 4, 2016</w:t>
            </w:r>
          </w:p>
        </w:tc>
        <w:tc>
          <w:tcPr>
            <w:tcW w:w="5700" w:type="dxa"/>
            <w:vAlign w:val="bottom"/>
            <w:gridSpan w:val="2"/>
          </w:tcPr>
          <w:p>
            <w:pPr>
              <w:spacing w:after="0"/>
              <w:rPr>
                <w:sz w:val="20"/>
                <w:szCs w:val="20"/>
                <w:color w:val="auto"/>
              </w:rPr>
            </w:pPr>
            <w:r>
              <w:rPr>
                <w:rFonts w:ascii="Arial" w:cs="Arial" w:eastAsia="Arial" w:hAnsi="Arial"/>
                <w:sz w:val="17"/>
                <w:szCs w:val="17"/>
                <w:color w:val="auto"/>
              </w:rPr>
              <w:t>/s/ William B. Kessel</w:t>
            </w:r>
          </w:p>
        </w:tc>
      </w:tr>
      <w:tr>
        <w:trPr>
          <w:trHeight w:val="20"/>
        </w:trPr>
        <w:tc>
          <w:tcPr>
            <w:tcW w:w="57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10"/>
        </w:trPr>
        <w:tc>
          <w:tcPr>
            <w:tcW w:w="5720" w:type="dxa"/>
            <w:vAlign w:val="bottom"/>
          </w:tcPr>
          <w:p>
            <w:pPr>
              <w:spacing w:after="0"/>
              <w:rPr>
                <w:sz w:val="18"/>
                <w:szCs w:val="18"/>
                <w:color w:val="auto"/>
              </w:rPr>
            </w:pPr>
          </w:p>
        </w:tc>
        <w:tc>
          <w:tcPr>
            <w:tcW w:w="5700" w:type="dxa"/>
            <w:vAlign w:val="bottom"/>
            <w:gridSpan w:val="2"/>
          </w:tcPr>
          <w:p>
            <w:pPr>
              <w:ind w:left="240"/>
              <w:spacing w:after="0"/>
              <w:rPr>
                <w:sz w:val="20"/>
                <w:szCs w:val="20"/>
                <w:color w:val="auto"/>
              </w:rPr>
            </w:pPr>
            <w:r>
              <w:rPr>
                <w:rFonts w:ascii="Arial" w:cs="Arial" w:eastAsia="Arial" w:hAnsi="Arial"/>
                <w:sz w:val="17"/>
                <w:szCs w:val="17"/>
                <w:color w:val="auto"/>
              </w:rPr>
              <w:t>William B. Kessel</w:t>
            </w:r>
          </w:p>
        </w:tc>
      </w:tr>
      <w:tr>
        <w:trPr>
          <w:trHeight w:val="215"/>
        </w:trPr>
        <w:tc>
          <w:tcPr>
            <w:tcW w:w="5720" w:type="dxa"/>
            <w:vAlign w:val="bottom"/>
          </w:tcPr>
          <w:p>
            <w:pPr>
              <w:spacing w:after="0"/>
              <w:rPr>
                <w:sz w:val="18"/>
                <w:szCs w:val="18"/>
                <w:color w:val="auto"/>
              </w:rPr>
            </w:pPr>
          </w:p>
        </w:tc>
        <w:tc>
          <w:tcPr>
            <w:tcW w:w="5700" w:type="dxa"/>
            <w:vAlign w:val="bottom"/>
            <w:gridSpan w:val="2"/>
          </w:tcPr>
          <w:p>
            <w:pPr>
              <w:ind w:left="240"/>
              <w:spacing w:after="0"/>
              <w:rPr>
                <w:sz w:val="20"/>
                <w:szCs w:val="20"/>
                <w:color w:val="auto"/>
              </w:rPr>
            </w:pPr>
            <w:r>
              <w:rPr>
                <w:rFonts w:ascii="Arial" w:cs="Arial" w:eastAsia="Arial" w:hAnsi="Arial"/>
                <w:sz w:val="17"/>
                <w:szCs w:val="17"/>
                <w:color w:val="auto"/>
              </w:rPr>
              <w:t>President and Chief Executive Officer</w:t>
            </w:r>
          </w:p>
        </w:tc>
      </w:tr>
      <w:tr>
        <w:trPr>
          <w:trHeight w:val="532"/>
        </w:trPr>
        <w:tc>
          <w:tcPr>
            <w:tcW w:w="572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4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-36195</wp:posOffset>
            </wp:positionV>
            <wp:extent cx="1270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-36195</wp:posOffset>
            </wp:positionV>
            <wp:extent cx="1270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ectPr>
          <w:pgSz w:w="11900" w:h="16838" w:orient="portrait"/>
          <w:cols w:equalWidth="0" w:num="1">
            <w:col w:w="11420"/>
          </w:cols>
          <w:pgMar w:left="240" w:top="305"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58685" cy="50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8685" cy="50800"/>
                    </a:xfrm>
                    <a:prstGeom prst="rect">
                      <a:avLst/>
                    </a:prstGeom>
                    <a:noFill/>
                  </pic:spPr>
                </pic:pic>
              </a:graphicData>
            </a:graphic>
          </wp:anchor>
        </w:drawing>
        <w:t>EXHIBIT 31.2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I, Robert N. Shuster, certify that:</w:t>
      </w:r>
    </w:p>
    <w:p>
      <w:pPr>
        <w:spacing w:after="0" w:line="238" w:lineRule="exact"/>
        <w:rPr>
          <w:sz w:val="20"/>
          <w:szCs w:val="20"/>
          <w:color w:val="auto"/>
        </w:rPr>
      </w:pPr>
    </w:p>
    <w:p>
      <w:pPr>
        <w:ind w:left="620" w:hanging="618"/>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Independent Bank Corporation;</w:t>
      </w:r>
    </w:p>
    <w:p>
      <w:pPr>
        <w:spacing w:after="0" w:line="19" w:lineRule="exact"/>
        <w:rPr>
          <w:rFonts w:ascii="Arial" w:cs="Arial" w:eastAsia="Arial" w:hAnsi="Arial"/>
          <w:sz w:val="17"/>
          <w:szCs w:val="17"/>
          <w:color w:val="auto"/>
        </w:rPr>
      </w:pPr>
    </w:p>
    <w:p>
      <w:pPr>
        <w:jc w:val="both"/>
        <w:ind w:left="620" w:hanging="618"/>
        <w:spacing w:after="0" w:line="250"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ind w:left="620" w:hanging="618"/>
        <w:spacing w:after="0" w:line="265" w:lineRule="auto"/>
        <w:tabs>
          <w:tab w:leader="none" w:pos="6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jc w:val="both"/>
        <w:ind w:left="620" w:hanging="618"/>
        <w:spacing w:after="0" w:line="250"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jc w:val="both"/>
        <w:ind w:left="1220" w:hanging="607"/>
        <w:spacing w:after="0" w:line="250" w:lineRule="auto"/>
        <w:tabs>
          <w:tab w:leader="none" w:pos="12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jc w:val="both"/>
        <w:ind w:left="1220" w:hanging="607"/>
        <w:spacing w:after="0" w:line="250" w:lineRule="auto"/>
        <w:tabs>
          <w:tab w:leader="none" w:pos="12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20" w:hanging="607"/>
        <w:spacing w:after="0" w:line="265" w:lineRule="auto"/>
        <w:tabs>
          <w:tab w:leader="none" w:pos="12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220" w:hanging="607"/>
        <w:spacing w:after="0" w:line="250" w:lineRule="auto"/>
        <w:tabs>
          <w:tab w:leader="none" w:pos="12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ind w:left="620" w:hanging="618"/>
        <w:spacing w:after="0" w:line="250"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20" w:hanging="607"/>
        <w:spacing w:after="0" w:line="250" w:lineRule="auto"/>
        <w:tabs>
          <w:tab w:leader="none" w:pos="12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20" w:right="80" w:hanging="607"/>
        <w:spacing w:after="0" w:line="260" w:lineRule="auto"/>
        <w:tabs>
          <w:tab w:leader="none" w:pos="12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controls over financial reporting.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7"/>
                <w:szCs w:val="17"/>
                <w:color w:val="auto"/>
              </w:rPr>
              <w:t>INDEPENDENT BANK CORPORATION</w:t>
            </w:r>
          </w:p>
        </w:tc>
      </w:tr>
      <w:tr>
        <w:trPr>
          <w:trHeight w:val="370"/>
        </w:trPr>
        <w:tc>
          <w:tcPr>
            <w:tcW w:w="5720" w:type="dxa"/>
            <w:vAlign w:val="bottom"/>
          </w:tcPr>
          <w:p>
            <w:pPr>
              <w:spacing w:after="0"/>
              <w:rPr>
                <w:sz w:val="20"/>
                <w:szCs w:val="20"/>
                <w:color w:val="auto"/>
              </w:rPr>
            </w:pPr>
            <w:r>
              <w:rPr>
                <w:rFonts w:ascii="Arial" w:cs="Arial" w:eastAsia="Arial" w:hAnsi="Arial"/>
                <w:sz w:val="17"/>
                <w:szCs w:val="17"/>
                <w:color w:val="auto"/>
              </w:rPr>
              <w:t>Date: August 4, 2016</w:t>
            </w:r>
          </w:p>
        </w:tc>
        <w:tc>
          <w:tcPr>
            <w:tcW w:w="5700" w:type="dxa"/>
            <w:vAlign w:val="bottom"/>
            <w:gridSpan w:val="2"/>
          </w:tcPr>
          <w:p>
            <w:pPr>
              <w:spacing w:after="0"/>
              <w:rPr>
                <w:sz w:val="20"/>
                <w:szCs w:val="20"/>
                <w:color w:val="auto"/>
              </w:rPr>
            </w:pPr>
            <w:r>
              <w:rPr>
                <w:rFonts w:ascii="Arial" w:cs="Arial" w:eastAsia="Arial" w:hAnsi="Arial"/>
                <w:sz w:val="17"/>
                <w:szCs w:val="17"/>
                <w:color w:val="auto"/>
              </w:rPr>
              <w:t>/s/ Robert N. Shuster</w:t>
            </w:r>
          </w:p>
        </w:tc>
      </w:tr>
      <w:tr>
        <w:trPr>
          <w:trHeight w:val="20"/>
        </w:trPr>
        <w:tc>
          <w:tcPr>
            <w:tcW w:w="57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210"/>
        </w:trPr>
        <w:tc>
          <w:tcPr>
            <w:tcW w:w="5720" w:type="dxa"/>
            <w:vAlign w:val="bottom"/>
          </w:tcPr>
          <w:p>
            <w:pPr>
              <w:spacing w:after="0"/>
              <w:rPr>
                <w:sz w:val="18"/>
                <w:szCs w:val="18"/>
                <w:color w:val="auto"/>
              </w:rPr>
            </w:pPr>
          </w:p>
        </w:tc>
        <w:tc>
          <w:tcPr>
            <w:tcW w:w="5700" w:type="dxa"/>
            <w:vAlign w:val="bottom"/>
            <w:gridSpan w:val="2"/>
          </w:tcPr>
          <w:p>
            <w:pPr>
              <w:ind w:left="240"/>
              <w:spacing w:after="0"/>
              <w:rPr>
                <w:sz w:val="20"/>
                <w:szCs w:val="20"/>
                <w:color w:val="auto"/>
              </w:rPr>
            </w:pPr>
            <w:r>
              <w:rPr>
                <w:rFonts w:ascii="Arial" w:cs="Arial" w:eastAsia="Arial" w:hAnsi="Arial"/>
                <w:sz w:val="17"/>
                <w:szCs w:val="17"/>
                <w:color w:val="auto"/>
              </w:rPr>
              <w:t>Robert N. Shuster</w:t>
            </w:r>
          </w:p>
        </w:tc>
      </w:tr>
      <w:tr>
        <w:trPr>
          <w:trHeight w:val="215"/>
        </w:trPr>
        <w:tc>
          <w:tcPr>
            <w:tcW w:w="5720" w:type="dxa"/>
            <w:vAlign w:val="bottom"/>
          </w:tcPr>
          <w:p>
            <w:pPr>
              <w:spacing w:after="0"/>
              <w:rPr>
                <w:sz w:val="18"/>
                <w:szCs w:val="18"/>
                <w:color w:val="auto"/>
              </w:rPr>
            </w:pPr>
          </w:p>
        </w:tc>
        <w:tc>
          <w:tcPr>
            <w:tcW w:w="5700" w:type="dxa"/>
            <w:vAlign w:val="bottom"/>
            <w:gridSpan w:val="2"/>
          </w:tcPr>
          <w:p>
            <w:pPr>
              <w:ind w:left="240"/>
              <w:spacing w:after="0"/>
              <w:rPr>
                <w:sz w:val="20"/>
                <w:szCs w:val="20"/>
                <w:color w:val="auto"/>
              </w:rPr>
            </w:pPr>
            <w:r>
              <w:rPr>
                <w:rFonts w:ascii="Arial" w:cs="Arial" w:eastAsia="Arial" w:hAnsi="Arial"/>
                <w:sz w:val="17"/>
                <w:szCs w:val="17"/>
                <w:color w:val="auto"/>
              </w:rPr>
              <w:t>Chief Financial Officer</w:t>
            </w:r>
          </w:p>
        </w:tc>
      </w:tr>
      <w:tr>
        <w:trPr>
          <w:trHeight w:val="596"/>
        </w:trPr>
        <w:tc>
          <w:tcPr>
            <w:tcW w:w="572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4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-36195</wp:posOffset>
            </wp:positionV>
            <wp:extent cx="1270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-36195</wp:posOffset>
            </wp:positionV>
            <wp:extent cx="1270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36830"/>
                    </a:xfrm>
                    <a:prstGeom prst="rect">
                      <a:avLst/>
                    </a:prstGeom>
                    <a:noFill/>
                  </pic:spPr>
                </pic:pic>
              </a:graphicData>
            </a:graphic>
          </wp:anchor>
        </w:drawing>
      </w:r>
    </w:p>
    <w:p>
      <w:pPr>
        <w:sectPr>
          <w:pgSz w:w="11900" w:h="16838" w:orient="portrait"/>
          <w:cols w:equalWidth="0" w:num="1">
            <w:col w:w="11420"/>
          </w:cols>
          <w:pgMar w:left="240" w:top="305"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58685" cy="508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8685" cy="50800"/>
                    </a:xfrm>
                    <a:prstGeom prst="rect">
                      <a:avLst/>
                    </a:prstGeom>
                    <a:noFill/>
                  </pic:spPr>
                </pic:pic>
              </a:graphicData>
            </a:graphic>
          </wp:anchor>
        </w:drawing>
        <w:t>EXHIBIT 32.1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CERTIFICATE OF THE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CHIEF EXECUTIVE OFFICER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INDEPENDENT BANK CORPORATION</w:t>
      </w:r>
    </w:p>
    <w:p>
      <w:pPr>
        <w:spacing w:after="0" w:line="22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Pursuant to Section 906 of the Sarbanes-Oxley Act of 2002 (18 U.S.C. 1350):</w:t>
      </w:r>
    </w:p>
    <w:p>
      <w:pPr>
        <w:spacing w:after="0" w:line="23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 William B. Kessel, President and Chief Executive Officer of Independent Bank Corporation, certify, to the best of my knowledge and belief, pursuant to</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Section 906 of the Sarbanes-Oxley Act of 2002 (18 U.S.C. 1350) that:</w:t>
      </w:r>
    </w:p>
    <w:p>
      <w:pPr>
        <w:spacing w:after="0" w:line="226" w:lineRule="exact"/>
        <w:rPr>
          <w:sz w:val="20"/>
          <w:szCs w:val="20"/>
          <w:color w:val="auto"/>
        </w:rPr>
      </w:pPr>
    </w:p>
    <w:p>
      <w:pPr>
        <w:ind w:firstLine="613"/>
        <w:spacing w:after="0" w:line="274" w:lineRule="auto"/>
        <w:tabs>
          <w:tab w:leader="none" w:pos="1132"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quarterly report on Form 10-Q for the quarterly period ended June 30, 2016, which this statement accompanies, fully complies with requirements of Section 13(a) or 15(d) of the Securities Exchange Act of 1934 and;</w:t>
      </w:r>
    </w:p>
    <w:p>
      <w:pPr>
        <w:spacing w:after="0" w:line="190" w:lineRule="exact"/>
        <w:rPr>
          <w:rFonts w:ascii="Arial" w:cs="Arial" w:eastAsia="Arial" w:hAnsi="Arial"/>
          <w:sz w:val="17"/>
          <w:szCs w:val="17"/>
          <w:color w:val="auto"/>
        </w:rPr>
      </w:pPr>
    </w:p>
    <w:p>
      <w:pPr>
        <w:ind w:firstLine="613"/>
        <w:spacing w:after="0" w:line="274" w:lineRule="auto"/>
        <w:tabs>
          <w:tab w:leader="none" w:pos="1178"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10-Q for the quarterly period ended June 30, 2016, fairly presents, in all material respects, the financial condition and results of operations of Independent Bank Corporation.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7"/>
                <w:szCs w:val="17"/>
                <w:color w:val="auto"/>
                <w:w w:val="95"/>
              </w:rPr>
              <w:t>INDEPENDENT BANK CORPORATION</w:t>
            </w:r>
          </w:p>
        </w:tc>
      </w:tr>
      <w:tr>
        <w:trPr>
          <w:trHeight w:val="370"/>
        </w:trPr>
        <w:tc>
          <w:tcPr>
            <w:tcW w:w="5720" w:type="dxa"/>
            <w:vAlign w:val="bottom"/>
          </w:tcPr>
          <w:p>
            <w:pPr>
              <w:spacing w:after="0"/>
              <w:rPr>
                <w:sz w:val="20"/>
                <w:szCs w:val="20"/>
                <w:color w:val="auto"/>
              </w:rPr>
            </w:pPr>
            <w:r>
              <w:rPr>
                <w:rFonts w:ascii="Arial" w:cs="Arial" w:eastAsia="Arial" w:hAnsi="Arial"/>
                <w:sz w:val="17"/>
                <w:szCs w:val="17"/>
                <w:color w:val="auto"/>
              </w:rPr>
              <w:t>Date: August 4, 2016</w:t>
            </w:r>
          </w:p>
        </w:tc>
        <w:tc>
          <w:tcPr>
            <w:tcW w:w="2940" w:type="dxa"/>
            <w:vAlign w:val="bottom"/>
            <w:gridSpan w:val="2"/>
          </w:tcPr>
          <w:p>
            <w:pPr>
              <w:spacing w:after="0"/>
              <w:rPr>
                <w:sz w:val="20"/>
                <w:szCs w:val="20"/>
                <w:color w:val="auto"/>
              </w:rPr>
            </w:pPr>
            <w:r>
              <w:rPr>
                <w:rFonts w:ascii="Arial" w:cs="Arial" w:eastAsia="Arial" w:hAnsi="Arial"/>
                <w:sz w:val="17"/>
                <w:szCs w:val="17"/>
                <w:color w:val="auto"/>
              </w:rPr>
              <w:t>/s/ William B. Kessel</w:t>
            </w:r>
          </w:p>
        </w:tc>
      </w:tr>
      <w:tr>
        <w:trPr>
          <w:trHeight w:val="20"/>
        </w:trPr>
        <w:tc>
          <w:tcPr>
            <w:tcW w:w="57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0"/>
        </w:trPr>
        <w:tc>
          <w:tcPr>
            <w:tcW w:w="5720" w:type="dxa"/>
            <w:vAlign w:val="bottom"/>
          </w:tcPr>
          <w:p>
            <w:pPr>
              <w:spacing w:after="0"/>
              <w:rPr>
                <w:sz w:val="18"/>
                <w:szCs w:val="18"/>
                <w:color w:val="auto"/>
              </w:rPr>
            </w:pPr>
          </w:p>
        </w:tc>
        <w:tc>
          <w:tcPr>
            <w:tcW w:w="2940" w:type="dxa"/>
            <w:vAlign w:val="bottom"/>
            <w:gridSpan w:val="2"/>
          </w:tcPr>
          <w:p>
            <w:pPr>
              <w:ind w:left="240"/>
              <w:spacing w:after="0"/>
              <w:rPr>
                <w:sz w:val="20"/>
                <w:szCs w:val="20"/>
                <w:color w:val="auto"/>
              </w:rPr>
            </w:pPr>
            <w:r>
              <w:rPr>
                <w:rFonts w:ascii="Arial" w:cs="Arial" w:eastAsia="Arial" w:hAnsi="Arial"/>
                <w:sz w:val="17"/>
                <w:szCs w:val="17"/>
                <w:color w:val="auto"/>
              </w:rPr>
              <w:t>William B. Kessel</w:t>
            </w:r>
          </w:p>
        </w:tc>
      </w:tr>
      <w:tr>
        <w:trPr>
          <w:trHeight w:val="215"/>
        </w:trPr>
        <w:tc>
          <w:tcPr>
            <w:tcW w:w="5720" w:type="dxa"/>
            <w:vAlign w:val="bottom"/>
          </w:tcPr>
          <w:p>
            <w:pPr>
              <w:spacing w:after="0"/>
              <w:rPr>
                <w:sz w:val="18"/>
                <w:szCs w:val="18"/>
                <w:color w:val="auto"/>
              </w:rPr>
            </w:pPr>
          </w:p>
        </w:tc>
        <w:tc>
          <w:tcPr>
            <w:tcW w:w="2940" w:type="dxa"/>
            <w:vAlign w:val="bottom"/>
            <w:gridSpan w:val="2"/>
          </w:tcPr>
          <w:p>
            <w:pPr>
              <w:ind w:left="240"/>
              <w:spacing w:after="0"/>
              <w:rPr>
                <w:sz w:val="20"/>
                <w:szCs w:val="20"/>
                <w:color w:val="auto"/>
              </w:rPr>
            </w:pPr>
            <w:r>
              <w:rPr>
                <w:rFonts w:ascii="Arial" w:cs="Arial" w:eastAsia="Arial" w:hAnsi="Arial"/>
                <w:sz w:val="17"/>
                <w:szCs w:val="17"/>
                <w:color w:val="auto"/>
                <w:w w:val="94"/>
              </w:rPr>
              <w:t>President and Chief Executive Officer</w:t>
            </w:r>
          </w:p>
        </w:tc>
      </w:tr>
    </w:tbl>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332105</wp:posOffset>
            </wp:positionV>
            <wp:extent cx="7258685"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8685" cy="36830"/>
                    </a:xfrm>
                    <a:prstGeom prst="rect">
                      <a:avLst/>
                    </a:prstGeom>
                    <a:noFill/>
                  </pic:spPr>
                </pic:pic>
              </a:graphicData>
            </a:graphic>
          </wp:anchor>
        </w:drawing>
      </w:r>
    </w:p>
    <w:p>
      <w:pPr>
        <w:sectPr>
          <w:pgSz w:w="11900" w:h="16838" w:orient="portrait"/>
          <w:cols w:equalWidth="0" w:num="1">
            <w:col w:w="11420"/>
          </w:cols>
          <w:pgMar w:left="240" w:top="305"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58685" cy="50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8685" cy="50800"/>
                    </a:xfrm>
                    <a:prstGeom prst="rect">
                      <a:avLst/>
                    </a:prstGeom>
                    <a:noFill/>
                  </pic:spPr>
                </pic:pic>
              </a:graphicData>
            </a:graphic>
          </wp:anchor>
        </w:drawing>
        <w:t>EXHIBIT 32.2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CERTIFICATE OF THE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CHIEF FINANCIAL OFFICER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INDEPENDENT BANK CORPORATION</w:t>
      </w:r>
    </w:p>
    <w:p>
      <w:pPr>
        <w:spacing w:after="0" w:line="22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Pursuant to Section 906 of the Sarbanes-Oxley Act of 2002 (18 U.S.C. 1350):</w:t>
      </w:r>
    </w:p>
    <w:p>
      <w:pPr>
        <w:spacing w:after="0" w:line="23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 Robert N. Shuster, Chief Financial Officer of Independent Bank Corporation, certify, to the best of my knowledge and belief, pursuant to Section 906 of the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Sarbanes-Oxley Act of 2002 (18 U.S.C. 1350) that:</w:t>
      </w:r>
    </w:p>
    <w:p>
      <w:pPr>
        <w:spacing w:after="0" w:line="252" w:lineRule="exact"/>
        <w:rPr>
          <w:sz w:val="20"/>
          <w:szCs w:val="20"/>
          <w:color w:val="auto"/>
        </w:rPr>
      </w:pPr>
    </w:p>
    <w:p>
      <w:pPr>
        <w:ind w:firstLine="613"/>
        <w:spacing w:after="0" w:line="274" w:lineRule="auto"/>
        <w:tabs>
          <w:tab w:leader="none" w:pos="1599"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quarterly report on Form 10-Q for the quarterly period ended June 30, 2016, which this statement accompanies, fully complies with requirements of Section 13(a) or 15(d) of the Securities Exchange Act of 1934 and;</w:t>
      </w:r>
    </w:p>
    <w:p>
      <w:pPr>
        <w:spacing w:after="0" w:line="215" w:lineRule="exact"/>
        <w:rPr>
          <w:rFonts w:ascii="Arial" w:cs="Arial" w:eastAsia="Arial" w:hAnsi="Arial"/>
          <w:sz w:val="17"/>
          <w:szCs w:val="17"/>
          <w:color w:val="auto"/>
        </w:rPr>
      </w:pPr>
    </w:p>
    <w:p>
      <w:pPr>
        <w:ind w:firstLine="613"/>
        <w:spacing w:after="0" w:line="274" w:lineRule="auto"/>
        <w:tabs>
          <w:tab w:leader="none" w:pos="1497"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10-Q for the quarterly period ended June 30, 2016, fairly presents, in all material respects, the financial condition and results of operations of Independent Bank Corporation.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7"/>
                <w:szCs w:val="17"/>
                <w:color w:val="auto"/>
                <w:w w:val="95"/>
              </w:rPr>
              <w:t>INDEPENDENT BANK CORPORATION</w:t>
            </w:r>
          </w:p>
        </w:tc>
      </w:tr>
      <w:tr>
        <w:trPr>
          <w:trHeight w:val="370"/>
        </w:trPr>
        <w:tc>
          <w:tcPr>
            <w:tcW w:w="5720" w:type="dxa"/>
            <w:vAlign w:val="bottom"/>
          </w:tcPr>
          <w:p>
            <w:pPr>
              <w:spacing w:after="0"/>
              <w:rPr>
                <w:sz w:val="20"/>
                <w:szCs w:val="20"/>
                <w:color w:val="auto"/>
              </w:rPr>
            </w:pPr>
            <w:r>
              <w:rPr>
                <w:rFonts w:ascii="Arial" w:cs="Arial" w:eastAsia="Arial" w:hAnsi="Arial"/>
                <w:sz w:val="17"/>
                <w:szCs w:val="17"/>
                <w:color w:val="auto"/>
              </w:rPr>
              <w:t>Date: August 4, 2016</w:t>
            </w:r>
          </w:p>
        </w:tc>
        <w:tc>
          <w:tcPr>
            <w:tcW w:w="2940" w:type="dxa"/>
            <w:vAlign w:val="bottom"/>
            <w:gridSpan w:val="2"/>
          </w:tcPr>
          <w:p>
            <w:pPr>
              <w:spacing w:after="0"/>
              <w:rPr>
                <w:sz w:val="20"/>
                <w:szCs w:val="20"/>
                <w:color w:val="auto"/>
              </w:rPr>
            </w:pPr>
            <w:r>
              <w:rPr>
                <w:rFonts w:ascii="Arial" w:cs="Arial" w:eastAsia="Arial" w:hAnsi="Arial"/>
                <w:sz w:val="17"/>
                <w:szCs w:val="17"/>
                <w:color w:val="auto"/>
              </w:rPr>
              <w:t>/s/ Robert N. Shuster</w:t>
            </w:r>
          </w:p>
        </w:tc>
      </w:tr>
      <w:tr>
        <w:trPr>
          <w:trHeight w:val="20"/>
        </w:trPr>
        <w:tc>
          <w:tcPr>
            <w:tcW w:w="57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0"/>
        </w:trPr>
        <w:tc>
          <w:tcPr>
            <w:tcW w:w="5720" w:type="dxa"/>
            <w:vAlign w:val="bottom"/>
          </w:tcPr>
          <w:p>
            <w:pPr>
              <w:spacing w:after="0"/>
              <w:rPr>
                <w:sz w:val="18"/>
                <w:szCs w:val="18"/>
                <w:color w:val="auto"/>
              </w:rPr>
            </w:pPr>
          </w:p>
        </w:tc>
        <w:tc>
          <w:tcPr>
            <w:tcW w:w="2940" w:type="dxa"/>
            <w:vAlign w:val="bottom"/>
            <w:gridSpan w:val="2"/>
          </w:tcPr>
          <w:p>
            <w:pPr>
              <w:ind w:left="240"/>
              <w:spacing w:after="0"/>
              <w:rPr>
                <w:sz w:val="20"/>
                <w:szCs w:val="20"/>
                <w:color w:val="auto"/>
              </w:rPr>
            </w:pPr>
            <w:r>
              <w:rPr>
                <w:rFonts w:ascii="Arial" w:cs="Arial" w:eastAsia="Arial" w:hAnsi="Arial"/>
                <w:sz w:val="17"/>
                <w:szCs w:val="17"/>
                <w:color w:val="auto"/>
              </w:rPr>
              <w:t>Robert N. Shuster</w:t>
            </w:r>
          </w:p>
        </w:tc>
      </w:tr>
      <w:tr>
        <w:trPr>
          <w:trHeight w:val="215"/>
        </w:trPr>
        <w:tc>
          <w:tcPr>
            <w:tcW w:w="5720" w:type="dxa"/>
            <w:vAlign w:val="bottom"/>
          </w:tcPr>
          <w:p>
            <w:pPr>
              <w:spacing w:after="0"/>
              <w:rPr>
                <w:sz w:val="18"/>
                <w:szCs w:val="18"/>
                <w:color w:val="auto"/>
              </w:rPr>
            </w:pPr>
          </w:p>
        </w:tc>
        <w:tc>
          <w:tcPr>
            <w:tcW w:w="2940" w:type="dxa"/>
            <w:vAlign w:val="bottom"/>
            <w:gridSpan w:val="2"/>
          </w:tcPr>
          <w:p>
            <w:pPr>
              <w:ind w:left="240"/>
              <w:spacing w:after="0"/>
              <w:rPr>
                <w:sz w:val="20"/>
                <w:szCs w:val="20"/>
                <w:color w:val="auto"/>
              </w:rPr>
            </w:pPr>
            <w:r>
              <w:rPr>
                <w:rFonts w:ascii="Arial" w:cs="Arial" w:eastAsia="Arial" w:hAnsi="Arial"/>
                <w:sz w:val="17"/>
                <w:szCs w:val="17"/>
                <w:color w:val="auto"/>
              </w:rPr>
              <w:t>Chief Financial Officer</w:t>
            </w:r>
          </w:p>
        </w:tc>
      </w:tr>
    </w:tbl>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332105</wp:posOffset>
            </wp:positionV>
            <wp:extent cx="7258685"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8685" cy="36830"/>
                    </a:xfrm>
                    <a:prstGeom prst="rect">
                      <a:avLst/>
                    </a:prstGeom>
                    <a:noFill/>
                  </pic:spPr>
                </pic:pic>
              </a:graphicData>
            </a:graphic>
          </wp:anchor>
        </w:drawing>
      </w:r>
    </w:p>
    <w:sectPr>
      <w:pgSz w:w="11900" w:h="16838" w:orient="portrait"/>
      <w:cols w:equalWidth="0" w:num="1">
        <w:col w:w="11420"/>
      </w:cols>
      <w:pgMar w:left="240" w:top="30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lvl w:ilvl="1">
      <w:lvlJc w:val="left"/>
      <w:lvlText w:val="•"/>
      <w:numFmt w:val="bullet"/>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decimal"/>
      <w:start w:val="2"/>
    </w:lvl>
  </w:abstractNum>
  <w:abstractNum w:abstractNumId="3">
    <w:nsid w:val="6B68079A"/>
    <w:multiLevelType w:val="hybridMultilevel"/>
    <w:lvl w:ilvl="0">
      <w:lvlJc w:val="left"/>
      <w:lvlText w:val="%1."/>
      <w:numFmt w:val="decimal"/>
      <w:start w:val="4"/>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5"/>
    </w:lvl>
  </w:abstractNum>
  <w:abstractNum w:abstractNumId="6">
    <w:nsid w:val="519B500D"/>
    <w:multiLevelType w:val="hybridMultilevel"/>
    <w:lvl w:ilvl="0">
      <w:lvlJc w:val="left"/>
      <w:lvlText w:val="%1."/>
      <w:numFmt w:val="decimal"/>
      <w:start w:val="6"/>
    </w:lvl>
  </w:abstractNum>
  <w:abstractNum w:abstractNumId="7">
    <w:nsid w:val="431BD7B7"/>
    <w:multiLevelType w:val="hybridMultilevel"/>
    <w:lvl w:ilvl="0">
      <w:lvlJc w:val="left"/>
      <w:lvlText w:val="%1."/>
      <w:numFmt w:val="decimal"/>
      <w:start w:val="7"/>
    </w:lvl>
  </w:abstractNum>
  <w:abstractNum w:abstractNumId="8">
    <w:nsid w:val="3F2DBA31"/>
    <w:multiLevelType w:val="hybridMultilevel"/>
    <w:lvl w:ilvl="0">
      <w:lvlJc w:val="left"/>
      <w:lvlText w:val="%1."/>
      <w:numFmt w:val="decimal"/>
      <w:start w:val="9"/>
    </w:lvl>
  </w:abstractNum>
  <w:abstractNum w:abstractNumId="9">
    <w:nsid w:val="7C83E458"/>
    <w:multiLevelType w:val="hybridMultilevel"/>
    <w:lvl w:ilvl="0">
      <w:lvlJc w:val="left"/>
      <w:lvlText w:val="%1."/>
      <w:numFmt w:val="decimal"/>
      <w:start w:val="10"/>
    </w:lvl>
  </w:abstractNum>
  <w:abstractNum w:abstractNumId="10">
    <w:nsid w:val="257130A3"/>
    <w:multiLevelType w:val="hybridMultilevel"/>
    <w:lvl w:ilvl="0">
      <w:lvlJc w:val="left"/>
      <w:lvlText w:val="%1."/>
      <w:numFmt w:val="decimal"/>
      <w:start w:val="11"/>
    </w:lvl>
  </w:abstractNum>
  <w:abstractNum w:abstractNumId="11">
    <w:nsid w:val="62BBD95A"/>
    <w:multiLevelType w:val="hybridMultilevel"/>
    <w:lvl w:ilvl="0">
      <w:lvlJc w:val="left"/>
      <w:lvlText w:val="%1."/>
      <w:numFmt w:val="decimal"/>
      <w:start w:val="3"/>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3"/>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4"/>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2020-01-21T00:10:28Z</dcterms:created>
  <dcterms:modified xsi:type="dcterms:W3CDTF">2020-01-21T00:10:28Z</dcterms:modified>
</cp:coreProperties>
</file>