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58"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June 30, 2020</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1141095</wp:posOffset>
            </wp:positionH>
            <wp:positionV relativeFrom="paragraph">
              <wp:posOffset>-10160</wp:posOffset>
            </wp:positionV>
            <wp:extent cx="408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Pr>
          <w:p>
            <w:pPr>
              <w:jc w:val="center"/>
              <w:spacing w:after="0"/>
              <w:rPr>
                <w:sz w:val="20"/>
                <w:szCs w:val="20"/>
                <w:color w:val="auto"/>
              </w:rPr>
            </w:pPr>
            <w:r>
              <w:rPr>
                <w:rFonts w:ascii="Arial" w:cs="Arial" w:eastAsia="Arial" w:hAnsi="Arial"/>
                <w:sz w:val="18"/>
                <w:szCs w:val="18"/>
                <w:color w:val="auto"/>
                <w:w w:val="94"/>
              </w:rPr>
              <w:t>Michigan</w:t>
            </w:r>
          </w:p>
        </w:tc>
        <w:tc>
          <w:tcPr>
            <w:tcW w:w="5720" w:type="dxa"/>
            <w:vAlign w:val="bottom"/>
            <w:gridSpan w:val="2"/>
          </w:tcPr>
          <w:p>
            <w:pPr>
              <w:jc w:val="right"/>
              <w:ind w:right="2230"/>
              <w:spacing w:after="0"/>
              <w:rPr>
                <w:sz w:val="20"/>
                <w:szCs w:val="20"/>
                <w:color w:val="auto"/>
              </w:rPr>
            </w:pPr>
            <w:r>
              <w:rPr>
                <w:rFonts w:ascii="Arial" w:cs="Arial" w:eastAsia="Arial" w:hAnsi="Arial"/>
                <w:sz w:val="18"/>
                <w:szCs w:val="18"/>
                <w:color w:val="auto"/>
              </w:rPr>
              <w:t>38-2032782</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214"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(616) 527-5820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66"/>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2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12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which registered</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no par value</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IBCP</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54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smaller reporting company or an emerging growth company.</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common stock, no par value, 21,880,738 as of August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80" w:type="dxa"/>
            <w:vAlign w:val="bottom"/>
            <w:gridSpan w:val="12"/>
          </w:tcPr>
          <w:p>
            <w:pPr>
              <w:jc w:val="center"/>
              <w:ind w:right="1840"/>
              <w:spacing w:after="0"/>
              <w:rPr>
                <w:sz w:val="20"/>
                <w:szCs w:val="20"/>
                <w:color w:val="auto"/>
              </w:rPr>
            </w:pPr>
            <w:r>
              <w:rPr>
                <w:rFonts w:ascii="Arial" w:cs="Arial" w:eastAsia="Arial" w:hAnsi="Arial"/>
                <w:sz w:val="18"/>
                <w:szCs w:val="18"/>
                <w:color w:val="auto"/>
                <w:w w:val="96"/>
              </w:rPr>
              <w:t>INDEPENDENT BANK CORPORATION AND SUBSIDIARIES</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40" w:type="dxa"/>
            <w:vAlign w:val="bottom"/>
            <w:gridSpan w:val="11"/>
          </w:tcPr>
          <w:p>
            <w:pPr>
              <w:jc w:val="center"/>
              <w:ind w:right="4280"/>
              <w:spacing w:after="0"/>
              <w:rPr>
                <w:sz w:val="20"/>
                <w:szCs w:val="20"/>
                <w:color w:val="auto"/>
              </w:rPr>
            </w:pPr>
            <w:r>
              <w:rPr>
                <w:rFonts w:ascii="Arial" w:cs="Arial" w:eastAsia="Arial" w:hAnsi="Arial"/>
                <w:sz w:val="18"/>
                <w:szCs w:val="18"/>
                <w:color w:val="auto"/>
              </w:rPr>
              <w:t>INDEX</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vMerge w:val="restart"/>
          </w:tcPr>
          <w:p>
            <w:pPr>
              <w:spacing w:after="0"/>
              <w:rPr>
                <w:sz w:val="20"/>
                <w:szCs w:val="20"/>
                <w:color w:val="auto"/>
              </w:rPr>
            </w:pPr>
            <w:r>
              <w:rPr>
                <w:rFonts w:ascii="Arial" w:cs="Arial" w:eastAsia="Arial" w:hAnsi="Arial"/>
                <w:sz w:val="18"/>
                <w:szCs w:val="18"/>
                <w:color w:val="auto"/>
              </w:rPr>
              <w:t>PART I -</w:t>
            </w:r>
          </w:p>
        </w:tc>
        <w:tc>
          <w:tcPr>
            <w:tcW w:w="4420" w:type="dxa"/>
            <w:vAlign w:val="bottom"/>
            <w:gridSpan w:val="9"/>
            <w:vMerge w:val="restart"/>
          </w:tcPr>
          <w:p>
            <w:pPr>
              <w:ind w:left="200"/>
              <w:spacing w:after="0"/>
              <w:rPr>
                <w:sz w:val="20"/>
                <w:szCs w:val="20"/>
                <w:color w:val="auto"/>
              </w:rPr>
            </w:pPr>
            <w:r>
              <w:rPr>
                <w:rFonts w:ascii="Arial" w:cs="Arial" w:eastAsia="Arial" w:hAnsi="Arial"/>
                <w:sz w:val="18"/>
                <w:szCs w:val="18"/>
                <w:color w:val="auto"/>
              </w:rPr>
              <w:t>Financial Information</w:t>
            </w:r>
          </w:p>
        </w:tc>
        <w:tc>
          <w:tcPr>
            <w:tcW w:w="560" w:type="dxa"/>
            <w:vAlign w:val="bottom"/>
            <w:tcBorders>
              <w:top w:val="single" w:sz="8" w:color="auto"/>
            </w:tcBorders>
            <w:gridSpan w:val="4"/>
            <w:vMerge w:val="restart"/>
          </w:tcPr>
          <w:p>
            <w:pPr>
              <w:spacing w:after="0"/>
              <w:rPr>
                <w:sz w:val="24"/>
                <w:szCs w:val="24"/>
                <w:color w:val="auto"/>
              </w:rPr>
            </w:pPr>
          </w:p>
        </w:tc>
        <w:tc>
          <w:tcPr>
            <w:tcW w:w="4280" w:type="dxa"/>
            <w:vAlign w:val="bottom"/>
            <w:gridSpan w:val="7"/>
            <w:vMerge w:val="restart"/>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Number(s)</w:t>
            </w: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4420" w:type="dxa"/>
            <w:vAlign w:val="bottom"/>
            <w:gridSpan w:val="9"/>
            <w:vMerge w:val="continue"/>
          </w:tcPr>
          <w:p>
            <w:pPr>
              <w:spacing w:after="0"/>
              <w:rPr>
                <w:sz w:val="17"/>
                <w:szCs w:val="17"/>
                <w:color w:val="auto"/>
              </w:rPr>
            </w:pPr>
          </w:p>
        </w:tc>
        <w:tc>
          <w:tcPr>
            <w:tcW w:w="560" w:type="dxa"/>
            <w:vAlign w:val="bottom"/>
            <w:tcBorders>
              <w:top w:val="single" w:sz="8" w:color="auto"/>
            </w:tcBorders>
            <w:gridSpan w:val="4"/>
            <w:vMerge w:val="continue"/>
          </w:tcPr>
          <w:p>
            <w:pPr>
              <w:spacing w:after="0"/>
              <w:rPr>
                <w:sz w:val="17"/>
                <w:szCs w:val="17"/>
                <w:color w:val="auto"/>
              </w:rPr>
            </w:pPr>
          </w:p>
        </w:tc>
        <w:tc>
          <w:tcPr>
            <w:tcW w:w="4280" w:type="dxa"/>
            <w:vAlign w:val="bottom"/>
            <w:gridSpan w:val="7"/>
            <w:vMerge w:val="continue"/>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200" w:type="dxa"/>
            <w:vAlign w:val="bottom"/>
            <w:shd w:val="clear" w:color="auto" w:fill="CCEEFF"/>
          </w:tcPr>
          <w:p>
            <w:pPr>
              <w:spacing w:after="0"/>
              <w:rPr>
                <w:sz w:val="15"/>
                <w:szCs w:val="15"/>
                <w:color w:val="auto"/>
              </w:rPr>
            </w:pPr>
          </w:p>
        </w:tc>
        <w:tc>
          <w:tcPr>
            <w:tcW w:w="906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Financial Condition June 30, 2020 and December 31, 2019</w:t>
            </w:r>
          </w:p>
        </w:tc>
        <w:tc>
          <w:tcPr>
            <w:tcW w:w="10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60" w:type="dxa"/>
            <w:vAlign w:val="bottom"/>
            <w:gridSpan w:val="19"/>
          </w:tcPr>
          <w:p>
            <w:pPr>
              <w:spacing w:after="0" w:line="176" w:lineRule="exact"/>
              <w:rPr>
                <w:sz w:val="20"/>
                <w:szCs w:val="20"/>
                <w:color w:val="auto"/>
              </w:rPr>
            </w:pPr>
            <w:r>
              <w:rPr>
                <w:rFonts w:ascii="Arial" w:cs="Arial" w:eastAsia="Arial" w:hAnsi="Arial"/>
                <w:sz w:val="18"/>
                <w:szCs w:val="18"/>
                <w:color w:val="0000EE"/>
                <w:w w:val="99"/>
              </w:rPr>
              <w:t>Condensed Consolidated Statements of Operations Three- and Six-month periods ended June 30, 2020 and 2019</w:t>
            </w:r>
          </w:p>
        </w:tc>
        <w:tc>
          <w:tcPr>
            <w:tcW w:w="10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6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3"/>
              </w:rPr>
              <w:t>Condensed Consolidated Statements of Comprehensive Income Three- and Six-month periods ended June 30, 2020 and</w:t>
            </w:r>
          </w:p>
        </w:tc>
        <w:tc>
          <w:tcPr>
            <w:tcW w:w="10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0000EE"/>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0000EE"/>
              </w:rPr>
              <w:t>2019</w:t>
            </w:r>
          </w:p>
        </w:tc>
        <w:tc>
          <w:tcPr>
            <w:tcW w:w="32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4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660" w:type="dxa"/>
            <w:vAlign w:val="bottom"/>
            <w:tcBorders>
              <w:top w:val="single" w:sz="8" w:color="0000EE"/>
            </w:tcBorders>
            <w:shd w:val="clear" w:color="auto" w:fill="CCEEFF"/>
          </w:tcPr>
          <w:p>
            <w:pPr>
              <w:spacing w:after="0"/>
              <w:rPr>
                <w:sz w:val="17"/>
                <w:szCs w:val="17"/>
                <w:color w:val="auto"/>
              </w:rPr>
            </w:pPr>
          </w:p>
        </w:tc>
        <w:tc>
          <w:tcPr>
            <w:tcW w:w="68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rPr>
                <w:sz w:val="15"/>
                <w:szCs w:val="15"/>
                <w:color w:val="auto"/>
              </w:rPr>
            </w:pPr>
          </w:p>
        </w:tc>
        <w:tc>
          <w:tcPr>
            <w:tcW w:w="9260" w:type="dxa"/>
            <w:vAlign w:val="bottom"/>
            <w:gridSpan w:val="20"/>
          </w:tcPr>
          <w:p>
            <w:pPr>
              <w:ind w:left="200"/>
              <w:spacing w:after="0" w:line="176" w:lineRule="exact"/>
              <w:rPr>
                <w:sz w:val="20"/>
                <w:szCs w:val="20"/>
                <w:color w:val="auto"/>
              </w:rPr>
            </w:pPr>
            <w:r>
              <w:rPr>
                <w:rFonts w:ascii="Arial" w:cs="Arial" w:eastAsia="Arial" w:hAnsi="Arial"/>
                <w:sz w:val="18"/>
                <w:szCs w:val="18"/>
                <w:color w:val="0000EE"/>
              </w:rPr>
              <w:t>Condensed Consolidated Statements of Cash Flows Six-month periods ended June 30, 2020 and 2019</w:t>
            </w:r>
          </w:p>
        </w:tc>
        <w:tc>
          <w:tcPr>
            <w:tcW w:w="10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2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Shareholders' Equity Three- and Six-month periods ended June 30, 2020 and</w:t>
            </w:r>
          </w:p>
        </w:tc>
        <w:tc>
          <w:tcPr>
            <w:tcW w:w="640" w:type="dxa"/>
            <w:vAlign w:val="bottom"/>
            <w:tcBorders>
              <w:bottom w:val="single" w:sz="8" w:color="CCEEFF"/>
            </w:tcBorders>
            <w:gridSpan w:val="2"/>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60"/>
              <w:spacing w:after="0" w:line="196" w:lineRule="exact"/>
              <w:rPr>
                <w:sz w:val="20"/>
                <w:szCs w:val="20"/>
                <w:color w:val="auto"/>
              </w:rPr>
            </w:pPr>
            <w:r>
              <w:rPr>
                <w:rFonts w:ascii="Arial" w:cs="Arial" w:eastAsia="Arial" w:hAnsi="Arial"/>
                <w:sz w:val="18"/>
                <w:szCs w:val="18"/>
                <w:color w:val="0000EE"/>
              </w:rPr>
              <w:t>2019</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spacing w:after="0"/>
              <w:rPr>
                <w:sz w:val="15"/>
                <w:szCs w:val="15"/>
                <w:color w:val="auto"/>
              </w:rPr>
            </w:pPr>
          </w:p>
        </w:tc>
        <w:tc>
          <w:tcPr>
            <w:tcW w:w="9260" w:type="dxa"/>
            <w:vAlign w:val="bottom"/>
            <w:gridSpan w:val="20"/>
          </w:tcPr>
          <w:p>
            <w:pPr>
              <w:ind w:left="200"/>
              <w:spacing w:after="0" w:line="176" w:lineRule="exact"/>
              <w:rPr>
                <w:sz w:val="20"/>
                <w:szCs w:val="20"/>
                <w:color w:val="auto"/>
              </w:rPr>
            </w:pPr>
            <w:r>
              <w:rPr>
                <w:rFonts w:ascii="Arial" w:cs="Arial" w:eastAsia="Arial" w:hAnsi="Arial"/>
                <w:sz w:val="18"/>
                <w:szCs w:val="18"/>
                <w:color w:val="0000EE"/>
              </w:rPr>
              <w:t>Notes to Interim Condensed Consolidated Financial Statements</w:t>
            </w:r>
          </w:p>
        </w:tc>
        <w:tc>
          <w:tcPr>
            <w:tcW w:w="10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200" w:type="dxa"/>
            <w:vAlign w:val="bottom"/>
            <w:shd w:val="clear" w:color="auto" w:fill="CCEEFF"/>
          </w:tcPr>
          <w:p>
            <w:pPr>
              <w:spacing w:after="0"/>
              <w:rPr>
                <w:sz w:val="17"/>
                <w:szCs w:val="17"/>
                <w:color w:val="auto"/>
              </w:rPr>
            </w:pPr>
          </w:p>
        </w:tc>
        <w:tc>
          <w:tcPr>
            <w:tcW w:w="906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0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65-90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3.</w:t>
            </w:r>
          </w:p>
        </w:tc>
        <w:tc>
          <w:tcPr>
            <w:tcW w:w="200" w:type="dxa"/>
            <w:vAlign w:val="bottom"/>
            <w:tcBorders>
              <w:top w:val="single" w:sz="8" w:color="CCEEFF"/>
            </w:tcBorders>
          </w:tcPr>
          <w:p>
            <w:pPr>
              <w:spacing w:after="0"/>
              <w:rPr>
                <w:sz w:val="15"/>
                <w:szCs w:val="15"/>
                <w:color w:val="auto"/>
              </w:rPr>
            </w:pPr>
          </w:p>
        </w:tc>
        <w:tc>
          <w:tcPr>
            <w:tcW w:w="6440" w:type="dxa"/>
            <w:vAlign w:val="bottom"/>
            <w:tcBorders>
              <w:top w:val="single" w:sz="8" w:color="0000EE"/>
            </w:tcBorders>
            <w:gridSpan w:val="13"/>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2620" w:type="dxa"/>
            <w:vAlign w:val="bottom"/>
            <w:tcBorders>
              <w:top w:val="single" w:sz="8" w:color="CCEEFF"/>
            </w:tcBorders>
            <w:gridSpan w:val="6"/>
          </w:tcPr>
          <w:p>
            <w:pPr>
              <w:spacing w:after="0"/>
              <w:rPr>
                <w:sz w:val="15"/>
                <w:szCs w:val="15"/>
                <w:color w:val="auto"/>
              </w:rPr>
            </w:pPr>
          </w:p>
        </w:tc>
        <w:tc>
          <w:tcPr>
            <w:tcW w:w="106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60" w:type="dxa"/>
            <w:vAlign w:val="bottom"/>
            <w:gridSpan w:val="20"/>
            <w:shd w:val="clear" w:color="auto" w:fill="CCEEFF"/>
          </w:tcPr>
          <w:p>
            <w:pPr>
              <w:ind w:left="200"/>
              <w:spacing w:after="0" w:line="176" w:lineRule="exact"/>
              <w:rPr>
                <w:sz w:val="20"/>
                <w:szCs w:val="20"/>
                <w:color w:val="auto"/>
              </w:rPr>
            </w:pPr>
            <w:r>
              <w:rPr>
                <w:rFonts w:ascii="Arial" w:cs="Arial" w:eastAsia="Arial" w:hAnsi="Arial"/>
                <w:sz w:val="18"/>
                <w:szCs w:val="18"/>
                <w:color w:val="0000EE"/>
              </w:rPr>
              <w:t>Controls and Procedures</w:t>
            </w:r>
          </w:p>
        </w:tc>
        <w:tc>
          <w:tcPr>
            <w:tcW w:w="10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 -</w:t>
            </w:r>
          </w:p>
        </w:tc>
        <w:tc>
          <w:tcPr>
            <w:tcW w:w="200" w:type="dxa"/>
            <w:vAlign w:val="bottom"/>
            <w:shd w:val="clear" w:color="auto" w:fill="CCEEFF"/>
          </w:tcPr>
          <w:p>
            <w:pPr>
              <w:spacing w:after="0"/>
              <w:rPr>
                <w:sz w:val="17"/>
                <w:szCs w:val="17"/>
                <w:color w:val="auto"/>
              </w:rPr>
            </w:pPr>
          </w:p>
        </w:tc>
        <w:tc>
          <w:tcPr>
            <w:tcW w:w="906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Other Information</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1A</w:t>
            </w:r>
          </w:p>
        </w:tc>
        <w:tc>
          <w:tcPr>
            <w:tcW w:w="200" w:type="dxa"/>
            <w:vAlign w:val="bottom"/>
            <w:tcBorders>
              <w:top w:val="single" w:sz="8" w:color="CCEEFF"/>
            </w:tcBorders>
          </w:tcPr>
          <w:p>
            <w:pPr>
              <w:spacing w:after="0"/>
              <w:rPr>
                <w:sz w:val="15"/>
                <w:szCs w:val="15"/>
                <w:color w:val="auto"/>
              </w:rPr>
            </w:pPr>
          </w:p>
        </w:tc>
        <w:tc>
          <w:tcPr>
            <w:tcW w:w="1320" w:type="dxa"/>
            <w:vAlign w:val="bottom"/>
            <w:tcBorders>
              <w:top w:val="single" w:sz="8" w:color="auto"/>
            </w:tcBorders>
            <w:gridSpan w:val="5"/>
          </w:tcPr>
          <w:p>
            <w:pPr>
              <w:spacing w:after="0" w:line="176" w:lineRule="exact"/>
              <w:rPr>
                <w:sz w:val="20"/>
                <w:szCs w:val="20"/>
                <w:color w:val="auto"/>
              </w:rPr>
            </w:pPr>
            <w:r>
              <w:rPr>
                <w:rFonts w:ascii="Arial" w:cs="Arial" w:eastAsia="Arial" w:hAnsi="Arial"/>
                <w:sz w:val="18"/>
                <w:szCs w:val="18"/>
                <w:color w:val="0000EE"/>
              </w:rPr>
              <w:t>Risk Factors</w:t>
            </w:r>
          </w:p>
        </w:tc>
        <w:tc>
          <w:tcPr>
            <w:tcW w:w="7740" w:type="dxa"/>
            <w:vAlign w:val="bottom"/>
            <w:tcBorders>
              <w:top w:val="single" w:sz="8" w:color="CCEEFF"/>
            </w:tcBorders>
            <w:gridSpan w:val="14"/>
          </w:tcPr>
          <w:p>
            <w:pPr>
              <w:spacing w:after="0"/>
              <w:rPr>
                <w:sz w:val="15"/>
                <w:szCs w:val="15"/>
                <w:color w:val="auto"/>
              </w:rPr>
            </w:pPr>
          </w:p>
        </w:tc>
        <w:tc>
          <w:tcPr>
            <w:tcW w:w="106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20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4700" w:type="dxa"/>
            <w:vAlign w:val="bottom"/>
            <w:tcBorders>
              <w:bottom w:val="single" w:sz="8" w:color="CCEEFF"/>
            </w:tcBorders>
            <w:gridSpan w:val="9"/>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200" w:type="dxa"/>
            <w:vAlign w:val="bottom"/>
          </w:tcPr>
          <w:p>
            <w:pPr>
              <w:spacing w:after="0"/>
              <w:rPr>
                <w:sz w:val="15"/>
                <w:szCs w:val="15"/>
                <w:color w:val="auto"/>
              </w:rPr>
            </w:pPr>
          </w:p>
        </w:tc>
        <w:tc>
          <w:tcPr>
            <w:tcW w:w="9060" w:type="dxa"/>
            <w:vAlign w:val="bottom"/>
            <w:gridSpan w:val="19"/>
          </w:tcPr>
          <w:p>
            <w:pPr>
              <w:spacing w:after="0" w:line="176" w:lineRule="exact"/>
              <w:rPr>
                <w:sz w:val="20"/>
                <w:szCs w:val="20"/>
                <w:color w:val="auto"/>
              </w:rPr>
            </w:pPr>
            <w:r>
              <w:rPr>
                <w:rFonts w:ascii="Arial" w:cs="Arial" w:eastAsia="Arial" w:hAnsi="Arial"/>
                <w:sz w:val="18"/>
                <w:szCs w:val="18"/>
                <w:color w:val="0000EE"/>
              </w:rPr>
              <w:t>Exhibits</w:t>
            </w:r>
          </w:p>
        </w:tc>
        <w:tc>
          <w:tcPr>
            <w:tcW w:w="10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tcBorders>
            <w:gridSpan w:val="3"/>
          </w:tcPr>
          <w:p>
            <w:pPr>
              <w:spacing w:after="0"/>
              <w:rPr>
                <w:sz w:val="24"/>
                <w:szCs w:val="24"/>
                <w:color w:val="auto"/>
              </w:rPr>
            </w:pPr>
          </w:p>
        </w:tc>
        <w:tc>
          <w:tcPr>
            <w:tcW w:w="3980" w:type="dxa"/>
            <w:vAlign w:val="bottom"/>
            <w:gridSpan w:val="8"/>
          </w:tcPr>
          <w:p>
            <w:pPr>
              <w:jc w:val="center"/>
              <w:ind w:left="3730"/>
              <w:spacing w:after="0"/>
              <w:rPr>
                <w:sz w:val="20"/>
                <w:szCs w:val="20"/>
                <w:color w:val="auto"/>
              </w:rPr>
            </w:pPr>
            <w:r>
              <w:rPr>
                <w:rFonts w:ascii="Arial" w:cs="Arial" w:eastAsia="Arial" w:hAnsi="Arial"/>
                <w:sz w:val="18"/>
                <w:szCs w:val="18"/>
                <w:color w:val="auto"/>
                <w:w w:val="79"/>
              </w:rPr>
              <w:t>1</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92" w:lineRule="exact"/>
        <w:rPr>
          <w:sz w:val="20"/>
          <w:szCs w:val="20"/>
          <w:color w:val="auto"/>
        </w:rPr>
      </w:pPr>
    </w:p>
    <w:p>
      <w:pPr>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 including the impact of the ongoing COVID-19 pandemic on each of these items;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generally and in the financial services industry, particularly economic conditions within Michigan and the regional and local real estate markets in which our bank operates including the economic impact of the ongoing COVID-19 pandemic in each of these areas;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2019,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4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3020" w:type="dxa"/>
            <w:vAlign w:val="bottom"/>
            <w:gridSpan w:val="2"/>
          </w:tcPr>
          <w:p>
            <w:pPr>
              <w:spacing w:after="0"/>
              <w:rPr>
                <w:sz w:val="20"/>
                <w:szCs w:val="20"/>
                <w:color w:val="auto"/>
              </w:rPr>
            </w:pPr>
            <w:r>
              <w:rPr>
                <w:rFonts w:ascii="Arial" w:cs="Arial" w:eastAsia="Arial" w:hAnsi="Arial"/>
                <w:sz w:val="18"/>
                <w:szCs w:val="18"/>
                <w:color w:val="auto"/>
              </w:rPr>
              <w:t>Part I - Item 1.</w:t>
            </w:r>
          </w:p>
        </w:tc>
        <w:tc>
          <w:tcPr>
            <w:tcW w:w="5660" w:type="dxa"/>
            <w:vAlign w:val="bottom"/>
            <w:gridSpan w:val="3"/>
          </w:tcPr>
          <w:p>
            <w:pPr>
              <w:jc w:val="right"/>
              <w:ind w:right="630"/>
              <w:spacing w:after="0"/>
              <w:rPr>
                <w:sz w:val="20"/>
                <w:szCs w:val="20"/>
                <w:color w:val="auto"/>
              </w:rPr>
            </w:pPr>
            <w:r>
              <w:rPr>
                <w:rFonts w:ascii="Arial" w:cs="Arial" w:eastAsia="Arial" w:hAnsi="Arial"/>
                <w:sz w:val="18"/>
                <w:szCs w:val="18"/>
                <w:color w:val="auto"/>
                <w:w w:val="99"/>
              </w:rPr>
              <w:t>INDEPENDENT BANK CORPORATION AND SUBSIDIARIES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660" w:type="dxa"/>
            <w:vAlign w:val="bottom"/>
            <w:gridSpan w:val="3"/>
          </w:tcPr>
          <w:p>
            <w:pPr>
              <w:jc w:val="right"/>
              <w:ind w:right="810"/>
              <w:spacing w:after="0" w:line="190" w:lineRule="exact"/>
              <w:rPr>
                <w:sz w:val="20"/>
                <w:szCs w:val="20"/>
                <w:color w:val="auto"/>
              </w:rPr>
            </w:pPr>
            <w:r>
              <w:rPr>
                <w:rFonts w:ascii="Arial" w:cs="Arial" w:eastAsia="Arial" w:hAnsi="Arial"/>
                <w:sz w:val="18"/>
                <w:szCs w:val="18"/>
                <w:color w:val="auto"/>
                <w:w w:val="99"/>
              </w:rPr>
              <w:t>Condensed Consolidated Statements of Financial Condition</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June 30,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2"/>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4"/>
          </w:tcPr>
          <w:p>
            <w:pPr>
              <w:jc w:val="center"/>
              <w:ind w:right="90"/>
              <w:spacing w:after="0" w:line="201" w:lineRule="exact"/>
              <w:rPr>
                <w:sz w:val="20"/>
                <w:szCs w:val="20"/>
                <w:color w:val="auto"/>
              </w:rPr>
            </w:pPr>
            <w:r>
              <w:rPr>
                <w:rFonts w:ascii="Arial" w:cs="Arial" w:eastAsia="Arial" w:hAnsi="Arial"/>
                <w:sz w:val="18"/>
                <w:szCs w:val="18"/>
                <w:color w:val="auto"/>
                <w:w w:val="88"/>
              </w:rPr>
              <w:t>(In thousands, except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4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center"/>
              <w:ind w:left="510"/>
              <w:spacing w:after="0"/>
              <w:rPr>
                <w:sz w:val="20"/>
                <w:szCs w:val="20"/>
                <w:color w:val="auto"/>
              </w:rPr>
            </w:pPr>
            <w:r>
              <w:rPr>
                <w:rFonts w:ascii="Arial" w:cs="Arial" w:eastAsia="Arial" w:hAnsi="Arial"/>
                <w:sz w:val="18"/>
                <w:szCs w:val="18"/>
                <w:color w:val="auto"/>
                <w:w w:val="90"/>
              </w:rPr>
              <w:t>amounts)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53,295</w:t>
            </w:r>
          </w:p>
        </w:tc>
        <w:tc>
          <w:tcPr>
            <w:tcW w:w="0" w:type="dxa"/>
            <w:vAlign w:val="bottom"/>
          </w:tcPr>
          <w:p>
            <w:pPr>
              <w:spacing w:after="0"/>
              <w:rPr>
                <w:sz w:val="1"/>
                <w:szCs w:val="1"/>
                <w:color w:val="auto"/>
              </w:rPr>
            </w:pPr>
          </w:p>
        </w:tc>
      </w:tr>
      <w:tr>
        <w:trPr>
          <w:trHeight w:val="223"/>
        </w:trPr>
        <w:tc>
          <w:tcPr>
            <w:tcW w:w="3020" w:type="dxa"/>
            <w:vAlign w:val="bottom"/>
            <w:gridSpan w:val="2"/>
          </w:tcPr>
          <w:p>
            <w:pPr>
              <w:spacing w:after="0"/>
              <w:rPr>
                <w:sz w:val="20"/>
                <w:szCs w:val="20"/>
                <w:color w:val="auto"/>
              </w:rPr>
            </w:pPr>
            <w:r>
              <w:rPr>
                <w:rFonts w:ascii="Arial" w:cs="Arial" w:eastAsia="Arial" w:hAnsi="Arial"/>
                <w:sz w:val="18"/>
                <w:szCs w:val="18"/>
                <w:color w:val="auto"/>
              </w:rPr>
              <w:t>Interest bearing deposits</w:t>
            </w:r>
          </w:p>
        </w:tc>
        <w:tc>
          <w:tcPr>
            <w:tcW w:w="4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8,447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12,009</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55,816</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Interest bearing deposits - time</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856,280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518,400</w:t>
            </w: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18,427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18,359</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Loans held for sale, carried at fair value</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83,706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69,800</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Loans</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1,362,956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1,166,695</w:t>
            </w:r>
          </w:p>
        </w:tc>
        <w:tc>
          <w:tcPr>
            <w:tcW w:w="0" w:type="dxa"/>
            <w:vAlign w:val="bottom"/>
          </w:tcPr>
          <w:p>
            <w:pPr>
              <w:spacing w:after="0"/>
              <w:rPr>
                <w:sz w:val="1"/>
                <w:szCs w:val="1"/>
                <w:color w:val="auto"/>
              </w:rPr>
            </w:pPr>
          </w:p>
        </w:tc>
      </w:tr>
      <w:tr>
        <w:trPr>
          <w:trHeight w:val="216"/>
        </w:trPr>
        <w:tc>
          <w:tcPr>
            <w:tcW w:w="3020" w:type="dxa"/>
            <w:vAlign w:val="bottom"/>
            <w:gridSpan w:val="2"/>
          </w:tcPr>
          <w:p>
            <w:pPr>
              <w:ind w:left="140"/>
              <w:spacing w:after="0"/>
              <w:rPr>
                <w:sz w:val="20"/>
                <w:szCs w:val="20"/>
                <w:color w:val="auto"/>
              </w:rPr>
            </w:pPr>
            <w:r>
              <w:rPr>
                <w:rFonts w:ascii="Arial" w:cs="Arial" w:eastAsia="Arial" w:hAnsi="Arial"/>
                <w:sz w:val="18"/>
                <w:szCs w:val="18"/>
                <w:color w:val="auto"/>
              </w:rPr>
              <w:t>Mortgage</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1,041,684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1,098,911</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46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462,023</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gridSpan w:val="2"/>
          </w:tcPr>
          <w:p>
            <w:pPr>
              <w:jc w:val="right"/>
              <w:ind w:right="30"/>
              <w:spacing w:after="0"/>
              <w:rPr>
                <w:sz w:val="20"/>
                <w:szCs w:val="20"/>
                <w:color w:val="auto"/>
              </w:rPr>
            </w:pPr>
            <w:r>
              <w:rPr>
                <w:rFonts w:ascii="Arial" w:cs="Arial" w:eastAsia="Arial" w:hAnsi="Arial"/>
                <w:sz w:val="18"/>
                <w:szCs w:val="18"/>
                <w:color w:val="auto"/>
              </w:rPr>
              <w:t>Total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2,866,663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2,725,023</w:t>
            </w:r>
          </w:p>
        </w:tc>
        <w:tc>
          <w:tcPr>
            <w:tcW w:w="0" w:type="dxa"/>
            <w:vAlign w:val="bottom"/>
          </w:tcPr>
          <w:p>
            <w:pPr>
              <w:spacing w:after="0"/>
              <w:rPr>
                <w:sz w:val="1"/>
                <w:szCs w:val="1"/>
                <w:color w:val="auto"/>
              </w:rPr>
            </w:pPr>
          </w:p>
        </w:tc>
      </w:tr>
      <w:tr>
        <w:trPr>
          <w:trHeight w:val="223"/>
        </w:trPr>
        <w:tc>
          <w:tcPr>
            <w:tcW w:w="3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Allowance for loan losses</w:t>
            </w:r>
          </w:p>
        </w:tc>
        <w:tc>
          <w:tcPr>
            <w:tcW w:w="46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(34,500)</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(26,148)</w:t>
            </w:r>
          </w:p>
        </w:tc>
        <w:tc>
          <w:tcPr>
            <w:tcW w:w="0" w:type="dxa"/>
            <w:vAlign w:val="bottom"/>
          </w:tcPr>
          <w:p>
            <w:pPr>
              <w:spacing w:after="0"/>
              <w:rPr>
                <w:sz w:val="1"/>
                <w:szCs w:val="1"/>
                <w:color w:val="auto"/>
              </w:rPr>
            </w:pPr>
          </w:p>
        </w:tc>
      </w:tr>
      <w:tr>
        <w:trPr>
          <w:trHeight w:val="216"/>
        </w:trPr>
        <w:tc>
          <w:tcPr>
            <w:tcW w:w="40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2"/>
              </w:rPr>
              <w:t>Net Loans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2,832,163</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2,698,875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real estate and repossessed assets,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36,962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38,411</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55,710</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Capitalized mortgage loan servicing rights, carried at fair value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Other intangibles</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28,300</w:t>
            </w:r>
          </w:p>
        </w:tc>
        <w:tc>
          <w:tcPr>
            <w:tcW w:w="0" w:type="dxa"/>
            <w:vAlign w:val="bottom"/>
          </w:tcPr>
          <w:p>
            <w:pPr>
              <w:spacing w:after="0"/>
              <w:rPr>
                <w:sz w:val="1"/>
                <w:szCs w:val="1"/>
                <w:color w:val="auto"/>
              </w:rPr>
            </w:pPr>
          </w:p>
        </w:tc>
      </w:tr>
      <w:tr>
        <w:trPr>
          <w:trHeight w:val="223"/>
        </w:trPr>
        <w:tc>
          <w:tcPr>
            <w:tcW w:w="3020" w:type="dxa"/>
            <w:vAlign w:val="bottom"/>
            <w:gridSpan w:val="2"/>
          </w:tcPr>
          <w:p>
            <w:pPr>
              <w:spacing w:after="0"/>
              <w:rPr>
                <w:sz w:val="20"/>
                <w:szCs w:val="20"/>
                <w:color w:val="auto"/>
              </w:rPr>
            </w:pPr>
            <w:r>
              <w:rPr>
                <w:rFonts w:ascii="Arial" w:cs="Arial" w:eastAsia="Arial" w:hAnsi="Arial"/>
                <w:sz w:val="18"/>
                <w:szCs w:val="18"/>
                <w:color w:val="auto"/>
              </w:rPr>
              <w:t>Accrued income and other assets</w:t>
            </w:r>
          </w:p>
        </w:tc>
        <w:tc>
          <w:tcPr>
            <w:tcW w:w="4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53,720</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42,751</w:t>
            </w:r>
          </w:p>
        </w:tc>
        <w:tc>
          <w:tcPr>
            <w:tcW w:w="0" w:type="dxa"/>
            <w:vAlign w:val="bottom"/>
          </w:tcPr>
          <w:p>
            <w:pPr>
              <w:spacing w:after="0"/>
              <w:rPr>
                <w:sz w:val="1"/>
                <w:szCs w:val="1"/>
                <w:color w:val="auto"/>
              </w:rPr>
            </w:pPr>
          </w:p>
        </w:tc>
      </w:tr>
      <w:tr>
        <w:trPr>
          <w:trHeight w:val="257"/>
        </w:trPr>
        <w:tc>
          <w:tcPr>
            <w:tcW w:w="4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4,043,315</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3,564,694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Non-interest bearing</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1,118,424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852,076</w:t>
            </w:r>
          </w:p>
        </w:tc>
        <w:tc>
          <w:tcPr>
            <w:tcW w:w="0" w:type="dxa"/>
            <w:vAlign w:val="bottom"/>
          </w:tcPr>
          <w:p>
            <w:pPr>
              <w:spacing w:after="0"/>
              <w:rPr>
                <w:sz w:val="1"/>
                <w:szCs w:val="1"/>
                <w:color w:val="auto"/>
              </w:rPr>
            </w:pPr>
          </w:p>
        </w:tc>
      </w:tr>
      <w:tr>
        <w:trPr>
          <w:trHeight w:val="216"/>
        </w:trPr>
        <w:tc>
          <w:tcPr>
            <w:tcW w:w="3020" w:type="dxa"/>
            <w:vAlign w:val="bottom"/>
            <w:gridSpan w:val="2"/>
          </w:tcPr>
          <w:p>
            <w:pPr>
              <w:ind w:left="140"/>
              <w:spacing w:after="0"/>
              <w:rPr>
                <w:sz w:val="20"/>
                <w:szCs w:val="20"/>
                <w:color w:val="auto"/>
              </w:rPr>
            </w:pPr>
            <w:r>
              <w:rPr>
                <w:rFonts w:ascii="Arial" w:cs="Arial" w:eastAsia="Arial" w:hAnsi="Arial"/>
                <w:sz w:val="18"/>
                <w:szCs w:val="18"/>
                <w:color w:val="auto"/>
                <w:w w:val="93"/>
              </w:rPr>
              <w:t>Savings and interest-bearing checking</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1,375,523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1,186,745</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Reciprocal</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535,398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431,027</w:t>
            </w:r>
          </w:p>
        </w:tc>
        <w:tc>
          <w:tcPr>
            <w:tcW w:w="0" w:type="dxa"/>
            <w:vAlign w:val="bottom"/>
          </w:tcPr>
          <w:p>
            <w:pPr>
              <w:spacing w:after="0"/>
              <w:rPr>
                <w:sz w:val="1"/>
                <w:szCs w:val="1"/>
                <w:color w:val="auto"/>
              </w:rPr>
            </w:pPr>
          </w:p>
        </w:tc>
      </w:tr>
      <w:tr>
        <w:trPr>
          <w:trHeight w:val="216"/>
        </w:trPr>
        <w:tc>
          <w:tcPr>
            <w:tcW w:w="3020" w:type="dxa"/>
            <w:vAlign w:val="bottom"/>
            <w:gridSpan w:val="2"/>
          </w:tcPr>
          <w:p>
            <w:pPr>
              <w:ind w:left="140"/>
              <w:spacing w:after="0"/>
              <w:rPr>
                <w:sz w:val="20"/>
                <w:szCs w:val="20"/>
                <w:color w:val="auto"/>
              </w:rPr>
            </w:pPr>
            <w:r>
              <w:rPr>
                <w:rFonts w:ascii="Arial" w:cs="Arial" w:eastAsia="Arial" w:hAnsi="Arial"/>
                <w:sz w:val="18"/>
                <w:szCs w:val="18"/>
                <w:color w:val="auto"/>
              </w:rPr>
              <w:t>Time</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323,993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376,877</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Brokered time</w:t>
            </w:r>
          </w:p>
        </w:tc>
        <w:tc>
          <w:tcPr>
            <w:tcW w:w="46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131,787</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gridSpan w:val="2"/>
          </w:tcPr>
          <w:p>
            <w:pPr>
              <w:jc w:val="right"/>
              <w:ind w:right="30"/>
              <w:spacing w:after="0"/>
              <w:rPr>
                <w:sz w:val="20"/>
                <w:szCs w:val="20"/>
                <w:color w:val="auto"/>
              </w:rPr>
            </w:pPr>
            <w:r>
              <w:rPr>
                <w:rFonts w:ascii="Arial" w:cs="Arial" w:eastAsia="Arial" w:hAnsi="Arial"/>
                <w:sz w:val="18"/>
                <w:szCs w:val="18"/>
                <w:color w:val="auto"/>
              </w:rPr>
              <w:t>Total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3,485,125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3,036,727</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88,646</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39,283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39,490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39,456</w:t>
            </w:r>
          </w:p>
        </w:tc>
        <w:tc>
          <w:tcPr>
            <w:tcW w:w="0" w:type="dxa"/>
            <w:vAlign w:val="bottom"/>
          </w:tcPr>
          <w:p>
            <w:pPr>
              <w:spacing w:after="0"/>
              <w:rPr>
                <w:sz w:val="1"/>
                <w:szCs w:val="1"/>
                <w:color w:val="auto"/>
              </w:rPr>
            </w:pPr>
          </w:p>
        </w:tc>
      </w:tr>
      <w:tr>
        <w:trPr>
          <w:trHeight w:val="223"/>
        </w:trPr>
        <w:tc>
          <w:tcPr>
            <w:tcW w:w="3020" w:type="dxa"/>
            <w:vAlign w:val="bottom"/>
            <w:gridSpan w:val="2"/>
          </w:tcPr>
          <w:p>
            <w:pPr>
              <w:spacing w:after="0"/>
              <w:rPr>
                <w:sz w:val="20"/>
                <w:szCs w:val="20"/>
                <w:color w:val="auto"/>
              </w:rPr>
            </w:pPr>
            <w:r>
              <w:rPr>
                <w:rFonts w:ascii="Arial" w:cs="Arial" w:eastAsia="Arial" w:hAnsi="Arial"/>
                <w:sz w:val="18"/>
                <w:szCs w:val="18"/>
                <w:color w:val="auto"/>
                <w:w w:val="99"/>
              </w:rPr>
              <w:t>Accrued expenses and other liabilities</w:t>
            </w:r>
          </w:p>
        </w:tc>
        <w:tc>
          <w:tcPr>
            <w:tcW w:w="4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74,292</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49,696</w:t>
            </w:r>
          </w:p>
        </w:tc>
        <w:tc>
          <w:tcPr>
            <w:tcW w:w="0" w:type="dxa"/>
            <w:vAlign w:val="bottom"/>
          </w:tcPr>
          <w:p>
            <w:pPr>
              <w:spacing w:after="0"/>
              <w:rPr>
                <w:sz w:val="1"/>
                <w:szCs w:val="1"/>
                <w:color w:val="auto"/>
              </w:rPr>
            </w:pPr>
          </w:p>
        </w:tc>
      </w:tr>
      <w:tr>
        <w:trPr>
          <w:trHeight w:val="223"/>
        </w:trPr>
        <w:tc>
          <w:tcPr>
            <w:tcW w:w="40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2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3,688,192</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3,214,525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w w:val="97"/>
              </w:rPr>
              <w:t>Commitments and contingent liabilities</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Shareholders’ Equity</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14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gridSpan w:val="5"/>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Common stock, no par value, 500,000,000 shares authorized; issued and outstanding: 21,880,183 shares at June 30,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2020 and 22,481,643 shares at December 31, 2019</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338,989</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352,344</w:t>
            </w:r>
          </w:p>
        </w:tc>
        <w:tc>
          <w:tcPr>
            <w:tcW w:w="0" w:type="dxa"/>
            <w:vAlign w:val="bottom"/>
          </w:tcPr>
          <w:p>
            <w:pPr>
              <w:spacing w:after="0"/>
              <w:rPr>
                <w:sz w:val="1"/>
                <w:szCs w:val="1"/>
                <w:color w:val="auto"/>
              </w:rPr>
            </w:pPr>
          </w:p>
        </w:tc>
      </w:tr>
      <w:tr>
        <w:trPr>
          <w:trHeight w:val="216"/>
        </w:trPr>
        <w:tc>
          <w:tcPr>
            <w:tcW w:w="302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12,338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23"/>
        </w:trPr>
        <w:tc>
          <w:tcPr>
            <w:tcW w:w="86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23"/>
        </w:trPr>
        <w:tc>
          <w:tcPr>
            <w:tcW w:w="400" w:type="dxa"/>
            <w:vAlign w:val="bottom"/>
            <w:tcBorders>
              <w:top w:val="single" w:sz="8" w:color="CCEE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520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355,123</w:t>
            </w: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350,169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4,043,315</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3,564,694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Arial" w:cs="Arial" w:eastAsia="Arial" w:hAnsi="Arial"/>
                <w:sz w:val="18"/>
                <w:szCs w:val="18"/>
                <w:i w:val="1"/>
                <w:iCs w:val="1"/>
                <w:color w:val="0000EE"/>
              </w:rPr>
              <w:t>Index</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1"/>
        </w:trPr>
        <w:tc>
          <w:tcPr>
            <w:tcW w:w="400" w:type="dxa"/>
            <w:vAlign w:val="bottom"/>
            <w:tcBorders>
              <w:top w:val="single" w:sz="8" w:color="0000EE"/>
            </w:tcBorders>
          </w:tcPr>
          <w:p>
            <w:pPr>
              <w:spacing w:after="0"/>
              <w:rPr>
                <w:sz w:val="24"/>
                <w:szCs w:val="24"/>
                <w:color w:val="auto"/>
              </w:rPr>
            </w:pPr>
          </w:p>
        </w:tc>
        <w:tc>
          <w:tcPr>
            <w:tcW w:w="8300" w:type="dxa"/>
            <w:vAlign w:val="bottom"/>
            <w:gridSpan w:val="9"/>
          </w:tcPr>
          <w:p>
            <w:pPr>
              <w:jc w:val="right"/>
              <w:ind w:right="680"/>
              <w:spacing w:after="0"/>
              <w:rPr>
                <w:sz w:val="20"/>
                <w:szCs w:val="20"/>
                <w:color w:val="auto"/>
              </w:rPr>
            </w:pPr>
            <w:r>
              <w:rPr>
                <w:rFonts w:ascii="Arial" w:cs="Arial" w:eastAsia="Arial" w:hAnsi="Arial"/>
                <w:sz w:val="18"/>
                <w:szCs w:val="18"/>
                <w:color w:val="auto"/>
              </w:rPr>
              <w:t>INDEPENDENT BANK CORPORATION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660" w:type="dxa"/>
            <w:vAlign w:val="bottom"/>
            <w:tcBorders>
              <w:bottom w:val="single" w:sz="8" w:color="auto"/>
            </w:tcBorders>
            <w:gridSpan w:val="5"/>
          </w:tcPr>
          <w:p>
            <w:pPr>
              <w:jc w:val="right"/>
              <w:spacing w:after="0" w:line="190" w:lineRule="exact"/>
              <w:rPr>
                <w:sz w:val="20"/>
                <w:szCs w:val="20"/>
                <w:color w:val="auto"/>
              </w:rPr>
            </w:pPr>
            <w:r>
              <w:rPr>
                <w:rFonts w:ascii="Arial" w:cs="Arial" w:eastAsia="Arial" w:hAnsi="Arial"/>
                <w:sz w:val="18"/>
                <w:szCs w:val="18"/>
                <w:color w:val="auto"/>
                <w:w w:val="88"/>
              </w:rPr>
              <w:t>Condensed Consolidated Statements of Operations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4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center"/>
              <w:ind w:right="460"/>
              <w:spacing w:after="0"/>
              <w:rPr>
                <w:sz w:val="20"/>
                <w:szCs w:val="20"/>
                <w:color w:val="auto"/>
              </w:rPr>
            </w:pPr>
            <w:r>
              <w:rPr>
                <w:rFonts w:ascii="Arial" w:cs="Arial" w:eastAsia="Arial" w:hAnsi="Arial"/>
                <w:sz w:val="18"/>
                <w:szCs w:val="18"/>
                <w:color w:val="auto"/>
                <w:w w:val="87"/>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Six months ended</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4"/>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color w:val="auto"/>
                <w:w w:val="90"/>
              </w:rPr>
              <w:t>(unaudited)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2"/>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3"/>
            <w:vMerge w:val="restart"/>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4140" w:type="dxa"/>
            <w:vAlign w:val="bottom"/>
            <w:gridSpan w:val="10"/>
          </w:tcPr>
          <w:p>
            <w:pPr>
              <w:jc w:val="right"/>
              <w:ind w:right="250"/>
              <w:spacing w:after="0"/>
              <w:rPr>
                <w:sz w:val="20"/>
                <w:szCs w:val="20"/>
                <w:color w:val="auto"/>
              </w:rPr>
            </w:pPr>
            <w:r>
              <w:rPr>
                <w:rFonts w:ascii="Arial" w:cs="Arial" w:eastAsia="Arial" w:hAnsi="Arial"/>
                <w:sz w:val="18"/>
                <w:szCs w:val="18"/>
                <w:color w:val="auto"/>
              </w:rPr>
              <w:t>(In thousands, except per share amounts)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Interest and fees on loans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61,627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66,517</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Interest on securities available for sale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16"/>
        </w:trPr>
        <w:tc>
          <w:tcPr>
            <w:tcW w:w="5980" w:type="dxa"/>
            <w:vAlign w:val="bottom"/>
            <w:gridSpan w:val="3"/>
          </w:tcPr>
          <w:p>
            <w:pPr>
              <w:ind w:left="340"/>
              <w:spacing w:after="0"/>
              <w:rPr>
                <w:sz w:val="20"/>
                <w:szCs w:val="20"/>
                <w:color w:val="auto"/>
              </w:rPr>
            </w:pPr>
            <w:r>
              <w:rPr>
                <w:rFonts w:ascii="Arial" w:cs="Arial" w:eastAsia="Arial" w:hAnsi="Arial"/>
                <w:sz w:val="18"/>
                <w:szCs w:val="18"/>
                <w:color w:val="auto"/>
              </w:rPr>
              <w:t>Tax-exempt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40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33,754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37,573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69,333</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74,209</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6,021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7,088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11,702</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borrowings and subordinated debt and debentures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7"/>
        </w:trPr>
        <w:tc>
          <w:tcPr>
            <w:tcW w:w="40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Total 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6,817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8,680</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13,210</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30,462</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60,653</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11,909</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23"/>
        </w:trPr>
        <w:tc>
          <w:tcPr>
            <w:tcW w:w="400" w:type="dxa"/>
            <w:vAlign w:val="bottom"/>
            <w:tcBorders>
              <w:bottom w:val="single" w:sz="8" w:color="CCEEFF"/>
            </w:tcBorders>
            <w:shd w:val="clear" w:color="auto" w:fill="CCEEFF"/>
          </w:tcPr>
          <w:p>
            <w:pPr>
              <w:spacing w:after="0"/>
              <w:rPr>
                <w:sz w:val="19"/>
                <w:szCs w:val="19"/>
                <w:color w:val="auto"/>
              </w:rPr>
            </w:pPr>
          </w:p>
        </w:tc>
        <w:tc>
          <w:tcPr>
            <w:tcW w:w="5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25,274</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48,744</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Interchange income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4,214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Net gains on assets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34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26,482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(1,907)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(8,322)</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7"/>
        </w:trPr>
        <w:tc>
          <w:tcPr>
            <w:tcW w:w="40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180" w:type="dxa"/>
            <w:vAlign w:val="bottom"/>
          </w:tcPr>
          <w:p>
            <w:pPr>
              <w:jc w:val="right"/>
              <w:ind w:right="30"/>
              <w:spacing w:after="0"/>
              <w:rPr>
                <w:sz w:val="20"/>
                <w:szCs w:val="20"/>
                <w:color w:val="auto"/>
              </w:rPr>
            </w:pPr>
            <w:r>
              <w:rPr>
                <w:rFonts w:ascii="Arial" w:cs="Arial" w:eastAsia="Arial" w:hAnsi="Arial"/>
                <w:sz w:val="18"/>
                <w:szCs w:val="18"/>
                <w:color w:val="auto"/>
                <w:w w:val="98"/>
              </w:rPr>
              <w:t>Total Non-interest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9,905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31,371</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19,864</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15,931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32,788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32,282</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Occupancy, net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2,171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3,945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Furniture, fixtures and equipment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1,603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Interchange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Loan and collection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1,561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Legal and professional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FDIC deposit insurance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3"/>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1,915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5,130</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23"/>
        </w:trPr>
        <w:tc>
          <w:tcPr>
            <w:tcW w:w="400" w:type="dxa"/>
            <w:vAlign w:val="bottom"/>
            <w:tcBorders>
              <w:bottom w:val="single" w:sz="8" w:color="CCEEFF"/>
            </w:tcBorders>
            <w:shd w:val="clear" w:color="auto" w:fill="CCEEFF"/>
          </w:tcPr>
          <w:p>
            <w:pPr>
              <w:spacing w:after="0"/>
              <w:rPr>
                <w:sz w:val="19"/>
                <w:szCs w:val="19"/>
                <w:color w:val="auto"/>
              </w:rPr>
            </w:pPr>
          </w:p>
        </w:tc>
        <w:tc>
          <w:tcPr>
            <w:tcW w:w="34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27,346</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56,065</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Arial" w:cs="Arial" w:eastAsia="Arial" w:hAnsi="Arial"/>
                <w:sz w:val="18"/>
                <w:szCs w:val="18"/>
                <w:color w:val="auto"/>
                <w:w w:val="94"/>
              </w:rPr>
              <w:t>Income Before 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13,417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24,050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24,965</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7"/>
        </w:trPr>
        <w:tc>
          <w:tcPr>
            <w:tcW w:w="40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14,772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10,730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19,582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20,111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Comprehensive Income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5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30"/>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(unaudited -</w:t>
            </w:r>
          </w:p>
        </w:tc>
        <w:tc>
          <w:tcPr>
            <w:tcW w:w="220" w:type="dxa"/>
            <w:vAlign w:val="bottom"/>
          </w:tcPr>
          <w:p>
            <w:pPr>
              <w:jc w:val="right"/>
              <w:spacing w:after="0"/>
              <w:rPr>
                <w:sz w:val="20"/>
                <w:szCs w:val="20"/>
                <w:color w:val="auto"/>
              </w:rPr>
            </w:pPr>
            <w:r>
              <w:rPr>
                <w:rFonts w:ascii="Arial" w:cs="Arial" w:eastAsia="Arial" w:hAnsi="Arial"/>
                <w:sz w:val="18"/>
                <w:szCs w:val="18"/>
                <w:color w:val="auto"/>
              </w:rPr>
              <w:t>In</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r>
      <w:tr>
        <w:trPr>
          <w:trHeight w:val="216"/>
        </w:trPr>
        <w:tc>
          <w:tcPr>
            <w:tcW w:w="5980" w:type="dxa"/>
            <w:vAlign w:val="bottom"/>
            <w:shd w:val="clear" w:color="auto" w:fill="CCEEFF"/>
          </w:tcPr>
          <w:p>
            <w:pPr>
              <w:jc w:val="right"/>
              <w:ind w:right="5050"/>
              <w:spacing w:after="0"/>
              <w:rPr>
                <w:sz w:val="20"/>
                <w:szCs w:val="20"/>
                <w:color w:val="auto"/>
              </w:rPr>
            </w:pPr>
            <w:r>
              <w:rPr>
                <w:rFonts w:ascii="Arial" w:cs="Arial" w:eastAsia="Arial" w:hAnsi="Arial"/>
                <w:sz w:val="18"/>
                <w:szCs w:val="18"/>
                <w:color w:val="auto"/>
                <w:w w:val="90"/>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10,730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19,582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20,111</w:t>
            </w:r>
          </w:p>
        </w:tc>
      </w:tr>
      <w:tr>
        <w:trPr>
          <w:trHeight w:val="216"/>
        </w:trPr>
        <w:tc>
          <w:tcPr>
            <w:tcW w:w="5980" w:type="dxa"/>
            <w:vAlign w:val="bottom"/>
          </w:tcPr>
          <w:p>
            <w:pPr>
              <w:jc w:val="right"/>
              <w:ind w:right="3770"/>
              <w:spacing w:after="0"/>
              <w:rPr>
                <w:sz w:val="20"/>
                <w:szCs w:val="20"/>
                <w:color w:val="auto"/>
              </w:rPr>
            </w:pPr>
            <w:r>
              <w:rPr>
                <w:rFonts w:ascii="Arial" w:cs="Arial" w:eastAsia="Arial" w:hAnsi="Arial"/>
                <w:sz w:val="18"/>
                <w:szCs w:val="18"/>
                <w:color w:val="auto"/>
                <w:w w:val="89"/>
              </w:rPr>
              <w:t>Other 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jc w:val="right"/>
              <w:ind w:right="3770"/>
              <w:spacing w:after="0"/>
              <w:rPr>
                <w:sz w:val="20"/>
                <w:szCs w:val="20"/>
                <w:color w:val="auto"/>
              </w:rPr>
            </w:pPr>
            <w:r>
              <w:rPr>
                <w:rFonts w:ascii="Arial" w:cs="Arial" w:eastAsia="Arial" w:hAnsi="Arial"/>
                <w:sz w:val="18"/>
                <w:szCs w:val="18"/>
                <w:color w:val="auto"/>
                <w:w w:val="95"/>
              </w:rPr>
              <w:t>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Unrealized gains arising during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3,920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9,924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9,284</w:t>
            </w:r>
          </w:p>
        </w:tc>
      </w:tr>
      <w:tr>
        <w:trPr>
          <w:trHeight w:val="202"/>
        </w:trPr>
        <w:tc>
          <w:tcPr>
            <w:tcW w:w="5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Change in unrealized gains and losses for which a portion of other than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99"/>
              </w:rPr>
              <w:t>temporary impairment has been recognized in earnings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Reclassification adjustments for gains included in earnings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r>
      <w:tr>
        <w:trPr>
          <w:trHeight w:val="202"/>
        </w:trPr>
        <w:tc>
          <w:tcPr>
            <w:tcW w:w="59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9"/>
              </w:rPr>
              <w:t>Unrealized gains recognized in other comprehensive income on securities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available for sale</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3,920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9,145</w:t>
            </w:r>
          </w:p>
        </w:tc>
      </w:tr>
      <w:tr>
        <w:trPr>
          <w:trHeight w:val="223"/>
        </w:trPr>
        <w:tc>
          <w:tcPr>
            <w:tcW w:w="5980" w:type="dxa"/>
            <w:vAlign w:val="bottom"/>
          </w:tcPr>
          <w:p>
            <w:pPr>
              <w:ind w:left="4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823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1,920</w:t>
            </w:r>
          </w:p>
        </w:tc>
      </w:tr>
      <w:tr>
        <w:trPr>
          <w:trHeight w:val="202"/>
        </w:trPr>
        <w:tc>
          <w:tcPr>
            <w:tcW w:w="59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9"/>
              </w:rPr>
              <w:t>Unrealized gains recognized in other comprehensive income on securities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5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available for sale, net of tax</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3,097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7,225</w:t>
            </w:r>
          </w:p>
        </w:tc>
      </w:tr>
      <w:tr>
        <w:trPr>
          <w:trHeight w:val="216"/>
        </w:trPr>
        <w:tc>
          <w:tcPr>
            <w:tcW w:w="5980" w:type="dxa"/>
            <w:vAlign w:val="bottom"/>
            <w:tcBorders>
              <w:top w:val="single" w:sz="8" w:color="CCEEFF"/>
            </w:tcBorders>
          </w:tcPr>
          <w:p>
            <w:pPr>
              <w:jc w:val="right"/>
              <w:ind w:right="4110"/>
              <w:spacing w:after="0"/>
              <w:rPr>
                <w:sz w:val="20"/>
                <w:szCs w:val="20"/>
                <w:color w:val="auto"/>
              </w:rPr>
            </w:pPr>
            <w:r>
              <w:rPr>
                <w:rFonts w:ascii="Arial" w:cs="Arial" w:eastAsia="Arial" w:hAnsi="Arial"/>
                <w:sz w:val="18"/>
                <w:szCs w:val="18"/>
                <w:color w:val="auto"/>
                <w:w w:val="98"/>
              </w:rPr>
              <w:t>Derivative instruments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arising during period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(1,668)</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w w:val="97"/>
              </w:rPr>
              <w:t>Reclassification adjustment for (income) expense recognized in earnings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336</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r>
      <w:tr>
        <w:trPr>
          <w:trHeight w:val="202"/>
        </w:trPr>
        <w:tc>
          <w:tcPr>
            <w:tcW w:w="59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Unrealized gains (losses) recognized in other comprehensive income on</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derivative instruments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(898)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(1,959)</w:t>
            </w:r>
          </w:p>
        </w:tc>
      </w:tr>
      <w:tr>
        <w:trPr>
          <w:trHeight w:val="223"/>
        </w:trPr>
        <w:tc>
          <w:tcPr>
            <w:tcW w:w="5980" w:type="dxa"/>
            <w:vAlign w:val="bottom"/>
          </w:tcPr>
          <w:p>
            <w:pPr>
              <w:ind w:left="48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r>
      <w:tr>
        <w:trPr>
          <w:trHeight w:val="202"/>
        </w:trPr>
        <w:tc>
          <w:tcPr>
            <w:tcW w:w="59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Unrealized gains (losses) recognized in other comprehensive income on</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derivative instruments, net of tax</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(711)</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(1,548)</w:t>
            </w:r>
          </w:p>
        </w:tc>
      </w:tr>
      <w:tr>
        <w:trPr>
          <w:trHeight w:val="223"/>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r>
      <w:tr>
        <w:trPr>
          <w:trHeight w:val="223"/>
        </w:trPr>
        <w:tc>
          <w:tcPr>
            <w:tcW w:w="5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jc w:val="right"/>
              <w:ind w:right="3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23,422</w:t>
            </w:r>
          </w:p>
        </w:tc>
        <w:tc>
          <w:tcPr>
            <w:tcW w:w="2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13,116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27,164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25,788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80" w:type="dxa"/>
            <w:vAlign w:val="bottom"/>
            <w:gridSpan w:val="4"/>
          </w:tcPr>
          <w:p>
            <w:pPr>
              <w:spacing w:after="0"/>
              <w:rPr>
                <w:sz w:val="20"/>
                <w:szCs w:val="20"/>
                <w:color w:val="auto"/>
              </w:rPr>
            </w:pPr>
            <w:r>
              <w:rPr>
                <w:rFonts w:ascii="Arial" w:cs="Arial" w:eastAsia="Arial" w:hAnsi="Arial"/>
                <w:sz w:val="18"/>
                <w:szCs w:val="18"/>
                <w:i w:val="1"/>
                <w:iCs w:val="1"/>
                <w:color w:val="0000EE"/>
              </w:rPr>
              <w:t>Index</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84"/>
        </w:trPr>
        <w:tc>
          <w:tcPr>
            <w:tcW w:w="400" w:type="dxa"/>
            <w:vAlign w:val="bottom"/>
            <w:tcBorders>
              <w:top w:val="single" w:sz="8" w:color="0000EE"/>
            </w:tcBorders>
          </w:tcPr>
          <w:p>
            <w:pPr>
              <w:spacing w:after="0"/>
              <w:rPr>
                <w:sz w:val="24"/>
                <w:szCs w:val="24"/>
                <w:color w:val="auto"/>
              </w:rPr>
            </w:pPr>
          </w:p>
        </w:tc>
        <w:tc>
          <w:tcPr>
            <w:tcW w:w="8280" w:type="dxa"/>
            <w:vAlign w:val="bottom"/>
            <w:gridSpan w:val="3"/>
          </w:tcPr>
          <w:p>
            <w:pPr>
              <w:jc w:val="right"/>
              <w:ind w:right="660"/>
              <w:spacing w:after="0"/>
              <w:rPr>
                <w:sz w:val="20"/>
                <w:szCs w:val="20"/>
                <w:color w:val="auto"/>
              </w:rPr>
            </w:pPr>
            <w:r>
              <w:rPr>
                <w:rFonts w:ascii="Arial" w:cs="Arial" w:eastAsia="Arial" w:hAnsi="Arial"/>
                <w:sz w:val="18"/>
                <w:szCs w:val="18"/>
                <w:color w:val="auto"/>
              </w:rPr>
              <w:t>INDEPENDENT BANK CORPORATION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920" w:type="dxa"/>
            <w:vAlign w:val="bottom"/>
            <w:gridSpan w:val="2"/>
          </w:tcPr>
          <w:p>
            <w:pPr>
              <w:jc w:val="right"/>
              <w:ind w:right="1200"/>
              <w:spacing w:after="0" w:line="190" w:lineRule="exact"/>
              <w:rPr>
                <w:sz w:val="20"/>
                <w:szCs w:val="20"/>
                <w:color w:val="auto"/>
              </w:rPr>
            </w:pPr>
            <w:r>
              <w:rPr>
                <w:rFonts w:ascii="Arial" w:cs="Arial" w:eastAsia="Arial" w:hAnsi="Arial"/>
                <w:sz w:val="18"/>
                <w:szCs w:val="18"/>
                <w:color w:val="auto"/>
                <w:w w:val="88"/>
              </w:rPr>
              <w:t>Condensed Consolidated Statements of Cash Flows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7"/>
        </w:trPr>
        <w:tc>
          <w:tcPr>
            <w:tcW w:w="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360"/>
              <w:spacing w:after="0"/>
              <w:rPr>
                <w:sz w:val="20"/>
                <w:szCs w:val="20"/>
                <w:color w:val="auto"/>
              </w:rPr>
            </w:pPr>
            <w:r>
              <w:rPr>
                <w:rFonts w:ascii="Arial" w:cs="Arial" w:eastAsia="Arial" w:hAnsi="Arial"/>
                <w:sz w:val="18"/>
                <w:szCs w:val="18"/>
                <w:color w:val="auto"/>
                <w:w w:val="91"/>
              </w:rPr>
              <w:t>Six months ended June 30,</w:t>
            </w:r>
          </w:p>
        </w:tc>
      </w:tr>
      <w:tr>
        <w:trPr>
          <w:trHeight w:val="223"/>
        </w:trPr>
        <w:tc>
          <w:tcPr>
            <w:tcW w:w="4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4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right"/>
              <w:ind w:right="380"/>
              <w:spacing w:after="0"/>
              <w:rPr>
                <w:sz w:val="20"/>
                <w:szCs w:val="20"/>
                <w:color w:val="auto"/>
              </w:rPr>
            </w:pPr>
            <w:r>
              <w:rPr>
                <w:rFonts w:ascii="Arial" w:cs="Arial" w:eastAsia="Arial" w:hAnsi="Arial"/>
                <w:sz w:val="18"/>
                <w:szCs w:val="18"/>
                <w:color w:val="auto"/>
                <w:w w:val="94"/>
              </w:rPr>
              <w:t>(unaudited - In thousands)</w:t>
            </w:r>
          </w:p>
        </w:tc>
      </w:tr>
      <w:tr>
        <w:trPr>
          <w:trHeight w:val="223"/>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20,111</w:t>
            </w:r>
          </w:p>
        </w:tc>
      </w:tr>
      <w:tr>
        <w:trPr>
          <w:trHeight w:val="216"/>
        </w:trPr>
        <w:tc>
          <w:tcPr>
            <w:tcW w:w="868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Proceeds from the sale of equity securities at fair value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Proceeds from sales of loans held for sale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637,682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222,953</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Disbursements for loans held for sale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(625,106)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(233,170)</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Deferred income tax expense (benefit)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Net deferred loan (fees) costs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(1,947)</w:t>
            </w:r>
          </w:p>
        </w:tc>
      </w:tr>
      <w:tr>
        <w:trPr>
          <w:trHeight w:val="202"/>
        </w:trPr>
        <w:tc>
          <w:tcPr>
            <w:tcW w:w="8680" w:type="dxa"/>
            <w:vAlign w:val="bottom"/>
            <w:gridSpan w:val="4"/>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Net depreciation, amortization of intangible assets and premiums and accretion of discounts on securities, loans 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interest bearing deposits - time</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2,906</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Net gains on mortgage loans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(26,482)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(7,913)</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Net gains on securities available for sale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Share based compensation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(Increase) decrease in accrued income and other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(3,112)</w:t>
            </w:r>
          </w:p>
        </w:tc>
      </w:tr>
      <w:tr>
        <w:trPr>
          <w:trHeight w:val="223"/>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Increase in accrued expenses and other liabilities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10,125</w:t>
            </w:r>
          </w:p>
        </w:tc>
      </w:tr>
      <w:tr>
        <w:trPr>
          <w:trHeight w:val="223"/>
        </w:trPr>
        <w:tc>
          <w:tcPr>
            <w:tcW w:w="400" w:type="dxa"/>
            <w:vAlign w:val="bottom"/>
            <w:tcBorders>
              <w:bottom w:val="single" w:sz="8" w:color="CCEEFF"/>
            </w:tcBorders>
            <w:shd w:val="clear" w:color="auto" w:fill="CCEEFF"/>
          </w:tcPr>
          <w:p>
            <w:pPr>
              <w:spacing w:after="0"/>
              <w:rPr>
                <w:sz w:val="19"/>
                <w:szCs w:val="19"/>
                <w:color w:val="auto"/>
              </w:rPr>
            </w:pPr>
          </w:p>
        </w:tc>
        <w:tc>
          <w:tcPr>
            <w:tcW w:w="336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Total Adjustments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920" w:type="dxa"/>
            <w:vAlign w:val="bottom"/>
            <w:gridSpan w:val="2"/>
          </w:tcPr>
          <w:p>
            <w:pPr>
              <w:jc w:val="right"/>
              <w:ind w:right="120"/>
              <w:spacing w:after="0"/>
              <w:rPr>
                <w:sz w:val="20"/>
                <w:szCs w:val="20"/>
                <w:color w:val="auto"/>
              </w:rPr>
            </w:pPr>
            <w:r>
              <w:rPr>
                <w:rFonts w:ascii="Arial" w:cs="Arial" w:eastAsia="Arial" w:hAnsi="Arial"/>
                <w:sz w:val="18"/>
                <w:szCs w:val="18"/>
                <w:color w:val="auto"/>
              </w:rPr>
              <w:t>Net Cash From Operating Activities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13,937</w:t>
            </w: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Flow Used in Investing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Proceeds from the sale of securities available for sale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42,236</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Proceeds from maturities, prepayments and calls of securities available for sale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76,579</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Purchases of securities available for sale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(447,645)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(81,639)</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Proceeds from the maturity of interest bearing deposits - time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Purchase of Federal Home Loan Bank stock</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(181,765)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(152,256)</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Proceeds from the sale of portfolio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40,630</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Proceeds from bank-owned life insurance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(1,542)</w:t>
            </w:r>
          </w:p>
        </w:tc>
      </w:tr>
      <w:tr>
        <w:trPr>
          <w:trHeight w:val="27"/>
        </w:trPr>
        <w:tc>
          <w:tcPr>
            <w:tcW w:w="40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920" w:type="dxa"/>
            <w:vAlign w:val="bottom"/>
            <w:gridSpan w:val="2"/>
          </w:tcPr>
          <w:p>
            <w:pPr>
              <w:jc w:val="right"/>
              <w:ind w:right="1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(479,237)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(75,084)</w:t>
            </w: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Net increase in total deposits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448,398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65,457</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Net increase (decrease) in other borrowings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Proceeds from Federal Home Loan Bank Advances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239,254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27,000</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Payments of Federal Home Loan Bank Advances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(252,910)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(12,143)</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Proceeds from issuance of subordinated debt, net of issuance costs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(8,458)</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(25,782)</w:t>
            </w:r>
          </w:p>
        </w:tc>
      </w:tr>
      <w:tr>
        <w:trPr>
          <w:trHeight w:val="223"/>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Share based compensation withholding obligation</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(866)</w:t>
            </w:r>
          </w:p>
        </w:tc>
      </w:tr>
      <w:tr>
        <w:trPr>
          <w:trHeight w:val="223"/>
        </w:trPr>
        <w:tc>
          <w:tcPr>
            <w:tcW w:w="400" w:type="dxa"/>
            <w:vAlign w:val="bottom"/>
            <w:tcBorders>
              <w:bottom w:val="single" w:sz="8" w:color="CCEEFF"/>
            </w:tcBorders>
            <w:shd w:val="clear" w:color="auto" w:fill="CCEEFF"/>
          </w:tcPr>
          <w:p>
            <w:pPr>
              <w:spacing w:after="0"/>
              <w:rPr>
                <w:sz w:val="19"/>
                <w:szCs w:val="19"/>
                <w:color w:val="auto"/>
              </w:rPr>
            </w:pPr>
          </w:p>
        </w:tc>
        <w:tc>
          <w:tcPr>
            <w:tcW w:w="336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Cash From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425,796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920" w:type="dxa"/>
            <w:vAlign w:val="bottom"/>
            <w:gridSpan w:val="2"/>
          </w:tcPr>
          <w:p>
            <w:pPr>
              <w:jc w:val="right"/>
              <w:ind w:right="120"/>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(9,488)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(15,107)</w:t>
            </w:r>
          </w:p>
        </w:tc>
      </w:tr>
      <w:tr>
        <w:trPr>
          <w:trHeight w:val="223"/>
        </w:trPr>
        <w:tc>
          <w:tcPr>
            <w:tcW w:w="86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920" w:type="dxa"/>
            <w:vAlign w:val="bottom"/>
            <w:gridSpan w:val="2"/>
          </w:tcPr>
          <w:p>
            <w:pPr>
              <w:jc w:val="right"/>
              <w:ind w:right="12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55,816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55,137</w:t>
            </w:r>
          </w:p>
        </w:tc>
      </w:tr>
      <w:tr>
        <w:trPr>
          <w:trHeight w:val="20"/>
        </w:trPr>
        <w:tc>
          <w:tcPr>
            <w:tcW w:w="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Interest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9,126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13,188</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1,127</w:t>
            </w: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w:t>
            </w: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Securitization of portfolio loans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29,790</w:t>
            </w:r>
          </w:p>
        </w:tc>
      </w:tr>
      <w:tr>
        <w:trPr>
          <w:trHeight w:val="230"/>
        </w:trPr>
        <w:tc>
          <w:tcPr>
            <w:tcW w:w="8680" w:type="dxa"/>
            <w:vAlign w:val="bottom"/>
            <w:gridSpan w:val="4"/>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7,703</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Arial" w:cs="Arial" w:eastAsia="Arial" w:hAnsi="Arial"/>
                <w:sz w:val="18"/>
                <w:szCs w:val="18"/>
                <w:i w:val="1"/>
                <w:iCs w:val="1"/>
                <w:color w:val="0000EE"/>
              </w:rPr>
              <w:t>Index</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1"/>
        </w:trPr>
        <w:tc>
          <w:tcPr>
            <w:tcW w:w="400" w:type="dxa"/>
            <w:vAlign w:val="bottom"/>
            <w:tcBorders>
              <w:top w:val="single" w:sz="8" w:color="0000EE"/>
            </w:tcBorders>
          </w:tcPr>
          <w:p>
            <w:pPr>
              <w:spacing w:after="0"/>
              <w:rPr>
                <w:sz w:val="24"/>
                <w:szCs w:val="24"/>
                <w:color w:val="auto"/>
              </w:rPr>
            </w:pPr>
          </w:p>
        </w:tc>
        <w:tc>
          <w:tcPr>
            <w:tcW w:w="8280" w:type="dxa"/>
            <w:vAlign w:val="bottom"/>
            <w:gridSpan w:val="9"/>
          </w:tcPr>
          <w:p>
            <w:pPr>
              <w:jc w:val="right"/>
              <w:ind w:right="660"/>
              <w:spacing w:after="0"/>
              <w:rPr>
                <w:sz w:val="20"/>
                <w:szCs w:val="20"/>
                <w:color w:val="auto"/>
              </w:rPr>
            </w:pPr>
            <w:r>
              <w:rPr>
                <w:rFonts w:ascii="Arial" w:cs="Arial" w:eastAsia="Arial" w:hAnsi="Arial"/>
                <w:sz w:val="18"/>
                <w:szCs w:val="18"/>
                <w:color w:val="auto"/>
              </w:rPr>
              <w:t>INDEPENDENT BANK CORPORATION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5260" w:type="dxa"/>
            <w:vAlign w:val="bottom"/>
            <w:gridSpan w:val="8"/>
          </w:tcPr>
          <w:p>
            <w:pPr>
              <w:jc w:val="right"/>
              <w:ind w:right="860"/>
              <w:spacing w:after="0" w:line="190" w:lineRule="exact"/>
              <w:rPr>
                <w:sz w:val="20"/>
                <w:szCs w:val="20"/>
                <w:color w:val="auto"/>
              </w:rPr>
            </w:pPr>
            <w:r>
              <w:rPr>
                <w:rFonts w:ascii="Arial" w:cs="Arial" w:eastAsia="Arial" w:hAnsi="Arial"/>
                <w:sz w:val="18"/>
                <w:szCs w:val="18"/>
                <w:color w:val="auto"/>
                <w:w w:val="89"/>
              </w:rPr>
              <w:t>Condensed Consolidated Statements of Shareholders’ Equity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5"/>
        </w:trPr>
        <w:tc>
          <w:tcPr>
            <w:tcW w:w="4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Retained</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Earnings</w:t>
            </w: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Other</w:t>
            </w:r>
          </w:p>
        </w:tc>
        <w:tc>
          <w:tcPr>
            <w:tcW w:w="30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w:t>
            </w:r>
          </w:p>
        </w:tc>
      </w:tr>
      <w:tr>
        <w:trPr>
          <w:trHeight w:val="216"/>
        </w:trPr>
        <w:tc>
          <w:tcPr>
            <w:tcW w:w="4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Common</w:t>
            </w:r>
          </w:p>
        </w:tc>
        <w:tc>
          <w:tcPr>
            <w:tcW w:w="132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(Accumulated</w:t>
            </w:r>
          </w:p>
        </w:tc>
        <w:tc>
          <w:tcPr>
            <w:tcW w:w="134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Shareholders’</w:t>
            </w:r>
          </w:p>
        </w:tc>
      </w:tr>
      <w:tr>
        <w:trPr>
          <w:trHeight w:val="237"/>
        </w:trPr>
        <w:tc>
          <w:tcPr>
            <w:tcW w:w="4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Stock</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9"/>
              </w:rPr>
              <w:t>Deficit)</w:t>
            </w: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Income (Loss)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20"/>
                <w:szCs w:val="20"/>
                <w:color w:val="auto"/>
              </w:rPr>
            </w:pPr>
          </w:p>
        </w:tc>
      </w:tr>
      <w:tr>
        <w:trPr>
          <w:trHeight w:val="216"/>
        </w:trPr>
        <w:tc>
          <w:tcPr>
            <w:tcW w:w="4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10"/>
          </w:tcPr>
          <w:p>
            <w:pPr>
              <w:jc w:val="right"/>
              <w:spacing w:after="0"/>
              <w:rPr>
                <w:sz w:val="20"/>
                <w:szCs w:val="20"/>
                <w:color w:val="auto"/>
              </w:rPr>
            </w:pPr>
            <w:r>
              <w:rPr>
                <w:rFonts w:ascii="Arial" w:cs="Arial" w:eastAsia="Arial" w:hAnsi="Arial"/>
                <w:sz w:val="18"/>
                <w:szCs w:val="18"/>
                <w:color w:val="auto"/>
              </w:rPr>
              <w:t>(Dollars in thousands, except per share amounts)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Balances at April 1, 2020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338,528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1,944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335,618</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Net income, three months ended June 30, 2020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14,772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14,772</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dividends declared, $0.20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(4,378)</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Issuance of 350 shares of common stock</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based compensation (issuance of zero shares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r>
      <w:tr>
        <w:trPr>
          <w:trHeight w:val="202"/>
        </w:trPr>
        <w:tc>
          <w:tcPr>
            <w:tcW w:w="5980" w:type="dxa"/>
            <w:vAlign w:val="bottom"/>
            <w:gridSpan w:val="3"/>
          </w:tcPr>
          <w:p>
            <w:pPr>
              <w:spacing w:after="0" w:line="201" w:lineRule="exact"/>
              <w:rPr>
                <w:sz w:val="20"/>
                <w:szCs w:val="20"/>
                <w:color w:val="auto"/>
              </w:rPr>
            </w:pPr>
            <w:r>
              <w:rPr>
                <w:rFonts w:ascii="Arial" w:cs="Arial" w:eastAsia="Arial" w:hAnsi="Arial"/>
                <w:sz w:val="18"/>
                <w:szCs w:val="18"/>
                <w:color w:val="auto"/>
                <w:w w:val="94"/>
              </w:rPr>
              <w:t>Share based compensation withholding obligation (withholding of 156 shares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8,650</w:t>
            </w:r>
          </w:p>
        </w:tc>
      </w:tr>
      <w:tr>
        <w:trPr>
          <w:trHeight w:val="27"/>
        </w:trPr>
        <w:tc>
          <w:tcPr>
            <w:tcW w:w="40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Balances at June 30, 2020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338,989</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12,338</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355,123</w:t>
            </w:r>
          </w:p>
        </w:tc>
      </w:tr>
      <w:tr>
        <w:trPr>
          <w:trHeight w:val="21"/>
        </w:trPr>
        <w:tc>
          <w:tcPr>
            <w:tcW w:w="4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Balances at April, 1 2019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374,678</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(23,135)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344,726</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three months ended June 30, 2019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10,730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10,730</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Cash dividends declared, $0.18 per share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(4,212)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(4,212)</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Repurchase of 1,063,901 shares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(23,252)</w:t>
            </w: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(23,252)</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Share based compensation (issuance of 2,498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w:t>
            </w:r>
          </w:p>
        </w:tc>
      </w:tr>
      <w:tr>
        <w:trPr>
          <w:trHeight w:val="27"/>
        </w:trPr>
        <w:tc>
          <w:tcPr>
            <w:tcW w:w="40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Balances at June 30, 2019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351,894</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(16,617)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(4,431)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330,846</w:t>
            </w:r>
          </w:p>
        </w:tc>
      </w:tr>
      <w:tr>
        <w:trPr>
          <w:trHeight w:val="20"/>
        </w:trPr>
        <w:tc>
          <w:tcPr>
            <w:tcW w:w="4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Balances at January 1, 2020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352,344</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1,611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(3,786)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350,169</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income,six months ended June 30, 2020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19,582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19,582</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Cash dividends declared, $0.40 per share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(8,855)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(8,855)</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Repurchase of 678,929 shares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(13,784)</w:t>
            </w: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(13,784)</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Issuance of 11,917 shares of common stock</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based compensation (issuance of 93,882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r>
      <w:tr>
        <w:trPr>
          <w:trHeight w:val="202"/>
        </w:trPr>
        <w:tc>
          <w:tcPr>
            <w:tcW w:w="5980" w:type="dxa"/>
            <w:vAlign w:val="bottom"/>
            <w:gridSpan w:val="3"/>
          </w:tcPr>
          <w:p>
            <w:pPr>
              <w:spacing w:after="0" w:line="201" w:lineRule="exact"/>
              <w:rPr>
                <w:sz w:val="20"/>
                <w:szCs w:val="20"/>
                <w:color w:val="auto"/>
              </w:rPr>
            </w:pPr>
            <w:r>
              <w:rPr>
                <w:rFonts w:ascii="Arial" w:cs="Arial" w:eastAsia="Arial" w:hAnsi="Arial"/>
                <w:sz w:val="18"/>
                <w:szCs w:val="18"/>
                <w:color w:val="auto"/>
                <w:w w:val="93"/>
              </w:rPr>
              <w:t>Share based compensation withholding obligation (withholding of 28,330 shares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of common stock)</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20"/>
                <w:szCs w:val="20"/>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w:t>
            </w:r>
          </w:p>
        </w:tc>
      </w:tr>
      <w:tr>
        <w:trPr>
          <w:trHeight w:val="27"/>
        </w:trPr>
        <w:tc>
          <w:tcPr>
            <w:tcW w:w="40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Balances at June 30, 2020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338,989</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12,338</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355,123</w:t>
            </w:r>
          </w:p>
        </w:tc>
      </w:tr>
      <w:tr>
        <w:trPr>
          <w:trHeight w:val="20"/>
        </w:trPr>
        <w:tc>
          <w:tcPr>
            <w:tcW w:w="4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Balances at January 1, 2019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377,372</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(28,270)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(10,108)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338,994</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six months ended June 30, 2019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20,111</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Cash dividends declared, $0.36 per share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(8,458)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(8,458)</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Repurchase of 1,179,688 shares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(25,782)</w:t>
            </w: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(25,782)</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Issuance of 68,399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based compensation (issuance of 86,626 shares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888</w:t>
            </w: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w:t>
            </w:r>
          </w:p>
        </w:tc>
      </w:tr>
      <w:tr>
        <w:trPr>
          <w:trHeight w:val="202"/>
        </w:trPr>
        <w:tc>
          <w:tcPr>
            <w:tcW w:w="5980" w:type="dxa"/>
            <w:vAlign w:val="bottom"/>
            <w:gridSpan w:val="3"/>
          </w:tcPr>
          <w:p>
            <w:pPr>
              <w:spacing w:after="0" w:line="201" w:lineRule="exact"/>
              <w:rPr>
                <w:sz w:val="20"/>
                <w:szCs w:val="20"/>
                <w:color w:val="auto"/>
              </w:rPr>
            </w:pPr>
            <w:r>
              <w:rPr>
                <w:rFonts w:ascii="Arial" w:cs="Arial" w:eastAsia="Arial" w:hAnsi="Arial"/>
                <w:sz w:val="18"/>
                <w:szCs w:val="18"/>
                <w:color w:val="auto"/>
                <w:w w:val="93"/>
              </w:rPr>
              <w:t>Share based compensation withholding obligation (withholding of 56,286 shares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of common stock)</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160" w:type="dxa"/>
            <w:vAlign w:val="bottom"/>
          </w:tcPr>
          <w:p>
            <w:pPr>
              <w:spacing w:after="0"/>
              <w:rPr>
                <w:sz w:val="20"/>
                <w:szCs w:val="20"/>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(866)</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w:t>
            </w:r>
          </w:p>
        </w:tc>
      </w:tr>
      <w:tr>
        <w:trPr>
          <w:trHeight w:val="27"/>
        </w:trPr>
        <w:tc>
          <w:tcPr>
            <w:tcW w:w="40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Balances at June 30, 2019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351,894</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(16,617)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(4,431)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330,846</w:t>
            </w:r>
          </w:p>
        </w:tc>
      </w:tr>
      <w:tr>
        <w:trPr>
          <w:trHeight w:val="20"/>
        </w:trPr>
        <w:tc>
          <w:tcPr>
            <w:tcW w:w="4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2019 included in our Annual Report on Form 10-K.</w:t>
      </w:r>
    </w:p>
    <w:p>
      <w:pPr>
        <w:spacing w:after="0" w:line="18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our opinion, the accompanying unaudited condensed consolidated financial statements contain all the adjustments necessary to present fairly our consolidated financial condition as of June 30, 2020 and December 31, 2019, and the results of operations for the three and six-month periods ended June 30, 2020 and 2019. The results of operations for the three and six-month periods ended June 30, 2020,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loan losses and the valuation of capitalized mortgage loan servicing rights. Refer to our 2019 Annual Report on Form 10-K for a disclosure of our accounting policies.</w:t>
      </w:r>
    </w:p>
    <w:p>
      <w:pPr>
        <w:spacing w:after="0" w:line="19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This ASU:</w:t>
      </w:r>
    </w:p>
    <w:p>
      <w:pPr>
        <w:spacing w:after="0" w:line="252" w:lineRule="exact"/>
        <w:rPr>
          <w:sz w:val="20"/>
          <w:szCs w:val="20"/>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Replaces the existing incurred loss impairment guidance and establishes a single allowance framework for financial assets carried at amortized cost, which will reflect our estimate of credit losses over the full remaining expected life of the financial assets and will consider expected future changes in macroeconomic conditions.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Eliminates existing guidance for purchase credit impaired (‘‘PCI’’) loans, and requires recognition of the nonaccretable difference as an increase to the allowance for expected credit losses on financial assets purchased with more than insignificant credit deterioration since origination, which will be offset by an increase in the recorded investment of the related loans.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Requires inclusion of expected recoveries, limited to the cumulative amount of prior write-offs, when estimating the allowance for credit losses for in scope financial assets (including collateral dependent assets).</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Amends existing impairment guidance for securities available for sale to incorporate an allowance, which will allow for reversals of credit impairments in the event that the credit of an issuer improves. Credit losses on securities available for sale are limited to the amount of the decline in fair value regardless of what the credit loss model would show for impairment.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requires a cumulative-effect adjustment to retained earnings as of the beginning of the reporting period of adoption.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began evaluating this ASU in 2016 and established a company-wide, cross-discipline governance structure, which provides implementation oversight. We continued to test and refine our current expected credit loss models that satisfied the requirements of this ASU. Oversight and testing, as well as efforts to meet expanded disclosure requirements, extended through the end of 2019. We currently expect to estimate losses over approximately a two year forecast period using the Federal Open Market Committee median economic projections and other economic forecast sources, and then revert to longer term historical loss experience to estimate losses over more extended periods. We were originally required to adopt this ASU on January 1, 2020 but section 4014 of the Coronavirus Aid, Relief, and Economic Security (“CARES”) Act allows for temporary relief from applying this ASU. Under the CARES Act we may delay the adoption of this ASU until the earlier of the termination of the national emergency that President Trump declared on March 13, 2020, or December 31, 2020. As such, we have chosen to delay the adoption of this ASU and continue to utilize the existing incurred loss impairment methodology to calculate our allowance for loan losses and our provision for loan losses as required under Accounting Standards Codification 310 (Receivables). When we adopt this ASU as required under the CARES act we will do so retrospectively to January 1, 2020.</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recognize a one-time cumulative effect adjustment at January 1, 2020 increasing the allowance for loan losses. We are estimating an increase to the allowance for loan losses at that time to be in the range of $8.0 million to $10.0 million primarily driven by the longer contractual maturities of our mortgage and consumer installment loan portfolio segments. In addition, we currently expect this ASU to increase the allowance for losses related to unfunded loan commitments between $1.0 million and $2.0 million. The ultimate impact of adopting this ASU, and at each subsequent reporting period, is highly dependent on credit quality, economic forecasts and conditions, composition of our loan portfolios and securities available for sale, along with other management judgements. The transition adjustment to record the allowance for credit losses may fall outside of our estimated increase based on the finalization of assumptions including qualitative adjustments and the economic forecast used in calculating the allowance for credit losses upon the adoption of CECL.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a material allowance for credit losses to be recorded on securities available for sale upon adoption of this ASU.</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This new ASU amends disclosure requirements in Topic 820 to eliminate, add and modify certain disclosure requirements for fair value measurements as part of its disclosure framework project. The amended guidance eliminates the requirements to disclose the amount of and reasons for transfers between Level 1 and Level 2 of the fair value hierarchy, the entity’s policy for the timing of transfers between levels of the fair value hierarchy and the entity’s valuation processes for Level 3 fair value measurements. The amended guidance adds the requirements to disclose the changes in unrealized gains and losses for the period included in other comprehensive income for recurring Level 3 fair value measurements of instruments held at the end of the reporting period and for recurring and nonrecurring Level 3 fair value measurements, the range and weighted average used to develop significant unobservable inputs and how the weighted average was calculated, with certain exceptions. This amended guidance was effective for us on January 1, 2020, and did not have a material impact on our consolidated operating results or financial condition.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 This amended guidance and our ability to elect its temporary optional expedients and exceptions are effective for us as of March 12, 2020 through December 31,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Arial" w:cs="Arial" w:eastAsia="Arial" w:hAnsi="Arial"/>
                <w:sz w:val="18"/>
                <w:szCs w:val="18"/>
                <w:color w:val="auto"/>
              </w:rPr>
              <w:t>3.  Securities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available for sale consist of the following:</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Amortized</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Cost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June 30, 2020</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3"/>
            <w:vMerge w:val="continue"/>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12,185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12,440</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U.S. agency residential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287,751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5,413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292,930</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 commercial mortgage-backed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8,973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9,368</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Private label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40,862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41,351</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226,307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226,273</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202,105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5,620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207,555</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61,306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64,184</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Trust preferred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1,969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Foreign government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841,958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16,840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856,280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December 31, 2019</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14,591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14,661</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U.S. agency residential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226,130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1,910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227,762</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 commercial mortgage-backed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10,671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10,756</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Private label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39,248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39,693</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94,158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93,886</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94,499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1,724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96,102</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31,904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33,195</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Trust preferred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1,968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Foreign government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513,668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5,782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518,400</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jc w:val="right"/>
              <w:ind w:right="540"/>
              <w:spacing w:after="0"/>
              <w:rPr>
                <w:sz w:val="20"/>
                <w:szCs w:val="20"/>
                <w:color w:val="auto"/>
              </w:rPr>
            </w:pPr>
            <w:r>
              <w:rPr>
                <w:rFonts w:ascii="Arial" w:cs="Arial" w:eastAsia="Arial" w:hAnsi="Arial"/>
                <w:sz w:val="18"/>
                <w:szCs w:val="18"/>
                <w:color w:val="auto"/>
                <w:w w:val="97"/>
              </w:rPr>
              <w:t>Less Than Twelve Months</w:t>
            </w:r>
          </w:p>
        </w:tc>
        <w:tc>
          <w:tcPr>
            <w:tcW w:w="160" w:type="dxa"/>
            <w:vAlign w:val="bottom"/>
          </w:tcPr>
          <w:p>
            <w:pPr>
              <w:spacing w:after="0"/>
              <w:rPr>
                <w:sz w:val="20"/>
                <w:szCs w:val="20"/>
                <w:color w:val="auto"/>
              </w:rPr>
            </w:pPr>
          </w:p>
        </w:tc>
        <w:tc>
          <w:tcPr>
            <w:tcW w:w="2520" w:type="dxa"/>
            <w:vAlign w:val="bottom"/>
            <w:gridSpan w:val="5"/>
          </w:tcPr>
          <w:p>
            <w:pPr>
              <w:jc w:val="right"/>
              <w:ind w:right="560"/>
              <w:spacing w:after="0"/>
              <w:rPr>
                <w:sz w:val="20"/>
                <w:szCs w:val="20"/>
                <w:color w:val="auto"/>
              </w:rPr>
            </w:pPr>
            <w:r>
              <w:rPr>
                <w:rFonts w:ascii="Arial" w:cs="Arial" w:eastAsia="Arial" w:hAnsi="Arial"/>
                <w:sz w:val="18"/>
                <w:szCs w:val="18"/>
                <w:color w:val="auto"/>
              </w:rPr>
              <w:t>Twelve Months or More</w:t>
            </w:r>
          </w:p>
        </w:tc>
        <w:tc>
          <w:tcPr>
            <w:tcW w:w="1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5"/>
              </w:rPr>
              <w:t>Unrealized</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r>
      <w:tr>
        <w:trPr>
          <w:trHeight w:val="237"/>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Fair Value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Losses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r>
      <w:tr>
        <w:trPr>
          <w:trHeight w:val="230"/>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280" w:type="dxa"/>
            <w:vAlign w:val="bottom"/>
          </w:tcPr>
          <w:p>
            <w:pPr>
              <w:jc w:val="center"/>
              <w:ind w:right="2170"/>
              <w:spacing w:after="0"/>
              <w:rPr>
                <w:sz w:val="20"/>
                <w:szCs w:val="20"/>
                <w:color w:val="auto"/>
              </w:rPr>
            </w:pPr>
            <w:r>
              <w:rPr>
                <w:rFonts w:ascii="Arial" w:cs="Arial" w:eastAsia="Arial" w:hAnsi="Arial"/>
                <w:sz w:val="18"/>
                <w:szCs w:val="18"/>
                <w:color w:val="auto"/>
                <w:w w:val="89"/>
              </w:rPr>
              <w:t>June 30, 2020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w w:val="94"/>
              </w:rPr>
              <w:t>U.S. agency residential mortgage-backed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55,329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4,859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60,188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Private label mortgage-backed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16,768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Other asset 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24,297</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20,402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44,699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jc w:val="center"/>
              <w:ind w:right="1770"/>
              <w:spacing w:after="0"/>
              <w:rPr>
                <w:sz w:val="20"/>
                <w:szCs w:val="20"/>
                <w:color w:val="auto"/>
              </w:rPr>
            </w:pPr>
            <w:r>
              <w:rPr>
                <w:rFonts w:ascii="Arial" w:cs="Arial" w:eastAsia="Arial" w:hAnsi="Arial"/>
                <w:sz w:val="18"/>
                <w:szCs w:val="18"/>
                <w:color w:val="auto"/>
                <w:w w:val="91"/>
              </w:rPr>
              <w:t>subdivisions</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19,344</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21,428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10,146</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10,146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 preferred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r>
      <w:tr>
        <w:trPr>
          <w:trHeight w:val="27"/>
        </w:trPr>
        <w:tc>
          <w:tcPr>
            <w:tcW w:w="3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jc w:val="center"/>
              <w:ind w:right="2150"/>
              <w:spacing w:after="0"/>
              <w:rPr>
                <w:sz w:val="20"/>
                <w:szCs w:val="20"/>
                <w:color w:val="auto"/>
              </w:rPr>
            </w:pPr>
            <w:r>
              <w:rPr>
                <w:rFonts w:ascii="Arial" w:cs="Arial" w:eastAsia="Arial" w:hAnsi="Arial"/>
                <w:sz w:val="18"/>
                <w:szCs w:val="18"/>
                <w:color w:val="auto"/>
                <w:w w:val="89"/>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127,925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31,596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159,521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2,518</w:t>
            </w: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jc w:val="center"/>
              <w:ind w:right="1770"/>
              <w:spacing w:after="0"/>
              <w:rPr>
                <w:sz w:val="20"/>
                <w:szCs w:val="20"/>
                <w:color w:val="auto"/>
              </w:rPr>
            </w:pPr>
            <w:r>
              <w:rPr>
                <w:rFonts w:ascii="Arial" w:cs="Arial" w:eastAsia="Arial" w:hAnsi="Arial"/>
                <w:sz w:val="18"/>
                <w:szCs w:val="18"/>
                <w:color w:val="auto"/>
                <w:w w:val="89"/>
              </w:rPr>
              <w:t>December 31, 2019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w w:val="94"/>
              </w:rPr>
              <w:t>U.S. agency residential mortgage-backed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56,377</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13,551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69,928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jc w:val="center"/>
              <w:ind w:right="2150"/>
              <w:spacing w:after="0"/>
              <w:rPr>
                <w:sz w:val="20"/>
                <w:szCs w:val="20"/>
                <w:color w:val="auto"/>
              </w:rPr>
            </w:pPr>
            <w:r>
              <w:rPr>
                <w:rFonts w:ascii="Arial" w:cs="Arial" w:eastAsia="Arial" w:hAnsi="Arial"/>
                <w:sz w:val="18"/>
                <w:szCs w:val="18"/>
                <w:color w:val="auto"/>
                <w:w w:val="89"/>
              </w:rPr>
              <w:t>backed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16,387</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16,730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34,027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r>
      <w:tr>
        <w:trPr>
          <w:trHeight w:val="202"/>
        </w:trPr>
        <w:tc>
          <w:tcPr>
            <w:tcW w:w="3280" w:type="dxa"/>
            <w:vAlign w:val="bottom"/>
          </w:tcPr>
          <w:p>
            <w:pPr>
              <w:ind w:left="14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jc w:val="center"/>
              <w:ind w:right="1770"/>
              <w:spacing w:after="0"/>
              <w:rPr>
                <w:sz w:val="20"/>
                <w:szCs w:val="20"/>
                <w:color w:val="auto"/>
              </w:rPr>
            </w:pPr>
            <w:r>
              <w:rPr>
                <w:rFonts w:ascii="Arial" w:cs="Arial" w:eastAsia="Arial" w:hAnsi="Arial"/>
                <w:sz w:val="18"/>
                <w:szCs w:val="18"/>
                <w:color w:val="auto"/>
                <w:w w:val="91"/>
              </w:rPr>
              <w:t>subdivisions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15,666</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21,062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56"/>
        </w:trPr>
        <w:tc>
          <w:tcPr>
            <w:tcW w:w="3280" w:type="dxa"/>
            <w:vAlign w:val="bottom"/>
            <w:tcBorders>
              <w:bottom w:val="single" w:sz="8" w:color="CCEEFF"/>
            </w:tcBorders>
            <w:shd w:val="clear" w:color="auto" w:fill="CCEEFF"/>
          </w:tcPr>
          <w:p>
            <w:pPr>
              <w:jc w:val="center"/>
              <w:ind w:right="2150"/>
              <w:spacing w:after="0"/>
              <w:rPr>
                <w:sz w:val="20"/>
                <w:szCs w:val="20"/>
                <w:color w:val="auto"/>
              </w:rPr>
            </w:pPr>
            <w:r>
              <w:rPr>
                <w:rFonts w:ascii="Arial" w:cs="Arial" w:eastAsia="Arial" w:hAnsi="Arial"/>
                <w:sz w:val="18"/>
                <w:szCs w:val="18"/>
                <w:color w:val="auto"/>
                <w:w w:val="89"/>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130,648</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168,991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 agency and U.S. agency residential mortgage-backed securities — at June 30, 2020, we had 29 U.S. agency and 38 U.S. agency residential mortgage-backed securities whose fair value is less than amortized cost. The unrealized losses are largely attributed to widening spreads to Treasury bonds since acquisition.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Private label mortgage backed, other asset backed and corporate securities — at June 30, 2020, we had 23 private label mortgage backed, 66 other asset backed and 10 corporate securities whose fair value is less than amortized cost. The unrealized losses are primarily due to credit spread widening since acquisition.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Two private label mortgage-backed securities (discussed further below) were reviewed for other than temporary impairment (‘‘OTTI’’) utilizing a cash flow projection. The cash flow analysis forecasts cash flow from the underlying loans in each transaction and then applies these cash flows to the bonds in the securitization.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of states and political subdivisions — at June 30, 2020, we had 15 municipal securities whose fair value is less than amortized cost. The unrealized losses are primarily due to wider benchmark pricing spreads since acquisition.</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Trust preferred securities — at June 30, 2020, we had two trust preferred securities whose fair value is less than amortized cost. Both of our trust preferred 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$0.80 million as of June 30, 2020, continues to have satisfactory credit metrics and make interest payments.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management does not intend to liquidate any of the securities discussed above and it is more likely than not that we will not be required to sell these securities prior to recovery of these unrealized losses, no declines discussed above (other than certain declines related to the two private label mortgage-backed securities currently being reviewed for OTTI) are deemed to be other than temporary.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no credit related OTTI charges in our Condensed Consolidated Statements of Operations related to securities available for sale during the three and six month periods ended June 30,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two private label mortgage-backed securities had credit related OTTI and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Super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Senior</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Senior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9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Security</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Security</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30"/>
        </w:trPr>
        <w:tc>
          <w:tcPr>
            <w:tcW w:w="39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920" w:type="dxa"/>
            <w:vAlign w:val="bottom"/>
          </w:tcPr>
          <w:p>
            <w:pPr>
              <w:spacing w:after="0"/>
              <w:rPr>
                <w:sz w:val="17"/>
                <w:szCs w:val="17"/>
                <w:color w:val="auto"/>
              </w:rPr>
            </w:pPr>
          </w:p>
        </w:tc>
        <w:tc>
          <w:tcPr>
            <w:tcW w:w="358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Amortized cost</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Non-credit unrealized loss</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Unrealized gain</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Cumulative credit related OTTI</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w:t>
            </w:r>
          </w:p>
        </w:tc>
      </w:tr>
      <w:tr>
        <w:trPr>
          <w:trHeight w:val="891"/>
        </w:trPr>
        <w:tc>
          <w:tcPr>
            <w:tcW w:w="3920" w:type="dxa"/>
            <w:vAlign w:val="bottom"/>
          </w:tcPr>
          <w:p>
            <w:pPr>
              <w:spacing w:after="0"/>
              <w:rPr>
                <w:sz w:val="24"/>
                <w:szCs w:val="24"/>
                <w:color w:val="auto"/>
              </w:rPr>
            </w:pPr>
          </w:p>
        </w:tc>
        <w:tc>
          <w:tcPr>
            <w:tcW w:w="3400" w:type="dxa"/>
            <w:vAlign w:val="bottom"/>
          </w:tcPr>
          <w:p>
            <w:pPr>
              <w:jc w:val="right"/>
              <w:ind w:right="151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39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Both of these securities are receiving principal and interest payments similar to principal reductions in the underlying collateral and have unrealized gains at June 30, 2020. The original amortized cost (current amortized cost excluding cumulative credit related OTTI) for each of these securities has been permanently adjusted downward for previously recorded credit related OTTI. The unrealized loss (based on original amortized cost) for both of these securities is now less than previously recorded credit related OTTI amounts.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roll forward of credit losses recognized in earnings on securities available for sale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8"/>
                <w:szCs w:val="18"/>
                <w:color w:val="auto"/>
              </w:rPr>
            </w:pPr>
          </w:p>
        </w:tc>
        <w:tc>
          <w:tcPr>
            <w:tcW w:w="2420" w:type="dxa"/>
            <w:vAlign w:val="bottom"/>
            <w:gridSpan w:val="5"/>
          </w:tcPr>
          <w:p>
            <w:pPr>
              <w:ind w:left="460"/>
              <w:spacing w:after="0"/>
              <w:rPr>
                <w:sz w:val="20"/>
                <w:szCs w:val="20"/>
                <w:color w:val="auto"/>
              </w:rPr>
            </w:pPr>
            <w:r>
              <w:rPr>
                <w:rFonts w:ascii="Arial" w:cs="Arial" w:eastAsia="Arial" w:hAnsi="Arial"/>
                <w:sz w:val="18"/>
                <w:szCs w:val="18"/>
                <w:color w:val="auto"/>
              </w:rPr>
              <w:t>Six months ended</w:t>
            </w: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w:t>
            </w:r>
          </w:p>
        </w:tc>
      </w:tr>
      <w:tr>
        <w:trPr>
          <w:trHeight w:val="202"/>
        </w:trPr>
        <w:tc>
          <w:tcPr>
            <w:tcW w:w="5980" w:type="dxa"/>
            <w:vAlign w:val="bottom"/>
          </w:tcPr>
          <w:p>
            <w:pPr>
              <w:ind w:left="140"/>
              <w:spacing w:after="0" w:line="201" w:lineRule="exact"/>
              <w:rPr>
                <w:sz w:val="20"/>
                <w:szCs w:val="20"/>
                <w:color w:val="auto"/>
              </w:rPr>
            </w:pPr>
            <w:r>
              <w:rPr>
                <w:rFonts w:ascii="Arial" w:cs="Arial" w:eastAsia="Arial" w:hAnsi="Arial"/>
                <w:sz w:val="18"/>
                <w:szCs w:val="18"/>
                <w:color w:val="auto"/>
              </w:rPr>
              <w:t>Additions to credit losses on securities for which no previous OTTI was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recognized</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Increases to credit losses on securities for which OTTI was previously</w:t>
            </w: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recognized</w:t>
            </w:r>
          </w:p>
        </w:tc>
        <w:tc>
          <w:tcPr>
            <w:tcW w:w="24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1,214</w:t>
            </w:r>
          </w:p>
        </w:tc>
        <w:tc>
          <w:tcPr>
            <w:tcW w:w="24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1,214</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1,594</w:t>
            </w:r>
          </w:p>
        </w:tc>
      </w:tr>
      <w:tr>
        <w:trPr>
          <w:trHeight w:val="21"/>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700" w:type="dxa"/>
            <w:vAlign w:val="bottom"/>
            <w:gridSpan w:val="7"/>
          </w:tcPr>
          <w:p>
            <w:pPr>
              <w:spacing w:after="0"/>
              <w:rPr>
                <w:sz w:val="20"/>
                <w:szCs w:val="20"/>
                <w:color w:val="auto"/>
              </w:rPr>
            </w:pPr>
            <w:r>
              <w:rPr>
                <w:rFonts w:ascii="Arial" w:cs="Arial" w:eastAsia="Arial" w:hAnsi="Arial"/>
                <w:sz w:val="18"/>
                <w:szCs w:val="18"/>
                <w:color w:val="auto"/>
                <w:w w:val="96"/>
              </w:rPr>
              <w:t>The amortized cost and fair value of securities available for sale at June 30, 2020, by contractual maturity, follow:</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76"/>
              <w:spacing w:after="0"/>
              <w:rPr>
                <w:sz w:val="20"/>
                <w:szCs w:val="20"/>
                <w:color w:val="auto"/>
              </w:rPr>
            </w:pPr>
            <w:r>
              <w:rPr>
                <w:rFonts w:ascii="Arial" w:cs="Arial" w:eastAsia="Arial" w:hAnsi="Arial"/>
                <w:sz w:val="18"/>
                <w:szCs w:val="18"/>
                <w:color w:val="auto"/>
                <w:w w:val="93"/>
              </w:rPr>
              <w:t>Amortized</w:t>
            </w:r>
          </w:p>
        </w:tc>
        <w:tc>
          <w:tcPr>
            <w:tcW w:w="360" w:type="dxa"/>
            <w:vAlign w:val="bottom"/>
          </w:tcPr>
          <w:p>
            <w:pPr>
              <w:spacing w:after="0"/>
              <w:rPr>
                <w:sz w:val="24"/>
                <w:szCs w:val="2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Fair</w:t>
            </w:r>
          </w:p>
        </w:tc>
      </w:tr>
      <w:tr>
        <w:trPr>
          <w:trHeight w:val="237"/>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18,298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36"/>
              <w:spacing w:after="0"/>
              <w:rPr>
                <w:sz w:val="20"/>
                <w:szCs w:val="20"/>
                <w:color w:val="auto"/>
              </w:rPr>
            </w:pPr>
            <w:r>
              <w:rPr>
                <w:rFonts w:ascii="Arial" w:cs="Arial" w:eastAsia="Arial" w:hAnsi="Arial"/>
                <w:sz w:val="18"/>
                <w:szCs w:val="18"/>
                <w:color w:val="auto"/>
              </w:rPr>
              <w:t>75,085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77,526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55,718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58,911</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128,964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131,509</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278,065</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286,358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287,751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292,930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36"/>
              <w:spacing w:after="0"/>
              <w:rPr>
                <w:sz w:val="20"/>
                <w:szCs w:val="20"/>
                <w:color w:val="auto"/>
              </w:rPr>
            </w:pPr>
            <w:r>
              <w:rPr>
                <w:rFonts w:ascii="Arial" w:cs="Arial" w:eastAsia="Arial" w:hAnsi="Arial"/>
                <w:sz w:val="18"/>
                <w:szCs w:val="18"/>
                <w:color w:val="auto"/>
              </w:rPr>
              <w:t>40,862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41,351</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226,307</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226,273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841,958</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856,280</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six month periods ending June 30,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Realized</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Proceeds</w:t>
            </w:r>
          </w:p>
        </w:tc>
        <w:tc>
          <w:tcPr>
            <w:tcW w:w="22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Gains</w:t>
            </w:r>
          </w:p>
        </w:tc>
        <w:tc>
          <w:tcPr>
            <w:tcW w:w="2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1"/>
              </w:rPr>
              <w:t>Losses</w:t>
            </w:r>
          </w:p>
        </w:tc>
        <w:tc>
          <w:tcPr>
            <w:tcW w:w="100" w:type="dxa"/>
            <w:vAlign w:val="bottom"/>
          </w:tcPr>
          <w:p>
            <w:pPr>
              <w:spacing w:after="0"/>
              <w:rPr>
                <w:sz w:val="19"/>
                <w:szCs w:val="19"/>
                <w:color w:val="auto"/>
              </w:rPr>
            </w:pPr>
          </w:p>
        </w:tc>
      </w:tr>
      <w:tr>
        <w:trPr>
          <w:trHeight w:val="216"/>
        </w:trPr>
        <w:tc>
          <w:tcPr>
            <w:tcW w:w="29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jc w:val="right"/>
              <w:ind w:right="2510"/>
              <w:spacing w:after="0"/>
              <w:rPr>
                <w:sz w:val="20"/>
                <w:szCs w:val="20"/>
                <w:color w:val="auto"/>
              </w:rPr>
            </w:pPr>
            <w:r>
              <w:rPr>
                <w:rFonts w:ascii="Arial" w:cs="Arial" w:eastAsia="Arial" w:hAnsi="Arial"/>
                <w:sz w:val="18"/>
                <w:szCs w:val="18"/>
                <w:color w:val="auto"/>
                <w:w w:val="84"/>
              </w:rPr>
              <w:t>2020</w:t>
            </w:r>
          </w:p>
        </w:tc>
        <w:tc>
          <w:tcPr>
            <w:tcW w:w="4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tcPr>
          <w:p>
            <w:pPr>
              <w:jc w:val="right"/>
              <w:ind w:right="2510"/>
              <w:spacing w:after="0"/>
              <w:rPr>
                <w:sz w:val="20"/>
                <w:szCs w:val="20"/>
                <w:color w:val="auto"/>
              </w:rPr>
            </w:pPr>
            <w:r>
              <w:rPr>
                <w:rFonts w:ascii="Arial" w:cs="Arial" w:eastAsia="Arial" w:hAnsi="Arial"/>
                <w:sz w:val="18"/>
                <w:szCs w:val="18"/>
                <w:color w:val="auto"/>
                <w:w w:val="84"/>
              </w:rPr>
              <w:t>2019</w:t>
            </w: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42,236</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634"/>
        </w:trPr>
        <w:tc>
          <w:tcPr>
            <w:tcW w:w="2960" w:type="dxa"/>
            <w:vAlign w:val="bottom"/>
          </w:tcPr>
          <w:p>
            <w:pPr>
              <w:spacing w:after="0"/>
              <w:rPr>
                <w:sz w:val="24"/>
                <w:szCs w:val="24"/>
                <w:color w:val="auto"/>
              </w:rPr>
            </w:pPr>
          </w:p>
        </w:tc>
        <w:tc>
          <w:tcPr>
            <w:tcW w:w="4360" w:type="dxa"/>
            <w:vAlign w:val="bottom"/>
          </w:tcPr>
          <w:p>
            <w:pPr>
              <w:jc w:val="right"/>
              <w:ind w:right="151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296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preferred stocks which were all sold during the first quarter of 2019 had been classified as equity securities at fair value in our Condensed Consolidated Statement of Financial Condition. During the six months ended June 30, 2019 we recognized gains on these preferred stocks of $0.167 million that are included in net gains on securities in the Condensed Consolidated Statements of Operations.</w:t>
      </w:r>
    </w:p>
    <w:p>
      <w:pPr>
        <w:spacing w:after="0" w:line="21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assessment of the allowance for loan losses is based on an evaluation of the loan portfolio, recent and historical loss experience, current economic conditions and other pertinent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loan losses by portfolio segment for the three months ended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Mortgage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Allocation</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32,495</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8,731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7,261</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17,291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8,412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25,254</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8,121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8,062</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25,903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loan losses by portfolio segment for the six months ended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Mortgage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Allocation</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8,216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26,148</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11,909</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1,166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8,731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7,261</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17,291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24,888</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8,121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8,062</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25,903</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 and recorded investment in loans by portfolio segment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Allocation</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June 30, 2020</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17,291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27,140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Total ending allowance for loan losses balance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8,731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7,261</w:t>
            </w:r>
          </w:p>
        </w:tc>
        <w:tc>
          <w:tcPr>
            <w:tcW w:w="10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17,291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63,238</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1,345,774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1,003,774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460,261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2,809,809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Total loans recorded investment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1,365,968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1,046,014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463,211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2,875,193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included in recorded investment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8,530</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1,362,956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1,041,684</w:t>
            </w:r>
          </w:p>
        </w:tc>
        <w:tc>
          <w:tcPr>
            <w:tcW w:w="10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2,866,663</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4,863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19,993</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ending allowance for loan losses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9,393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43,574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2,925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55,892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1,058,917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457,370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2,675,193</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loans recorded investment</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1,169,693</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Arial" w:cs="Arial" w:eastAsia="Arial" w:hAnsi="Arial"/>
                <w:sz w:val="18"/>
                <w:szCs w:val="18"/>
                <w:color w:val="auto"/>
              </w:rPr>
              <w:t>Accrued interest included in recorded investment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1,194</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8,347</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1,166,695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1,098,911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459,417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2,725,023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Loans on non-accrual status and past due more than 90 days (“Non-performing Loans”) follow</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880" w:type="dxa"/>
            <w:vAlign w:val="bottom"/>
          </w:tcPr>
          <w:p>
            <w:pPr>
              <w:jc w:val="center"/>
              <w:ind w:left="21"/>
              <w:spacing w:after="0"/>
              <w:rPr>
                <w:sz w:val="20"/>
                <w:szCs w:val="20"/>
                <w:color w:val="auto"/>
              </w:rPr>
            </w:pPr>
            <w:r>
              <w:rPr>
                <w:rFonts w:ascii="Arial" w:cs="Arial" w:eastAsia="Arial" w:hAnsi="Arial"/>
                <w:sz w:val="18"/>
                <w:szCs w:val="18"/>
                <w:color w:val="auto"/>
                <w:w w:val="88"/>
              </w:rPr>
              <w:t>90+ and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Total Non-</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880" w:type="dxa"/>
            <w:vAlign w:val="bottom"/>
          </w:tcPr>
          <w:p>
            <w:pPr>
              <w:jc w:val="center"/>
              <w:ind w:left="21"/>
              <w:spacing w:after="0"/>
              <w:rPr>
                <w:sz w:val="20"/>
                <w:szCs w:val="20"/>
                <w:color w:val="auto"/>
              </w:rPr>
            </w:pPr>
            <w:r>
              <w:rPr>
                <w:rFonts w:ascii="Arial" w:cs="Arial" w:eastAsia="Arial" w:hAnsi="Arial"/>
                <w:sz w:val="18"/>
                <w:szCs w:val="18"/>
                <w:color w:val="auto"/>
              </w:rPr>
              <w:t>Still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Non-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Performing</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880" w:type="dxa"/>
            <w:vAlign w:val="bottom"/>
          </w:tcPr>
          <w:p>
            <w:pPr>
              <w:jc w:val="center"/>
              <w:ind w:left="41"/>
              <w:spacing w:after="0"/>
              <w:rPr>
                <w:sz w:val="20"/>
                <w:szCs w:val="20"/>
                <w:color w:val="auto"/>
              </w:rPr>
            </w:pPr>
            <w:r>
              <w:rPr>
                <w:rFonts w:ascii="Arial" w:cs="Arial" w:eastAsia="Arial" w:hAnsi="Arial"/>
                <w:sz w:val="18"/>
                <w:szCs w:val="18"/>
                <w:color w:val="auto"/>
                <w:w w:val="97"/>
              </w:rPr>
              <w:t>Accruing</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Accrual</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30"/>
        </w:trPr>
        <w:tc>
          <w:tcPr>
            <w:tcW w:w="6600" w:type="dxa"/>
            <w:vAlign w:val="bottom"/>
            <w:vMerge w:val="restart"/>
          </w:tcPr>
          <w:p>
            <w:pPr>
              <w:spacing w:after="0"/>
              <w:rPr>
                <w:sz w:val="20"/>
                <w:szCs w:val="20"/>
                <w:color w:val="auto"/>
              </w:rPr>
            </w:pPr>
            <w:r>
              <w:rPr>
                <w:rFonts w:ascii="Arial" w:cs="Arial" w:eastAsia="Arial" w:hAnsi="Arial"/>
                <w:sz w:val="18"/>
                <w:szCs w:val="18"/>
                <w:color w:val="auto"/>
              </w:rPr>
              <w:t>June 30, 2020</w:t>
            </w:r>
          </w:p>
        </w:tc>
        <w:tc>
          <w:tcPr>
            <w:tcW w:w="8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60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Commercial and industrial (2)</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8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8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 (3)</w:t>
            </w: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8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8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8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6600" w:type="dxa"/>
            <w:vAlign w:val="bottom"/>
          </w:tcPr>
          <w:p>
            <w:pPr>
              <w:ind w:left="3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880" w:type="dxa"/>
            <w:vAlign w:val="bottom"/>
            <w:tcBorders>
              <w:top w:val="single" w:sz="8" w:color="auto"/>
              <w:bottom w:val="single" w:sz="8" w:color="auto"/>
            </w:tcBorders>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140"/>
              <w:spacing w:after="0"/>
              <w:rPr>
                <w:sz w:val="20"/>
                <w:szCs w:val="20"/>
                <w:color w:val="auto"/>
              </w:rPr>
            </w:pPr>
            <w:r>
              <w:rPr>
                <w:rFonts w:ascii="Arial" w:cs="Arial" w:eastAsia="Arial" w:hAnsi="Arial"/>
                <w:sz w:val="18"/>
                <w:szCs w:val="18"/>
                <w:color w:val="auto"/>
              </w:rPr>
              <w:t>Accrued interest included in recorded investment</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6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December 31, 2019</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Arial" w:cs="Arial" w:eastAsia="Arial" w:hAnsi="Arial"/>
                <w:sz w:val="18"/>
                <w:szCs w:val="18"/>
                <w:color w:val="auto"/>
              </w:rPr>
              <w:t>Commercial and industrial (2)</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6600" w:type="dxa"/>
            <w:vAlign w:val="bottom"/>
          </w:tcPr>
          <w:p>
            <w:pPr>
              <w:ind w:left="140"/>
              <w:spacing w:after="0"/>
              <w:rPr>
                <w:sz w:val="20"/>
                <w:szCs w:val="20"/>
                <w:color w:val="auto"/>
              </w:rPr>
            </w:pPr>
            <w:r>
              <w:rPr>
                <w:rFonts w:ascii="Arial" w:cs="Arial" w:eastAsia="Arial" w:hAnsi="Arial"/>
                <w:sz w:val="18"/>
                <w:szCs w:val="18"/>
                <w:color w:val="auto"/>
              </w:rPr>
              <w:t>Mortgage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Arial" w:cs="Arial" w:eastAsia="Arial" w:hAnsi="Arial"/>
                <w:sz w:val="18"/>
                <w:szCs w:val="18"/>
                <w:color w:val="auto"/>
              </w:rPr>
              <w:t>1-4 family owner occupied - non-jumbo (3)</w:t>
            </w:r>
          </w:p>
        </w:tc>
        <w:tc>
          <w:tcPr>
            <w:tcW w:w="8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8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660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8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6600" w:type="dxa"/>
            <w:vAlign w:val="bottom"/>
            <w:tcBorders>
              <w:right w:val="single" w:sz="8" w:color="CCEEFF"/>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9,532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interest included in recorded investment</w:t>
            </w:r>
          </w:p>
        </w:tc>
        <w:tc>
          <w:tcPr>
            <w:tcW w:w="88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Non-performing loans exclude purchase credit impaired loans.</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Non-performing commercial and industrial loans exclude $0.053 million and $0.077 million of government guaranteed loans at June 30, 2020 and December 31, 2019, respectively.</w:t>
      </w:r>
    </w:p>
    <w:p>
      <w:pPr>
        <w:ind w:left="340" w:right="2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Non-performing 1-4 family owner occupied – non jumbo loans exclude $0.551 million and $0.569 million of government guaranteed loans at June 30, 2020 and December 31, 2019, respectively.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 aging analysis of loans by class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8"/>
                <w:szCs w:val="18"/>
                <w:color w:val="auto"/>
              </w:rPr>
              <w:t>Loans Past Due</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Loans not</w:t>
            </w:r>
          </w:p>
        </w:tc>
        <w:tc>
          <w:tcPr>
            <w:tcW w:w="22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30-59 days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60-89 days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90+ days</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Past Due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763,296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763,705</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2,907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599,356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602,263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632</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1,868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422,393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424,261</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1-4 family owner occupied - non-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jumbo</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1,212</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284,411</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287,878</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848</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2,716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160,046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162,762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106,690</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63,400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64,423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205,724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206,589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157,396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157,629</w:t>
            </w: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850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98,143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98,993</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jc w:val="center"/>
              <w:ind w:right="1850"/>
              <w:spacing w:after="0"/>
              <w:rPr>
                <w:sz w:val="20"/>
                <w:szCs w:val="20"/>
                <w:color w:val="auto"/>
              </w:rPr>
            </w:pPr>
            <w:r>
              <w:rPr>
                <w:rFonts w:ascii="Arial" w:cs="Arial" w:eastAsia="Arial" w:hAnsi="Arial"/>
                <w:sz w:val="18"/>
                <w:szCs w:val="18"/>
                <w:color w:val="auto"/>
                <w:w w:val="94"/>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2,859,238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2,875,193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14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tcPr>
          <w:p>
            <w:pPr>
              <w:jc w:val="center"/>
              <w:ind w:right="1870"/>
              <w:spacing w:after="0"/>
              <w:rPr>
                <w:sz w:val="20"/>
                <w:szCs w:val="20"/>
                <w:color w:val="auto"/>
              </w:rPr>
            </w:pPr>
            <w:r>
              <w:rPr>
                <w:rFonts w:ascii="Arial" w:cs="Arial" w:eastAsia="Arial" w:hAnsi="Arial"/>
                <w:sz w:val="18"/>
                <w:szCs w:val="18"/>
                <w:color w:val="auto"/>
                <w:w w:val="91"/>
              </w:rPr>
              <w:t>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8,530</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564,480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564,871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603,910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604,822</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398,759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401,553</w:t>
            </w:r>
          </w:p>
        </w:tc>
        <w:tc>
          <w:tcPr>
            <w:tcW w:w="0" w:type="dxa"/>
            <w:vAlign w:val="bottom"/>
          </w:tcPr>
          <w:p>
            <w:pPr>
              <w:spacing w:after="0"/>
              <w:rPr>
                <w:sz w:val="1"/>
                <w:szCs w:val="1"/>
                <w:color w:val="auto"/>
              </w:rPr>
            </w:pPr>
          </w:p>
        </w:tc>
      </w:tr>
      <w:tr>
        <w:trPr>
          <w:trHeight w:val="202"/>
        </w:trPr>
        <w:tc>
          <w:tcPr>
            <w:tcW w:w="3280" w:type="dxa"/>
            <w:vAlign w:val="bottom"/>
          </w:tcPr>
          <w:p>
            <w:pPr>
              <w:ind w:left="340"/>
              <w:spacing w:after="0" w:line="201" w:lineRule="exact"/>
              <w:rPr>
                <w:sz w:val="20"/>
                <w:szCs w:val="20"/>
                <w:color w:val="auto"/>
              </w:rPr>
            </w:pPr>
            <w:r>
              <w:rPr>
                <w:rFonts w:ascii="Arial" w:cs="Arial" w:eastAsia="Arial" w:hAnsi="Arial"/>
                <w:sz w:val="18"/>
                <w:szCs w:val="18"/>
                <w:color w:val="auto"/>
              </w:rPr>
              <w:t>1-4 family owner occupied - non-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jc w:val="center"/>
              <w:ind w:right="1810"/>
              <w:spacing w:after="0"/>
              <w:rPr>
                <w:sz w:val="20"/>
                <w:szCs w:val="20"/>
                <w:color w:val="auto"/>
              </w:rPr>
            </w:pPr>
            <w:r>
              <w:rPr>
                <w:rFonts w:ascii="Arial" w:cs="Arial" w:eastAsia="Arial" w:hAnsi="Arial"/>
                <w:sz w:val="18"/>
                <w:szCs w:val="18"/>
                <w:color w:val="auto"/>
                <w:w w:val="93"/>
              </w:rPr>
              <w:t>jumbo</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852</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1,387</w:t>
            </w:r>
          </w:p>
        </w:tc>
        <w:tc>
          <w:tcPr>
            <w:tcW w:w="3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4,911</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342,349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347,260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168,083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169,537</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1,385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115,157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116,542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68,174</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203,282</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153,184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153,445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103,884</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7,449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2,936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4,091</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14,476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2,718,894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2,733,370</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14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jc w:val="center"/>
              <w:ind w:right="1870"/>
              <w:spacing w:after="0"/>
              <w:rPr>
                <w:sz w:val="20"/>
                <w:szCs w:val="20"/>
                <w:color w:val="auto"/>
              </w:rPr>
            </w:pPr>
            <w:r>
              <w:rPr>
                <w:rFonts w:ascii="Arial" w:cs="Arial" w:eastAsia="Arial" w:hAnsi="Arial"/>
                <w:sz w:val="18"/>
                <w:szCs w:val="18"/>
                <w:color w:val="auto"/>
                <w:w w:val="91"/>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8,347</w:t>
            </w:r>
          </w:p>
        </w:tc>
        <w:tc>
          <w:tcPr>
            <w:tcW w:w="0" w:type="dxa"/>
            <w:vAlign w:val="bottom"/>
          </w:tcPr>
          <w:p>
            <w:pPr>
              <w:spacing w:after="0"/>
              <w:rPr>
                <w:sz w:val="1"/>
                <w:szCs w:val="1"/>
                <w:color w:val="auto"/>
              </w:rPr>
            </w:pPr>
          </w:p>
        </w:tc>
      </w:tr>
      <w:tr>
        <w:trPr>
          <w:trHeight w:val="642"/>
        </w:trPr>
        <w:tc>
          <w:tcPr>
            <w:tcW w:w="3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Impaired loans are as follows:</w:t>
            </w: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8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396"/>
              <w:spacing w:after="0"/>
              <w:rPr>
                <w:sz w:val="20"/>
                <w:szCs w:val="20"/>
                <w:color w:val="auto"/>
              </w:rPr>
            </w:pPr>
            <w:r>
              <w:rPr>
                <w:rFonts w:ascii="Arial" w:cs="Arial" w:eastAsia="Arial" w:hAnsi="Arial"/>
                <w:sz w:val="18"/>
                <w:szCs w:val="18"/>
                <w:color w:val="auto"/>
                <w:w w:val="95"/>
              </w:rPr>
              <w:t>June 30,</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r>
      <w:tr>
        <w:trPr>
          <w:trHeight w:val="237"/>
        </w:trPr>
        <w:tc>
          <w:tcPr>
            <w:tcW w:w="48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Impaired loans with no allocated allowance for loan losses</w:t>
            </w: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Troubled debt restructurings ("TDR")</w:t>
            </w:r>
          </w:p>
        </w:tc>
        <w:tc>
          <w:tcPr>
            <w:tcW w:w="39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216"/>
        </w:trPr>
        <w:tc>
          <w:tcPr>
            <w:tcW w:w="4880" w:type="dxa"/>
            <w:vAlign w:val="bottom"/>
          </w:tcPr>
          <w:p>
            <w:pPr>
              <w:ind w:left="140"/>
              <w:spacing w:after="0"/>
              <w:rPr>
                <w:sz w:val="20"/>
                <w:szCs w:val="20"/>
                <w:color w:val="auto"/>
              </w:rPr>
            </w:pPr>
            <w:r>
              <w:rPr>
                <w:rFonts w:ascii="Arial" w:cs="Arial" w:eastAsia="Arial" w:hAnsi="Arial"/>
                <w:sz w:val="18"/>
                <w:szCs w:val="18"/>
                <w:color w:val="auto"/>
              </w:rPr>
              <w:t>Non - TDR</w:t>
            </w: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1,550</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an allocated allowance for loan losses</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Arial" w:cs="Arial" w:eastAsia="Arial" w:hAnsi="Arial"/>
                <w:sz w:val="18"/>
                <w:szCs w:val="18"/>
                <w:color w:val="auto"/>
              </w:rPr>
              <w:t>TDR - allowance based on collateral</w:t>
            </w: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36"/>
              <w:spacing w:after="0"/>
              <w:rPr>
                <w:sz w:val="20"/>
                <w:szCs w:val="20"/>
                <w:color w:val="auto"/>
              </w:rPr>
            </w:pPr>
            <w:r>
              <w:rPr>
                <w:rFonts w:ascii="Arial" w:cs="Arial" w:eastAsia="Arial" w:hAnsi="Arial"/>
                <w:sz w:val="18"/>
                <w:szCs w:val="18"/>
                <w:color w:val="auto"/>
              </w:rPr>
              <w:t>15,221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1,587</w:t>
            </w:r>
          </w:p>
        </w:tc>
      </w:tr>
      <w:tr>
        <w:trPr>
          <w:trHeight w:val="216"/>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TDR - allowance based on present value cash flow</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40,282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48,798</w:t>
            </w: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Non - TDR - allowance based on collateral</w:t>
            </w: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3,365</w:t>
            </w:r>
          </w:p>
        </w:tc>
      </w:tr>
      <w:tr>
        <w:trPr>
          <w:trHeight w:val="257"/>
        </w:trPr>
        <w:tc>
          <w:tcPr>
            <w:tcW w:w="4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impaired loans</w:t>
            </w:r>
          </w:p>
        </w:tc>
        <w:tc>
          <w:tcPr>
            <w:tcW w:w="3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48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Amount of allowance for loan losses allocated</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Arial" w:cs="Arial" w:eastAsia="Arial" w:hAnsi="Arial"/>
                <w:sz w:val="18"/>
                <w:szCs w:val="18"/>
                <w:color w:val="auto"/>
              </w:rPr>
              <w:t>TDR - allowance based on collateral</w:t>
            </w:r>
          </w:p>
        </w:tc>
        <w:tc>
          <w:tcPr>
            <w:tcW w:w="39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r>
      <w:tr>
        <w:trPr>
          <w:trHeight w:val="216"/>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TDR - allowance based on present value cash flow</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w:t>
            </w: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Non - TDR - allowance based on collateral</w:t>
            </w: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r>
      <w:tr>
        <w:trPr>
          <w:trHeight w:val="257"/>
        </w:trPr>
        <w:tc>
          <w:tcPr>
            <w:tcW w:w="4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amount of allowance for loan losses allocated</w:t>
            </w:r>
          </w:p>
        </w:tc>
        <w:tc>
          <w:tcPr>
            <w:tcW w:w="3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42"/>
        </w:trPr>
        <w:tc>
          <w:tcPr>
            <w:tcW w:w="4880" w:type="dxa"/>
            <w:vAlign w:val="bottom"/>
          </w:tcPr>
          <w:p>
            <w:pPr>
              <w:spacing w:after="0"/>
              <w:rPr>
                <w:sz w:val="24"/>
                <w:szCs w:val="24"/>
                <w:color w:val="auto"/>
              </w:rPr>
            </w:pPr>
          </w:p>
        </w:tc>
        <w:tc>
          <w:tcPr>
            <w:tcW w:w="3800" w:type="dxa"/>
            <w:vAlign w:val="bottom"/>
          </w:tcPr>
          <w:p>
            <w:pPr>
              <w:jc w:val="right"/>
              <w:ind w:right="287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8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Impaired loans by class are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7"/>
              </w:rPr>
              <w:t>June 30, 2020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2019</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0"/>
              </w:rPr>
              <w:t>Related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0"/>
              </w:rPr>
              <w:t>Related</w:t>
            </w: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Unpaid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Allowance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Allowance</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Recorded</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Principal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For Loan</w:t>
            </w:r>
          </w:p>
        </w:tc>
        <w:tc>
          <w:tcPr>
            <w:tcW w:w="12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7"/>
              </w:rPr>
              <w:t>Recorded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For Loan</w:t>
            </w:r>
          </w:p>
        </w:tc>
      </w:tr>
      <w:tr>
        <w:trPr>
          <w:trHeight w:val="237"/>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Investment</w:t>
            </w:r>
          </w:p>
        </w:tc>
        <w:tc>
          <w:tcPr>
            <w:tcW w:w="16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w w:val="93"/>
              </w:rPr>
              <w:t>Investment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Losses</w:t>
            </w:r>
          </w:p>
        </w:tc>
      </w:tr>
      <w:tr>
        <w:trPr>
          <w:trHeight w:val="198"/>
        </w:trPr>
        <w:tc>
          <w:tcPr>
            <w:tcW w:w="328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With no related allowance for loan losses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3280" w:type="dxa"/>
            <w:vAlign w:val="bottom"/>
          </w:tcPr>
          <w:p>
            <w:pPr>
              <w:ind w:left="140"/>
              <w:spacing w:after="0"/>
              <w:rPr>
                <w:sz w:val="20"/>
                <w:szCs w:val="20"/>
                <w:color w:val="auto"/>
              </w:rPr>
            </w:pPr>
            <w:r>
              <w:rPr>
                <w:rFonts w:ascii="Arial" w:cs="Arial" w:eastAsia="Arial" w:hAnsi="Arial"/>
                <w:sz w:val="18"/>
                <w:szCs w:val="18"/>
                <w:b w:val="1"/>
                <w:bCs w:val="1"/>
                <w:color w:val="auto"/>
              </w:rPr>
              <w:t>recorded: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4"/>
          </w:tcPr>
          <w:p>
            <w:pPr>
              <w:ind w:left="12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1-4 family owner occupied - non-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jc w:val="center"/>
              <w:ind w:right="1810"/>
              <w:spacing w:after="0"/>
              <w:rPr>
                <w:sz w:val="20"/>
                <w:szCs w:val="20"/>
                <w:color w:val="auto"/>
              </w:rPr>
            </w:pPr>
            <w:r>
              <w:rPr>
                <w:rFonts w:ascii="Arial" w:cs="Arial" w:eastAsia="Arial" w:hAnsi="Arial"/>
                <w:sz w:val="18"/>
                <w:szCs w:val="18"/>
                <w:color w:val="auto"/>
                <w:w w:val="93"/>
              </w:rPr>
              <w:t>jumbo</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8"/>
        </w:trPr>
        <w:tc>
          <w:tcPr>
            <w:tcW w:w="3280" w:type="dxa"/>
            <w:vAlign w:val="bottom"/>
          </w:tcPr>
          <w:p>
            <w:pPr>
              <w:spacing w:after="0" w:line="198" w:lineRule="exact"/>
              <w:rPr>
                <w:sz w:val="20"/>
                <w:szCs w:val="20"/>
                <w:color w:val="auto"/>
              </w:rPr>
            </w:pPr>
            <w:r>
              <w:rPr>
                <w:rFonts w:ascii="Arial" w:cs="Arial" w:eastAsia="Arial" w:hAnsi="Arial"/>
                <w:sz w:val="18"/>
                <w:szCs w:val="18"/>
                <w:b w:val="1"/>
                <w:bCs w:val="1"/>
                <w:color w:val="auto"/>
              </w:rPr>
              <w:t>With an allowance for loan losses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40"/>
              <w:spacing w:after="0"/>
              <w:rPr>
                <w:sz w:val="20"/>
                <w:szCs w:val="20"/>
                <w:color w:val="auto"/>
              </w:rPr>
            </w:pPr>
            <w:r>
              <w:rPr>
                <w:rFonts w:ascii="Arial" w:cs="Arial" w:eastAsia="Arial" w:hAnsi="Arial"/>
                <w:sz w:val="18"/>
                <w:szCs w:val="18"/>
                <w:b w:val="1"/>
                <w:bCs w:val="1"/>
                <w:color w:val="auto"/>
              </w:rPr>
              <w:t>recorded: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1,706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16,420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2,115</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02"/>
        </w:trPr>
        <w:tc>
          <w:tcPr>
            <w:tcW w:w="3280" w:type="dxa"/>
            <w:vAlign w:val="bottom"/>
          </w:tcPr>
          <w:p>
            <w:pPr>
              <w:ind w:left="340"/>
              <w:spacing w:after="0" w:line="201" w:lineRule="exact"/>
              <w:rPr>
                <w:sz w:val="20"/>
                <w:szCs w:val="20"/>
                <w:color w:val="auto"/>
              </w:rPr>
            </w:pPr>
            <w:r>
              <w:rPr>
                <w:rFonts w:ascii="Arial" w:cs="Arial" w:eastAsia="Arial" w:hAnsi="Arial"/>
                <w:sz w:val="18"/>
                <w:szCs w:val="18"/>
                <w:color w:val="auto"/>
              </w:rPr>
              <w:t>1-4 family owner occupied - non-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jc w:val="center"/>
              <w:ind w:right="1810"/>
              <w:spacing w:after="0"/>
              <w:rPr>
                <w:sz w:val="20"/>
                <w:szCs w:val="20"/>
                <w:color w:val="auto"/>
              </w:rPr>
            </w:pPr>
            <w:r>
              <w:rPr>
                <w:rFonts w:ascii="Arial" w:cs="Arial" w:eastAsia="Arial" w:hAnsi="Arial"/>
                <w:sz w:val="18"/>
                <w:szCs w:val="18"/>
                <w:color w:val="auto"/>
                <w:w w:val="93"/>
              </w:rPr>
              <w:t>jumbo</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22,334</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23,092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2,462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10,695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15,243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1,695</w:t>
            </w: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61,413</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68,254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7,360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56,708</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6,155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16,420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20,934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7,457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1,445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02"/>
        </w:trPr>
        <w:tc>
          <w:tcPr>
            <w:tcW w:w="3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1-4 family owner occupied - non-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jc w:val="center"/>
              <w:ind w:right="1810"/>
              <w:spacing w:after="0"/>
              <w:rPr>
                <w:sz w:val="20"/>
                <w:szCs w:val="20"/>
                <w:color w:val="auto"/>
              </w:rPr>
            </w:pPr>
            <w:r>
              <w:rPr>
                <w:rFonts w:ascii="Arial" w:cs="Arial" w:eastAsia="Arial" w:hAnsi="Arial"/>
                <w:sz w:val="18"/>
                <w:szCs w:val="18"/>
                <w:color w:val="auto"/>
                <w:w w:val="93"/>
              </w:rPr>
              <w:t>jumbo</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22,758</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23,540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2,462</w:t>
            </w: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10,912</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5,881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5,908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15,681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w:t>
            </w: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12,263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1,474</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3,194</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56"/>
        </w:trPr>
        <w:tc>
          <w:tcPr>
            <w:tcW w:w="3280" w:type="dxa"/>
            <w:vAlign w:val="bottom"/>
            <w:tcBorders>
              <w:bottom w:val="single" w:sz="8" w:color="CCEEFF"/>
            </w:tcBorders>
            <w:shd w:val="clear" w:color="auto" w:fill="CCEEFF"/>
          </w:tcPr>
          <w:p>
            <w:pPr>
              <w:jc w:val="center"/>
              <w:ind w:right="1850"/>
              <w:spacing w:after="0"/>
              <w:rPr>
                <w:sz w:val="20"/>
                <w:szCs w:val="20"/>
                <w:color w:val="auto"/>
              </w:rPr>
            </w:pPr>
            <w:r>
              <w:rPr>
                <w:rFonts w:ascii="Arial" w:cs="Arial" w:eastAsia="Arial" w:hAnsi="Arial"/>
                <w:sz w:val="18"/>
                <w:szCs w:val="18"/>
                <w:color w:val="auto"/>
                <w:w w:val="94"/>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63,238</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55,892</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Average recorded investment in and interest income earned on impaired loans by class for the three month periods ending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7"/>
                <w:szCs w:val="17"/>
                <w:color w:val="auto"/>
              </w:rPr>
            </w:pPr>
          </w:p>
        </w:tc>
      </w:tr>
      <w:tr>
        <w:trPr>
          <w:trHeight w:val="216"/>
        </w:trPr>
        <w:tc>
          <w:tcPr>
            <w:tcW w:w="4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37"/>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Recognized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b w:val="1"/>
                <w:bCs w:val="1"/>
                <w:color w:val="auto"/>
              </w:rPr>
              <w:t>With no related allowance for loan losses recorded:</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5"/>
          </w:tcPr>
          <w:p>
            <w:pPr>
              <w:jc w:val="right"/>
              <w:ind w:right="940"/>
              <w:spacing w:after="0" w:line="201"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With an allowance for loan losses recorded: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2,418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15,988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owner occupied - non-jumbo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22,249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12,343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7"/>
        </w:trPr>
        <w:tc>
          <w:tcPr>
            <w:tcW w:w="47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61,585</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56,119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15,988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5,587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22,731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18,814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3,258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56"/>
        </w:trPr>
        <w:tc>
          <w:tcPr>
            <w:tcW w:w="4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63,273</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41"/>
        </w:trPr>
        <w:tc>
          <w:tcPr>
            <w:tcW w:w="4740" w:type="dxa"/>
            <w:vAlign w:val="bottom"/>
          </w:tcPr>
          <w:p>
            <w:pPr>
              <w:spacing w:after="0"/>
              <w:rPr>
                <w:sz w:val="24"/>
                <w:szCs w:val="24"/>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7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Average recorded investment in and interest income earned on impaired loans by class for the six month periods ending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7"/>
                <w:szCs w:val="17"/>
                <w:color w:val="auto"/>
              </w:rPr>
            </w:pPr>
          </w:p>
        </w:tc>
      </w:tr>
      <w:tr>
        <w:trPr>
          <w:trHeight w:val="216"/>
        </w:trPr>
        <w:tc>
          <w:tcPr>
            <w:tcW w:w="4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37"/>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Recognized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b w:val="1"/>
                <w:bCs w:val="1"/>
                <w:color w:val="auto"/>
              </w:rPr>
              <w:t>With no related allowance for loan losses recorded:</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5"/>
          </w:tcPr>
          <w:p>
            <w:pPr>
              <w:jc w:val="right"/>
              <w:ind w:right="940"/>
              <w:spacing w:after="0" w:line="201"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With an allowance for loan losses recorded: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12,887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owner occupied - non-jumbo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18,220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19,683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7"/>
        </w:trPr>
        <w:tc>
          <w:tcPr>
            <w:tcW w:w="47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59,057</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56,898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13,086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18,612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11,375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12,896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3,269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57"/>
        </w:trPr>
        <w:tc>
          <w:tcPr>
            <w:tcW w:w="4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60,745</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41"/>
        </w:trPr>
        <w:tc>
          <w:tcPr>
            <w:tcW w:w="4740" w:type="dxa"/>
            <w:vAlign w:val="bottom"/>
          </w:tcPr>
          <w:p>
            <w:pPr>
              <w:spacing w:after="0"/>
              <w:rPr>
                <w:sz w:val="24"/>
                <w:szCs w:val="24"/>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7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Cash receipts on impaired loans on non-accrual status are generally applied to the principal balance.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TDRs follow:</w:t>
            </w: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6"/>
        </w:trPr>
        <w:tc>
          <w:tcPr>
            <w:tcW w:w="3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w w:val="91"/>
              </w:rPr>
              <w:t>June 30, 2020</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Retail (1)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Total</w:t>
            </w:r>
          </w:p>
        </w:tc>
        <w:tc>
          <w:tcPr>
            <w:tcW w:w="60" w:type="dxa"/>
            <w:vAlign w:val="bottom"/>
          </w:tcPr>
          <w:p>
            <w:pPr>
              <w:spacing w:after="0"/>
              <w:rPr>
                <w:sz w:val="19"/>
                <w:szCs w:val="19"/>
                <w:color w:val="auto"/>
              </w:rPr>
            </w:pPr>
          </w:p>
        </w:tc>
      </w:tr>
      <w:tr>
        <w:trPr>
          <w:trHeight w:val="216"/>
        </w:trPr>
        <w:tc>
          <w:tcPr>
            <w:tcW w:w="3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78"/>
              </w:rPr>
              <w:t>(In thousands)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7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52,527</w:t>
            </w:r>
          </w:p>
        </w:tc>
      </w:tr>
      <w:tr>
        <w:trPr>
          <w:trHeight w:val="263"/>
        </w:trPr>
        <w:tc>
          <w:tcPr>
            <w:tcW w:w="3400" w:type="dxa"/>
            <w:vAlign w:val="bottom"/>
          </w:tcPr>
          <w:p>
            <w:pPr>
              <w:spacing w:after="0"/>
              <w:rPr>
                <w:sz w:val="20"/>
                <w:szCs w:val="20"/>
                <w:color w:val="auto"/>
              </w:rPr>
            </w:pPr>
            <w:r>
              <w:rPr>
                <w:rFonts w:ascii="Arial" w:cs="Arial" w:eastAsia="Arial" w:hAnsi="Arial"/>
                <w:sz w:val="18"/>
                <w:szCs w:val="18"/>
                <w:color w:val="auto"/>
              </w:rPr>
              <w:t>Non-performing TDRs (2)</w:t>
            </w:r>
          </w:p>
        </w:tc>
        <w:tc>
          <w:tcPr>
            <w:tcW w:w="1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120"/>
              <w:spacing w:after="0" w:line="256" w:lineRule="exact"/>
              <w:rPr>
                <w:sz w:val="20"/>
                <w:szCs w:val="20"/>
                <w:color w:val="auto"/>
              </w:rPr>
            </w:pPr>
            <w:r>
              <w:rPr>
                <w:rFonts w:ascii="Arial" w:cs="Arial" w:eastAsia="Arial" w:hAnsi="Arial"/>
                <w:sz w:val="18"/>
                <w:szCs w:val="18"/>
                <w:color w:val="auto"/>
              </w:rPr>
              <w:t>2,022</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3,256</w:t>
            </w:r>
          </w:p>
        </w:tc>
      </w:tr>
      <w:tr>
        <w:trPr>
          <w:trHeight w:val="257"/>
        </w:trPr>
        <w:tc>
          <w:tcPr>
            <w:tcW w:w="3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40,576</w:t>
            </w: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55,783</w:t>
            </w:r>
          </w:p>
        </w:tc>
        <w:tc>
          <w:tcPr>
            <w:tcW w:w="60" w:type="dxa"/>
            <w:vAlign w:val="bottom"/>
            <w:tcBorders>
              <w:bottom w:val="single" w:sz="8" w:color="CCEEFF"/>
            </w:tcBorders>
            <w:shd w:val="clear" w:color="auto" w:fill="CCEEFF"/>
          </w:tcPr>
          <w:p>
            <w:pPr>
              <w:spacing w:after="0"/>
              <w:rPr>
                <w:sz w:val="22"/>
                <w:szCs w:val="22"/>
                <w:color w:val="auto"/>
              </w:rPr>
            </w:pPr>
          </w:p>
        </w:tc>
      </w:tr>
      <w:tr>
        <w:trPr>
          <w:trHeight w:val="459"/>
        </w:trPr>
        <w:tc>
          <w:tcPr>
            <w:tcW w:w="3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December 31, 2019</w:t>
            </w: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Retail (1)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Total</w:t>
            </w:r>
          </w:p>
        </w:tc>
        <w:tc>
          <w:tcPr>
            <w:tcW w:w="60" w:type="dxa"/>
            <w:vAlign w:val="bottom"/>
          </w:tcPr>
          <w:p>
            <w:pPr>
              <w:spacing w:after="0"/>
              <w:rPr>
                <w:sz w:val="19"/>
                <w:szCs w:val="19"/>
                <w:color w:val="auto"/>
              </w:rPr>
            </w:pPr>
          </w:p>
        </w:tc>
      </w:tr>
      <w:tr>
        <w:trPr>
          <w:trHeight w:val="216"/>
        </w:trPr>
        <w:tc>
          <w:tcPr>
            <w:tcW w:w="3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78"/>
              </w:rPr>
              <w:t>(In thousands)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7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47,575</w:t>
            </w:r>
          </w:p>
        </w:tc>
      </w:tr>
      <w:tr>
        <w:trPr>
          <w:trHeight w:val="263"/>
        </w:trPr>
        <w:tc>
          <w:tcPr>
            <w:tcW w:w="3400" w:type="dxa"/>
            <w:vAlign w:val="bottom"/>
          </w:tcPr>
          <w:p>
            <w:pPr>
              <w:spacing w:after="0"/>
              <w:rPr>
                <w:sz w:val="20"/>
                <w:szCs w:val="20"/>
                <w:color w:val="auto"/>
              </w:rPr>
            </w:pPr>
            <w:r>
              <w:rPr>
                <w:rFonts w:ascii="Arial" w:cs="Arial" w:eastAsia="Arial" w:hAnsi="Arial"/>
                <w:sz w:val="18"/>
                <w:szCs w:val="18"/>
                <w:color w:val="auto"/>
              </w:rPr>
              <w:t>Non-performing TDRs (2)</w:t>
            </w:r>
          </w:p>
        </w:tc>
        <w:tc>
          <w:tcPr>
            <w:tcW w:w="1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120"/>
              <w:spacing w:after="0" w:line="256" w:lineRule="exact"/>
              <w:rPr>
                <w:sz w:val="20"/>
                <w:szCs w:val="20"/>
                <w:color w:val="auto"/>
              </w:rPr>
            </w:pPr>
            <w:r>
              <w:rPr>
                <w:rFonts w:ascii="Arial" w:cs="Arial" w:eastAsia="Arial" w:hAnsi="Arial"/>
                <w:sz w:val="18"/>
                <w:szCs w:val="18"/>
                <w:color w:val="auto"/>
              </w:rPr>
              <w:t>2,607</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3,147</w:t>
            </w:r>
          </w:p>
        </w:tc>
      </w:tr>
      <w:tr>
        <w:trPr>
          <w:trHeight w:val="257"/>
        </w:trPr>
        <w:tc>
          <w:tcPr>
            <w:tcW w:w="3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42,208</w:t>
            </w: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50,722</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portfolio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allocated $6.1 million and $5.2 million of specific reserves to customers whose loan terms have been modified in troubled debt restructurings (“TDR”) at June 30, 2020 and December 31, 2019, respectively.</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six months ended June 30, 2020 and 2019, the terms of certain loans were modified as TDRs.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360 months in certain circumstances.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Loans that have been classified as TDRs during the three-month periods ended June 30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Pre-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Post-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modification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modification</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Recorded</w:t>
            </w: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2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60" w:type="dxa"/>
            <w:vAlign w:val="bottom"/>
            <w:gridSpan w:val="5"/>
          </w:tcPr>
          <w:p>
            <w:pPr>
              <w:jc w:val="center"/>
              <w:ind w:right="10"/>
              <w:spacing w:after="0"/>
              <w:rPr>
                <w:sz w:val="20"/>
                <w:szCs w:val="20"/>
                <w:color w:val="auto"/>
              </w:rPr>
            </w:pPr>
            <w:r>
              <w:rPr>
                <w:rFonts w:ascii="Arial" w:cs="Arial" w:eastAsia="Arial" w:hAnsi="Arial"/>
                <w:sz w:val="18"/>
                <w:szCs w:val="18"/>
                <w:color w:val="auto"/>
                <w:w w:val="89"/>
              </w:rPr>
              <w:t>(Dollars in 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80" w:type="dxa"/>
            <w:vAlign w:val="bottom"/>
            <w:vMerge w:val="continue"/>
          </w:tcPr>
          <w:p>
            <w:pPr>
              <w:spacing w:after="0"/>
              <w:rPr>
                <w:sz w:val="16"/>
                <w:szCs w:val="16"/>
                <w:color w:val="auto"/>
              </w:rPr>
            </w:pPr>
          </w:p>
        </w:tc>
        <w:tc>
          <w:tcPr>
            <w:tcW w:w="2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2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2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Pr>
          <w:p>
            <w:pPr>
              <w:ind w:left="340"/>
              <w:spacing w:after="0"/>
              <w:rPr>
                <w:sz w:val="20"/>
                <w:szCs w:val="20"/>
                <w:color w:val="auto"/>
              </w:rPr>
            </w:pPr>
            <w:r>
              <w:rPr>
                <w:rFonts w:ascii="Arial" w:cs="Arial" w:eastAsia="Arial" w:hAnsi="Arial"/>
                <w:sz w:val="18"/>
                <w:szCs w:val="18"/>
                <w:color w:val="auto"/>
              </w:rPr>
              <w:t>Other</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2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2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Pr>
          <w:p>
            <w:pPr>
              <w:ind w:left="340"/>
              <w:spacing w:after="0"/>
              <w:rPr>
                <w:sz w:val="20"/>
                <w:szCs w:val="20"/>
                <w:color w:val="auto"/>
              </w:rPr>
            </w:pPr>
            <w:r>
              <w:rPr>
                <w:rFonts w:ascii="Arial" w:cs="Arial" w:eastAsia="Arial" w:hAnsi="Arial"/>
                <w:sz w:val="18"/>
                <w:szCs w:val="18"/>
                <w:color w:val="auto"/>
              </w:rPr>
              <w:t>Other</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57"/>
        </w:trPr>
        <w:tc>
          <w:tcPr>
            <w:tcW w:w="4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4380" w:type="dxa"/>
            <w:vAlign w:val="bottom"/>
          </w:tcPr>
          <w:p>
            <w:pPr>
              <w:spacing w:after="0"/>
              <w:rPr>
                <w:sz w:val="24"/>
                <w:szCs w:val="24"/>
                <w:color w:val="auto"/>
              </w:rPr>
            </w:pPr>
          </w:p>
        </w:tc>
        <w:tc>
          <w:tcPr>
            <w:tcW w:w="2940" w:type="dxa"/>
            <w:vAlign w:val="bottom"/>
          </w:tcPr>
          <w:p>
            <w:pPr>
              <w:jc w:val="right"/>
              <w:ind w:right="1510"/>
              <w:spacing w:after="0"/>
              <w:rPr>
                <w:sz w:val="20"/>
                <w:szCs w:val="20"/>
                <w:color w:val="auto"/>
              </w:rPr>
            </w:pPr>
            <w:r>
              <w:rPr>
                <w:rFonts w:ascii="Arial" w:cs="Arial" w:eastAsia="Arial" w:hAnsi="Arial"/>
                <w:sz w:val="18"/>
                <w:szCs w:val="18"/>
                <w:color w:val="auto"/>
              </w:rPr>
              <w:t>23</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8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8"/>
              </w:rPr>
              <w:t>Loans that have been classified as TDRs during the six-month periods ended June 30 follow:</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Pre-</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Post-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modification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modification</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140" w:type="dxa"/>
            <w:vAlign w:val="bottom"/>
          </w:tcPr>
          <w:p>
            <w:pPr>
              <w:spacing w:after="0"/>
              <w:rPr>
                <w:sz w:val="20"/>
                <w:szCs w:val="20"/>
                <w:color w:val="auto"/>
              </w:rPr>
            </w:pPr>
          </w:p>
        </w:tc>
        <w:tc>
          <w:tcPr>
            <w:tcW w:w="1660" w:type="dxa"/>
            <w:vAlign w:val="bottom"/>
            <w:gridSpan w:val="5"/>
          </w:tcPr>
          <w:p>
            <w:pPr>
              <w:jc w:val="center"/>
              <w:ind w:right="10"/>
              <w:spacing w:after="0"/>
              <w:rPr>
                <w:sz w:val="20"/>
                <w:szCs w:val="20"/>
                <w:color w:val="auto"/>
              </w:rPr>
            </w:pPr>
            <w:r>
              <w:rPr>
                <w:rFonts w:ascii="Arial" w:cs="Arial" w:eastAsia="Arial" w:hAnsi="Arial"/>
                <w:sz w:val="18"/>
                <w:szCs w:val="18"/>
                <w:color w:val="auto"/>
                <w:w w:val="89"/>
              </w:rPr>
              <w:t>(Dollars in 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troubled debt restructurings described above for 2020 decreased the allowance for loan losses by $0.02 million and resulted in zero charge offs during the three months ended June 30, 2020, and increased the allowance for loan losses by $0.20 million and resulted in zero charge offs during the six months ended June 30, 2020.</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troubled debt restructurings described above for 2019 increased the allowance for loan losses by $0.04 million and resulted in zero charge offs during the three months ended June 30, 2019, and increased the allowance for loan losses by $0.05 million and resulted in zero charge offs during the six months ended June 30, 2019.</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troubled debt restructurings that subsequently defaulted within twelve months following the modification during the three and six months periods ended June 30, 2020 and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loan is considered to be in payment default generally once it is 90 days contractually past due under the modified terms.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Non-TDR Loan Modifications and Paycheck Protection Program (“PPP”) due to COVID-19 - </w:t>
      </w:r>
      <w:r>
        <w:rPr>
          <w:rFonts w:ascii="Arial" w:cs="Arial" w:eastAsia="Arial" w:hAnsi="Arial"/>
          <w:sz w:val="16"/>
          <w:szCs w:val="16"/>
          <w:color w:val="auto"/>
        </w:rPr>
        <w:t>On March 22, 2020, the federal banking agencies</w:t>
      </w:r>
      <w:r>
        <w:rPr>
          <w:rFonts w:ascii="Arial" w:cs="Arial" w:eastAsia="Arial" w:hAnsi="Arial"/>
          <w:sz w:val="16"/>
          <w:szCs w:val="16"/>
          <w:b w:val="1"/>
          <w:bCs w:val="1"/>
          <w:color w:val="auto"/>
        </w:rPr>
        <w:t xml:space="preserve"> </w:t>
      </w:r>
      <w:r>
        <w:rPr>
          <w:rFonts w:ascii="Arial" w:cs="Arial" w:eastAsia="Arial" w:hAnsi="Arial"/>
          <w:sz w:val="16"/>
          <w:szCs w:val="16"/>
          <w:color w:val="auto"/>
        </w:rPr>
        <w:t>issued an “Interagency Statement on Loan Modifications and Reporting for Financial Institutions Working with Customers Affected by the Coronavirus”. This guidance encourages financial institutions to work prudently with borrowers that may be unable to meet their contractual obligations because of the effects of COVID-19. The guidance goes on to explain that in consultation with the Financial Accounting Standards Board staff that the federal banking agencies conclude that short-term modifications (e.g. six months or less) made on a good faith basis to borrowers who were current as of the implementation date of a relief program are not TDRs. In addition, on March 27, 2020, President Trump signed the CARES Act. Section 4013 of the CARES Act also addressed COVID-19 related modifications and specified that COVID-19 related modifications on loans that were current as of December 31, 2019 are not TDRs. We are assisting both commercial and retail (mortgage and installment) borrowers with reduced or suspended payments. Commercial loan accommodations are typically a three month interest-only period while retail loan (mortgage and installment) forbearances have primarily been payment suspensions for three months. For loans subject to these forbearance agreements each borrower is required to resume making regularly scheduled loan payments at the end of the forbearance period. The deferred principal and interest will be repaid based upon individualized agreements. Options for repayment include separate repayment plans, extending the term of the loan or re-amortizing the loan based upon the affordability of the payment in relationship to a reduced income. While some borrowers may elect to make a lump sum payment, we anticipate the majority will require some type of repayment plan. During the forbearance period, the loan will not be reported as past due in keeping with the guidance discussed previously.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accommodations entered into under this guidance as of June 30, 2020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w w:val="97"/>
              </w:rPr>
              <w:t>Commercial and Retail Loan COVID-19 Accomodations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4620" w:type="dxa"/>
            <w:vAlign w:val="bottom"/>
          </w:tcPr>
          <w:p>
            <w:pPr>
              <w:spacing w:after="0"/>
              <w:rPr>
                <w:sz w:val="24"/>
                <w:szCs w:val="24"/>
                <w:color w:val="auto"/>
              </w:rPr>
            </w:pPr>
          </w:p>
        </w:tc>
        <w:tc>
          <w:tcPr>
            <w:tcW w:w="28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Covid-19 Accomodations</w:t>
            </w:r>
          </w:p>
        </w:tc>
        <w:tc>
          <w:tcPr>
            <w:tcW w:w="9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 of Total</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Loan Category</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Customers (#)</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Loans (#)</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Loans ($)</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Loans</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gridSpan w:val="5"/>
          </w:tcPr>
          <w:p>
            <w:pPr>
              <w:jc w:val="right"/>
              <w:ind w:right="110"/>
              <w:spacing w:after="0"/>
              <w:rPr>
                <w:sz w:val="20"/>
                <w:szCs w:val="20"/>
                <w:color w:val="auto"/>
              </w:rPr>
            </w:pPr>
            <w:r>
              <w:rPr>
                <w:rFonts w:ascii="Arial" w:cs="Arial" w:eastAsia="Arial" w:hAnsi="Arial"/>
                <w:sz w:val="18"/>
                <w:szCs w:val="18"/>
                <w:color w:val="auto"/>
                <w:w w:val="87"/>
              </w:rPr>
              <w:t>(Dollars in 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210,486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1,362,956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Mortgage portfolio loans</w:t>
            </w:r>
          </w:p>
        </w:tc>
        <w:tc>
          <w:tcPr>
            <w:tcW w:w="116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81,212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1,041,684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Installment &amp; Other</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7,459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462,023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7"/>
        </w:trPr>
        <w:tc>
          <w:tcPr>
            <w:tcW w:w="46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1,054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299,157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2,866,663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0"/>
        </w:trPr>
        <w:tc>
          <w:tcPr>
            <w:tcW w:w="4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serviced for others(1)</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114,839</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2,739,478</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5540" w:right="4840" w:hanging="5532"/>
        <w:spacing w:after="0" w:line="838" w:lineRule="auto"/>
        <w:tabs>
          <w:tab w:leader="none" w:pos="209"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delegated authority from all investors to grant these deferrals on their behalf.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CARES Act also included an initial $349 billion loan program administered through the U.S. Small Business Administration (“SBA”) referred to as the PPP. Under the PPP, small businesses and other entities and individuals can apply for loans from existing SBA lenders and other approved regulated lenders that enroll in the program, subject to numerous limitations and eligibility criteria. We are participating as a lender in the PPP. The PPP opened on April 3, 2020 intending to provide American small businesses with eight weeks of cash-flow assistance through 100 percent federally guaranteed loans through the SBA. In late April 2020 the Paycheck Protection Program and Health Care Enhancement Act, added an another $310 billion in funding while the Paycheck Protection Program Flexibility Act made certain changes to the program, by allowing for more time to spend the funds, and making it easier to get a loan fully forgiven. Most recently, the PPP Extension Act extended the PPP to August 8, 2020. As of June 30, 2020, we had 2,012 PPP loans outstanding with a total balance of $259.4 million. PPP loans are included in the commercial and industrial class of the commercial loan segment. As these loans are 100% guaranteed through the SBA allowance for loan losses recorded on these loans is zero. We have received approximately 35 forgiveness applications that we expect to submit to the SBA once the SBA Forgiveness portal is activated. Interest and fees on loans include $1.0 million for the second quarter and first six months of 2020, related to the accretion of net loan fees on PPP loans. No such accretion is included in the comparable prior year periods. At June 30, 2020 we had $7.7 million of remaining unaccreted net fees related to PPP loans.</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Credit Quality Indicators </w:t>
      </w:r>
      <w:r>
        <w:rPr>
          <w:rFonts w:ascii="Arial" w:cs="Arial" w:eastAsia="Arial" w:hAnsi="Arial"/>
          <w:sz w:val="18"/>
          <w:szCs w:val="18"/>
          <w:color w:val="auto"/>
        </w:rPr>
        <w:t>– As part of our on-going monitoring of the credit quality of our loan portfolios, we track certain credit quality indicators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weighted-average risk grade of commercial loans, (b) the level of classified commercial loans, (c) credit scores of mortgage and installment loan borrowers, and (d) delinquency history and non-performing loans.</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 exceptional credit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acceptable credit fundamentals.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Rating 7 and 8</w:t>
      </w:r>
      <w:r>
        <w:rPr>
          <w:rFonts w:ascii="Arial" w:cs="Arial" w:eastAsia="Arial" w:hAnsi="Arial"/>
          <w:sz w:val="18"/>
          <w:szCs w:val="18"/>
          <w:color w:val="auto"/>
        </w:rPr>
        <w:t>: These loans are generally referred to as our “watch” commercial credits. These ratings include loans to borrowers that exhibit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weakness or downward trends. If not checked or cured these trends could weaken our asset or credit position. While potentially weak, no loss of principal or interest is envisioned with these ratings.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 borrowers that 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well-defined weakness where payment default is probable and loss is possible if deficiencies are not corrected. Generally, loans with this rating are considered collectible as to both principal and interest primarily due to collateral coverage.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Rating 10 and 11</w:t>
      </w:r>
      <w:r>
        <w:rPr>
          <w:rFonts w:ascii="Arial" w:cs="Arial" w:eastAsia="Arial" w:hAnsi="Arial"/>
          <w:sz w:val="18"/>
          <w:szCs w:val="18"/>
          <w:color w:val="auto"/>
        </w:rPr>
        <w:t>: These loans are generally referred to as our ‘‘substandard - non-accrual’’ and ‘‘doubtful’’ commercial credits. Our doubtful 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 sub classification for a loss rate other than 50% (which is the standard doubtful loss rate). These ratings include loans to borrowers with weaknesses that make collection of debt in full, on the basis of current facts, conditions and values at best questionable and at worst improbable. All of these loans are placed in non-accrual.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 are deemed incapable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are charged-off.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loan ratings by loan class for our commercial loan segment: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w w:val="95"/>
              </w:rPr>
              <w:t>Commercial</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8"/>
              </w:rPr>
              <w:t>Substandard</w:t>
            </w:r>
          </w:p>
        </w:tc>
        <w:tc>
          <w:tcPr>
            <w:tcW w:w="180" w:type="dxa"/>
            <w:vAlign w:val="bottom"/>
          </w:tcPr>
          <w:p>
            <w:pPr>
              <w:spacing w:after="0"/>
              <w:rPr>
                <w:sz w:val="17"/>
                <w:szCs w:val="17"/>
                <w:color w:val="auto"/>
              </w:rPr>
            </w:pPr>
          </w:p>
        </w:tc>
        <w:tc>
          <w:tcPr>
            <w:tcW w:w="114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2"/>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Non-watch</w:t>
            </w:r>
          </w:p>
        </w:tc>
        <w:tc>
          <w:tcPr>
            <w:tcW w:w="22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Watch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Accrual</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Accrual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1"/>
              </w:rPr>
              <w:t>10-11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June 30, 2020</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763,705</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583,060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10,793</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3,583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602,263</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1,302,432</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44,201</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1,365,968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140"/>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2,846</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December 31, 2019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515,955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564,871</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580,516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23,036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604,822</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1,096,471</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1,169,693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140"/>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2,763</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each of our mortgage and installment segment classes, we generally monitor credit quality based on the credit scores of the borrowers. These credit scores are generally updated semi-annually.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segments: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color w:val="auto"/>
              </w:rPr>
              <w:t>Mortgage (1)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5"/>
              </w:rPr>
              <w:t>1-4 Family</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5"/>
              </w:rPr>
              <w:t>1-4 Family</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Owner</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Owner</w:t>
            </w: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1-4 Family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Occupied -</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Occupied -</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Non-owner</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 Family</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Resort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Jumbo</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Non-jumbo</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Occupied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2nd Lien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Lending</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right"/>
              <w:ind w:right="98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169,430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750-799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219,140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69,820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44,071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25,926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438,966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91,257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82,755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29,110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244,260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650-699</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36,212</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46,971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11,455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11,948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8,109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114,695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12,173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21,487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44,169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550-599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11,123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17,396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7,798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13,006</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Under 500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2,032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Unknown</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424,261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287,878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162,762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106,690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64,423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1,046,014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48,486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43,848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24,315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13,905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11,076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141,630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111,521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474,044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700-749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95,064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34,839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30,697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14,626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281,835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31,553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51,174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14,267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119,052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600-649</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13,230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21,938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4,097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47,236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12,308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500-549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7,940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13,499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 500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Unknown</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1,259</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1,330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401,553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347,260</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116,542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1,103,066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8"/>
                <w:szCs w:val="18"/>
                <w:color w:val="auto"/>
              </w:rPr>
              <w:t>Installment (1)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1"/>
              </w:rPr>
              <w:t>Recreational</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Boat</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Vehicle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Lending</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Lending</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vMerge w:val="restart"/>
          </w:tcPr>
          <w:p>
            <w:pPr>
              <w:spacing w:after="0"/>
              <w:rPr>
                <w:sz w:val="20"/>
                <w:szCs w:val="20"/>
                <w:color w:val="auto"/>
              </w:rPr>
            </w:pPr>
            <w:r>
              <w:rPr>
                <w:rFonts w:ascii="Arial" w:cs="Arial" w:eastAsia="Arial" w:hAnsi="Arial"/>
                <w:sz w:val="18"/>
                <w:szCs w:val="18"/>
                <w:color w:val="auto"/>
              </w:rPr>
              <w:t>June 30, 2020</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29,267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76,798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750-799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112,736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88,056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35,270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236,062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30,177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95,771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650-699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7,427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21,857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40,778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550-599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Under 500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Unknown</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206,589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157,629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98,993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463,211</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28,041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24,470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60,122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88,164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244,127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700-749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31,055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99,749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600-649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1,411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500-549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 500</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Unknown</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203,282</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153,445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460,611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Accrued interest included in 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Foreclosed residential real estate properties included in other real estate and repossessed assets on our Condensed Consolidated Statements of Financial Condition totaled $1.0 million and $1.2 million at June 30, 2020 and December 31, 2019, respectively. Retail mortgage loans secured by residential real estate properties for which formal foreclosure proceedings are in process according to local requirements totaled $0.5 million and $0.7 million at June 30, 2020 and December 31, 2019, respectively.</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first quarter of 2020, we securitized $26.2 million of portfolio residential fixed rate mortgage loans servicing retained with Freddie Mac and recognized a gain on sale of $0.72 million. We also sold $2.4 million of portfolio residential fixed rate mortgage loans servicing retained into the secondary market and recognized a gain on sale of $0.7 million. These transactions were done primarily for asset/liability management purposes.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first quarter of 2019, we sold $40.6 million of residential adjustable rate mortgage loans servicing released (classified on the Condensed Consolidated Statements of Financial Condition as held for sale, carried at the lower of cost or fair value at December 31, 2018) to another financial institution and recognized a gain on sale of $0.01 million. During the first quarter of 2019 we also securitized $29.8 million, of portfolio residential fixed rate mortgage loans servicing retained with Freddie Mac and recognized a gain on sale of $0.53 million. These transactions were done primarily for asset/liability management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PCI Loans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Loans acquired in a business combination are recorded at estimated fair value on their purchase date with no carryover of the related allowance for loan losses. In determining the estimated fair value of purchased loans, we consider a number of factors including, among others, the remaining life of the acquired loans, estimated prepayments, estimated loss ratios, estimated value of the underlying collateral, and net present value of cash flows expected to be received. Purchased loans are accounted for in accordance with guidance for certain loans acquired in a transfer (ASC 310-30), when the loans have evidence of credit deterioration since origination and it is probable at the date of acquisition that the acquirer will not collect all contractually required principal and interest payments. The difference between contractually required payments and the cash flows expected to be collected at acquisition is referred to as the non-accretable difference. Subsequent decreases to the expected cash flows will generally result in a provision for loan losses. Subsequent increases in expected cash flows will result in a reversal of the provision for loan losses to the extent of prior charges and then an adjustment to accretable yield, which would have a positive impact on interest income.</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our acquisition of TCSB Bancorp, Inc. in the second quarter of 2018 we purchased loans for which there was, at acquisition, evidence of deterioration of credit quality since origination and it was probable, at acquisition, that all contractually required payments would not be collected. For these loans that meet the criteria of ASC 310-30 treatment, the carrying amount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96"/>
              <w:spacing w:after="0"/>
              <w:rPr>
                <w:sz w:val="20"/>
                <w:szCs w:val="20"/>
                <w:color w:val="auto"/>
              </w:rPr>
            </w:pPr>
            <w:r>
              <w:rPr>
                <w:rFonts w:ascii="Arial" w:cs="Arial" w:eastAsia="Arial" w:hAnsi="Arial"/>
                <w:sz w:val="18"/>
                <w:szCs w:val="18"/>
                <w:color w:val="auto"/>
                <w:w w:val="95"/>
              </w:rPr>
              <w:t>June 30,</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Mortgage</w:t>
            </w:r>
          </w:p>
        </w:tc>
        <w:tc>
          <w:tcPr>
            <w:tcW w:w="180" w:type="dxa"/>
            <w:vAlign w:val="bottom"/>
          </w:tcPr>
          <w:p>
            <w:pPr>
              <w:spacing w:after="0"/>
              <w:rPr>
                <w:sz w:val="18"/>
                <w:szCs w:val="18"/>
                <w:color w:val="auto"/>
              </w:rPr>
            </w:pPr>
          </w:p>
        </w:tc>
        <w:tc>
          <w:tcPr>
            <w:tcW w:w="1160" w:type="dxa"/>
            <w:vAlign w:val="bottom"/>
            <w:gridSpan w:val="2"/>
          </w:tcPr>
          <w:p>
            <w:pPr>
              <w:jc w:val="right"/>
              <w:ind w:right="136"/>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86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Total carrying amount</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Carrying amount, net of allowance for loan losses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2,146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2,285</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accretable difference on PCI loans is the difference between the expected cash flows and the net present value of expected cash flows with such difference accreted into earnings using the effective yield method over the term of the loans. Accretion recorded as loan interest income is included in the table below. Accretable yield of PCI loans, or income expected to be collected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80" w:type="dxa"/>
            <w:vAlign w:val="bottom"/>
            <w:gridSpan w:val="4"/>
          </w:tcPr>
          <w:p>
            <w:pPr>
              <w:jc w:val="center"/>
              <w:ind w:left="230"/>
              <w:spacing w:after="0"/>
              <w:rPr>
                <w:sz w:val="20"/>
                <w:szCs w:val="20"/>
                <w:color w:val="auto"/>
              </w:rPr>
            </w:pPr>
            <w:r>
              <w:rPr>
                <w:rFonts w:ascii="Arial" w:cs="Arial" w:eastAsia="Arial" w:hAnsi="Arial"/>
                <w:sz w:val="18"/>
                <w:szCs w:val="18"/>
                <w:color w:val="auto"/>
                <w:w w:val="87"/>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gridSpan w:val="3"/>
          </w:tcPr>
          <w:p>
            <w:pPr>
              <w:jc w:val="center"/>
              <w:ind w:right="361"/>
              <w:spacing w:after="0"/>
              <w:rPr>
                <w:sz w:val="20"/>
                <w:szCs w:val="20"/>
                <w:color w:val="auto"/>
              </w:rPr>
            </w:pPr>
            <w:r>
              <w:rPr>
                <w:rFonts w:ascii="Arial" w:cs="Arial" w:eastAsia="Arial" w:hAnsi="Arial"/>
                <w:sz w:val="18"/>
                <w:szCs w:val="18"/>
                <w:color w:val="auto"/>
                <w:w w:val="86"/>
              </w:rPr>
              <w:t>June 30,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left="43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right="381"/>
              <w:spacing w:after="0"/>
              <w:rPr>
                <w:sz w:val="20"/>
                <w:szCs w:val="20"/>
                <w:color w:val="auto"/>
              </w:rPr>
            </w:pPr>
            <w:r>
              <w:rPr>
                <w:rFonts w:ascii="Arial" w:cs="Arial" w:eastAsia="Arial" w:hAnsi="Arial"/>
                <w:sz w:val="18"/>
                <w:szCs w:val="18"/>
                <w:color w:val="auto"/>
                <w:w w:val="90"/>
              </w:rPr>
              <w:t>(unaudited)</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90"/>
              </w:rPr>
              <w:t>(unaudited)</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80" w:type="dxa"/>
            <w:vAlign w:val="bottom"/>
            <w:gridSpan w:val="4"/>
          </w:tcPr>
          <w:p>
            <w:pPr>
              <w:jc w:val="center"/>
              <w:ind w:left="230"/>
              <w:spacing w:after="0"/>
              <w:rPr>
                <w:sz w:val="20"/>
                <w:szCs w:val="20"/>
                <w:color w:val="auto"/>
              </w:rPr>
            </w:pPr>
            <w:r>
              <w:rPr>
                <w:rFonts w:ascii="Arial" w:cs="Arial" w:eastAsia="Arial" w:hAnsi="Arial"/>
                <w:sz w:val="18"/>
                <w:szCs w:val="18"/>
                <w:color w:val="auto"/>
                <w:w w:val="88"/>
              </w:rPr>
              <w:t>(In thousands)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4"/>
          </w:tcPr>
          <w:p>
            <w:pPr>
              <w:jc w:val="center"/>
              <w:ind w:right="23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tcPr>
          <w:p>
            <w:pPr>
              <w:spacing w:after="0"/>
              <w:rPr>
                <w:sz w:val="17"/>
                <w:szCs w:val="17"/>
                <w:color w:val="auto"/>
              </w:rPr>
            </w:pPr>
          </w:p>
        </w:tc>
        <w:tc>
          <w:tcPr>
            <w:tcW w:w="2100" w:type="dxa"/>
            <w:vAlign w:val="bottom"/>
            <w:gridSpan w:val="2"/>
          </w:tcPr>
          <w:p>
            <w:pPr>
              <w:spacing w:after="0"/>
              <w:rPr>
                <w:sz w:val="17"/>
                <w:szCs w:val="17"/>
                <w:color w:val="auto"/>
              </w:rPr>
            </w:pPr>
          </w:p>
        </w:tc>
        <w:tc>
          <w:tcPr>
            <w:tcW w:w="60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1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4660" w:type="dxa"/>
            <w:vAlign w:val="bottom"/>
          </w:tcPr>
          <w:p>
            <w:pPr>
              <w:ind w:left="140"/>
              <w:spacing w:after="0"/>
              <w:rPr>
                <w:sz w:val="20"/>
                <w:szCs w:val="20"/>
                <w:color w:val="auto"/>
              </w:rPr>
            </w:pPr>
            <w:r>
              <w:rPr>
                <w:rFonts w:ascii="Arial" w:cs="Arial" w:eastAsia="Arial" w:hAnsi="Arial"/>
                <w:sz w:val="18"/>
                <w:szCs w:val="18"/>
                <w:color w:val="auto"/>
              </w:rPr>
              <w:t>New loans purchased</w:t>
            </w: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recorded as loan interest income</w:t>
            </w: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660" w:type="dxa"/>
            <w:vAlign w:val="bottom"/>
          </w:tcPr>
          <w:p>
            <w:pPr>
              <w:ind w:left="140"/>
              <w:spacing w:after="0"/>
              <w:rPr>
                <w:sz w:val="20"/>
                <w:szCs w:val="20"/>
                <w:color w:val="auto"/>
              </w:rPr>
            </w:pPr>
            <w:r>
              <w:rPr>
                <w:rFonts w:ascii="Arial" w:cs="Arial" w:eastAsia="Arial" w:hAnsi="Arial"/>
                <w:sz w:val="18"/>
                <w:szCs w:val="18"/>
                <w:color w:val="auto"/>
              </w:rPr>
              <w:t>Reclassification from (to) nonaccretable difference</w:t>
            </w: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Displosals/other adjustments</w:t>
            </w: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1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573</w:t>
            </w:r>
          </w:p>
        </w:tc>
        <w:tc>
          <w:tcPr>
            <w:tcW w:w="800" w:type="dxa"/>
            <w:vAlign w:val="bottom"/>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320" w:type="dxa"/>
            <w:vAlign w:val="bottom"/>
            <w:vMerge w:val="restart"/>
          </w:tcPr>
          <w:p>
            <w:pPr>
              <w:jc w:val="right"/>
              <w:ind w:right="170"/>
              <w:spacing w:after="0"/>
              <w:rPr>
                <w:sz w:val="20"/>
                <w:szCs w:val="20"/>
                <w:color w:val="auto"/>
              </w:rPr>
            </w:pPr>
            <w:r>
              <w:rPr>
                <w:rFonts w:ascii="Arial" w:cs="Arial" w:eastAsia="Arial" w:hAnsi="Arial"/>
                <w:sz w:val="18"/>
                <w:szCs w:val="18"/>
                <w:color w:val="auto"/>
              </w:rPr>
              <w:t>30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46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17, 2019, our Board of Directors authorized a share repurchase plan (the “Repurchase Plan”) to buy back up to 1,120,000 shares of our outstanding common stock through December 31, 2020.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Given the impact and economic uncertainty of the COVID-19 pandemic our repurchase plan has been temporarily suspended. During the six month periods ended June 30, 2020 and 2019 repurchases were made totaling 678,929 shares and 1,179,688 shares of common stock, respectively, for an aggregate purchase price of $13.8 million and $25.8 million, respectively.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 reconciliation of basic and diluted net income per common share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color w:val="auto"/>
              </w:rPr>
              <w:t>Six Months Ended</w:t>
            </w: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gridSpan w:val="7"/>
          </w:tcPr>
          <w:p>
            <w:pPr>
              <w:jc w:val="right"/>
              <w:ind w:right="140"/>
              <w:spacing w:after="0"/>
              <w:rPr>
                <w:sz w:val="20"/>
                <w:szCs w:val="20"/>
                <w:color w:val="auto"/>
              </w:rPr>
            </w:pPr>
            <w:r>
              <w:rPr>
                <w:rFonts w:ascii="Arial" w:cs="Arial" w:eastAsia="Arial" w:hAnsi="Arial"/>
                <w:sz w:val="18"/>
                <w:szCs w:val="18"/>
                <w:color w:val="auto"/>
                <w:w w:val="91"/>
              </w:rPr>
              <w:t>(In thousands, except per share data)</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19,582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20,111</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21,891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22,081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23,310</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stock options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Performance share units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02"/>
        </w:trPr>
        <w:tc>
          <w:tcPr>
            <w:tcW w:w="5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Weighted average shares outstanding for calculation of diluted earnings per</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22,113</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23,313</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22,325</w:t>
            </w:r>
          </w:p>
        </w:tc>
        <w:tc>
          <w:tcPr>
            <w:tcW w:w="2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23,598</w:t>
            </w: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Basic (1)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0.67</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Basic net income per common share includes weighted average common shares outstanding during the period and participating share awards.</w:t>
      </w:r>
    </w:p>
    <w:p>
      <w:pPr>
        <w:spacing w:after="0" w:line="2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Weighted average stock options outstanding that were not considered in computing diluted net income per common share because they were anti-dilutive were zero for the three and six month periods ended June 30, 2020 and 2019, respectively.</w:t>
      </w:r>
    </w:p>
    <w:p>
      <w:pPr>
        <w:spacing w:after="0" w:line="19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derivative financial instruments according to the type of hedge in which they are designated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9"/>
              </w:rPr>
              <w:t>June 30, 2020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r>
      <w:tr>
        <w:trPr>
          <w:trHeight w:val="237"/>
        </w:trPr>
        <w:tc>
          <w:tcPr>
            <w:tcW w:w="5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30"/>
        </w:trPr>
        <w:tc>
          <w:tcPr>
            <w:tcW w:w="5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6"/>
          </w:tcPr>
          <w:p>
            <w:pPr>
              <w:jc w:val="center"/>
              <w:ind w:right="130"/>
              <w:spacing w:after="0"/>
              <w:rPr>
                <w:sz w:val="20"/>
                <w:szCs w:val="20"/>
                <w:color w:val="auto"/>
              </w:rPr>
            </w:pPr>
            <w:r>
              <w:rPr>
                <w:rFonts w:ascii="Arial" w:cs="Arial" w:eastAsia="Arial" w:hAnsi="Arial"/>
                <w:sz w:val="18"/>
                <w:szCs w:val="18"/>
                <w:color w:val="auto"/>
                <w:w w:val="89"/>
              </w:rPr>
              <w:t>(Dollars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320" w:type="dxa"/>
            <w:vAlign w:val="bottom"/>
          </w:tcPr>
          <w:p>
            <w:pPr>
              <w:spacing w:after="0"/>
              <w:rPr>
                <w:sz w:val="17"/>
                <w:szCs w:val="17"/>
                <w:color w:val="auto"/>
              </w:rPr>
            </w:pPr>
          </w:p>
        </w:tc>
        <w:tc>
          <w:tcPr>
            <w:tcW w:w="218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r>
      <w:tr>
        <w:trPr>
          <w:trHeight w:val="257"/>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3"/>
              </w:rPr>
              <w:t>Fair value hedge designation - Pay-fixed interest rate swap agreements</w:t>
            </w:r>
          </w:p>
        </w:tc>
        <w:tc>
          <w:tcPr>
            <w:tcW w:w="20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40" w:type="dxa"/>
            <w:vAlign w:val="bottom"/>
            <w:gridSpan w:val="2"/>
            <w:shd w:val="clear" w:color="auto" w:fill="CCEEFF"/>
          </w:tcPr>
          <w:p>
            <w:pPr>
              <w:spacing w:after="0"/>
              <w:rPr>
                <w:sz w:val="22"/>
                <w:szCs w:val="22"/>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w:t>
            </w:r>
          </w:p>
        </w:tc>
      </w:tr>
      <w:tr>
        <w:trPr>
          <w:trHeight w:val="209"/>
        </w:trPr>
        <w:tc>
          <w:tcPr>
            <w:tcW w:w="532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gridSpan w:val="3"/>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flow hedge designation - Pay-fixed interest rate swap agreements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r>
      <w:tr>
        <w:trPr>
          <w:trHeight w:val="209"/>
        </w:trPr>
        <w:tc>
          <w:tcPr>
            <w:tcW w:w="532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Arial" w:cs="Arial" w:eastAsia="Arial" w:hAnsi="Arial"/>
                <w:sz w:val="18"/>
                <w:szCs w:val="18"/>
                <w:color w:val="auto"/>
              </w:rPr>
              <w:t>Rate-lock mortgage loan commitments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187,358</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7,260</w:t>
            </w: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222,745</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w:t>
            </w:r>
          </w:p>
        </w:tc>
      </w:tr>
      <w:tr>
        <w:trPr>
          <w:trHeight w:val="216"/>
        </w:trPr>
        <w:tc>
          <w:tcPr>
            <w:tcW w:w="5320" w:type="dxa"/>
            <w:vAlign w:val="bottom"/>
          </w:tcPr>
          <w:p>
            <w:pPr>
              <w:ind w:left="140"/>
              <w:spacing w:after="0"/>
              <w:rPr>
                <w:sz w:val="20"/>
                <w:szCs w:val="20"/>
                <w:color w:val="auto"/>
              </w:rPr>
            </w:pPr>
            <w:r>
              <w:rPr>
                <w:rFonts w:ascii="Arial" w:cs="Arial" w:eastAsia="Arial" w:hAnsi="Arial"/>
                <w:sz w:val="18"/>
                <w:szCs w:val="18"/>
                <w:color w:val="auto"/>
              </w:rPr>
              <w:t>Pay-fixed interest rate swap agreements - commercial</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144,828</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(11,499)</w:t>
            </w: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Pay-variable interest rate swap agreements - commercial</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144,828</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11,499</w:t>
            </w:r>
          </w:p>
        </w:tc>
      </w:tr>
      <w:tr>
        <w:trPr>
          <w:trHeight w:val="216"/>
        </w:trPr>
        <w:tc>
          <w:tcPr>
            <w:tcW w:w="5320" w:type="dxa"/>
            <w:vAlign w:val="bottom"/>
          </w:tcPr>
          <w:p>
            <w:pPr>
              <w:ind w:left="140"/>
              <w:spacing w:after="0"/>
              <w:rPr>
                <w:sz w:val="20"/>
                <w:szCs w:val="20"/>
                <w:color w:val="auto"/>
              </w:rPr>
            </w:pPr>
            <w:r>
              <w:rPr>
                <w:rFonts w:ascii="Arial" w:cs="Arial" w:eastAsia="Arial" w:hAnsi="Arial"/>
                <w:sz w:val="18"/>
                <w:szCs w:val="18"/>
                <w:color w:val="auto"/>
              </w:rPr>
              <w:t>Interest rate cap agreements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options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23"/>
        </w:trPr>
        <w:tc>
          <w:tcPr>
            <w:tcW w:w="5320" w:type="dxa"/>
            <w:vAlign w:val="bottom"/>
          </w:tcPr>
          <w:p>
            <w:pPr>
              <w:ind w:left="140"/>
              <w:spacing w:after="0"/>
              <w:rPr>
                <w:sz w:val="20"/>
                <w:szCs w:val="20"/>
                <w:color w:val="auto"/>
              </w:rPr>
            </w:pPr>
            <w:r>
              <w:rPr>
                <w:rFonts w:ascii="Arial" w:cs="Arial" w:eastAsia="Arial" w:hAnsi="Arial"/>
                <w:sz w:val="18"/>
                <w:szCs w:val="18"/>
                <w:color w:val="auto"/>
              </w:rPr>
              <w:t>Written options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2,848</w:t>
            </w:r>
          </w:p>
        </w:tc>
        <w:tc>
          <w:tcPr>
            <w:tcW w:w="20" w:type="dxa"/>
            <w:vAlign w:val="bottom"/>
          </w:tcPr>
          <w:p>
            <w:pPr>
              <w:spacing w:after="0"/>
              <w:rPr>
                <w:sz w:val="19"/>
                <w:szCs w:val="19"/>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57"/>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855,515</w:t>
            </w:r>
          </w:p>
        </w:tc>
        <w:tc>
          <w:tcPr>
            <w:tcW w:w="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00" w:type="dxa"/>
            <w:vAlign w:val="bottom"/>
            <w:shd w:val="clear" w:color="auto" w:fill="CCEEFF"/>
          </w:tcPr>
          <w:p>
            <w:pPr>
              <w:spacing w:after="0"/>
              <w:rPr>
                <w:sz w:val="22"/>
                <w:szCs w:val="22"/>
                <w:color w:val="auto"/>
              </w:rPr>
            </w:pPr>
          </w:p>
        </w:tc>
      </w:tr>
      <w:tr>
        <w:trPr>
          <w:trHeight w:val="460"/>
        </w:trPr>
        <w:tc>
          <w:tcPr>
            <w:tcW w:w="5320" w:type="dxa"/>
            <w:vAlign w:val="bottom"/>
            <w:tcBorders>
              <w:top w:val="single" w:sz="8" w:color="CCEEFF"/>
            </w:tcBorders>
          </w:tcPr>
          <w:p>
            <w:pPr>
              <w:spacing w:after="0"/>
              <w:rPr>
                <w:sz w:val="24"/>
                <w:szCs w:val="24"/>
                <w:color w:val="auto"/>
              </w:rPr>
            </w:pPr>
          </w:p>
        </w:tc>
        <w:tc>
          <w:tcPr>
            <w:tcW w:w="2000" w:type="dxa"/>
            <w:vAlign w:val="bottom"/>
            <w:tcBorders>
              <w:top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89"/>
              </w:rPr>
              <w:t>December 31, 2019</w:t>
            </w: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2"/>
        </w:trPr>
        <w:tc>
          <w:tcPr>
            <w:tcW w:w="5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r>
      <w:tr>
        <w:trPr>
          <w:trHeight w:val="237"/>
        </w:trPr>
        <w:tc>
          <w:tcPr>
            <w:tcW w:w="5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6"/>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gridSpan w:val="6"/>
          </w:tcPr>
          <w:p>
            <w:pPr>
              <w:jc w:val="center"/>
              <w:ind w:right="130"/>
              <w:spacing w:after="0"/>
              <w:rPr>
                <w:sz w:val="20"/>
                <w:szCs w:val="20"/>
                <w:color w:val="auto"/>
              </w:rPr>
            </w:pPr>
            <w:r>
              <w:rPr>
                <w:rFonts w:ascii="Arial" w:cs="Arial" w:eastAsia="Arial" w:hAnsi="Arial"/>
                <w:sz w:val="18"/>
                <w:szCs w:val="18"/>
                <w:color w:val="auto"/>
                <w:w w:val="89"/>
              </w:rPr>
              <w:t>(Dollars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3"/>
              </w:rPr>
              <w:t>Fair value hedge designation - Pay-fixed interest rate swap agreements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7,117</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r>
      <w:tr>
        <w:trPr>
          <w:trHeight w:val="210"/>
        </w:trPr>
        <w:tc>
          <w:tcPr>
            <w:tcW w:w="532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 designation</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Arial" w:cs="Arial" w:eastAsia="Arial" w:hAnsi="Arial"/>
                <w:sz w:val="18"/>
                <w:szCs w:val="18"/>
                <w:color w:val="auto"/>
              </w:rPr>
              <w:t>Pay-fixed interest rate swap agreements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25,000</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223"/>
        </w:trPr>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20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
        </w:trPr>
        <w:tc>
          <w:tcPr>
            <w:tcW w:w="5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No hedge designation</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Rate-lock mortgage loan commitments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49,268</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w:t>
            </w:r>
          </w:p>
        </w:tc>
      </w:tr>
      <w:tr>
        <w:trPr>
          <w:trHeight w:val="216"/>
        </w:trPr>
        <w:tc>
          <w:tcPr>
            <w:tcW w:w="5320" w:type="dxa"/>
            <w:vAlign w:val="bottom"/>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95,363</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Pay-fixed interest rate swap agreements - commercial</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153,946</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(3,641)</w:t>
            </w:r>
          </w:p>
        </w:tc>
      </w:tr>
      <w:tr>
        <w:trPr>
          <w:trHeight w:val="216"/>
        </w:trPr>
        <w:tc>
          <w:tcPr>
            <w:tcW w:w="5320" w:type="dxa"/>
            <w:vAlign w:val="bottom"/>
          </w:tcPr>
          <w:p>
            <w:pPr>
              <w:ind w:left="140"/>
              <w:spacing w:after="0"/>
              <w:rPr>
                <w:sz w:val="20"/>
                <w:szCs w:val="20"/>
                <w:color w:val="auto"/>
              </w:rPr>
            </w:pPr>
            <w:r>
              <w:rPr>
                <w:rFonts w:ascii="Arial" w:cs="Arial" w:eastAsia="Arial" w:hAnsi="Arial"/>
                <w:sz w:val="18"/>
                <w:szCs w:val="18"/>
                <w:color w:val="auto"/>
              </w:rPr>
              <w:t>Pay-variable interest rate swap agreements - commercial</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153,946</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3,641</w:t>
            </w: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options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23"/>
        </w:trPr>
        <w:tc>
          <w:tcPr>
            <w:tcW w:w="5320" w:type="dxa"/>
            <w:vAlign w:val="bottom"/>
          </w:tcPr>
          <w:p>
            <w:pPr>
              <w:ind w:left="140"/>
              <w:spacing w:after="0"/>
              <w:rPr>
                <w:sz w:val="20"/>
                <w:szCs w:val="20"/>
                <w:color w:val="auto"/>
              </w:rPr>
            </w:pPr>
            <w:r>
              <w:rPr>
                <w:rFonts w:ascii="Arial" w:cs="Arial" w:eastAsia="Arial" w:hAnsi="Arial"/>
                <w:sz w:val="18"/>
                <w:szCs w:val="18"/>
                <w:color w:val="auto"/>
              </w:rPr>
              <w:t>Written options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2,848</w:t>
            </w:r>
          </w:p>
        </w:tc>
        <w:tc>
          <w:tcPr>
            <w:tcW w:w="20" w:type="dxa"/>
            <w:vAlign w:val="bottom"/>
          </w:tcPr>
          <w:p>
            <w:pPr>
              <w:spacing w:after="0"/>
              <w:rPr>
                <w:sz w:val="19"/>
                <w:szCs w:val="19"/>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5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458,279</w:t>
            </w:r>
          </w:p>
        </w:tc>
        <w:tc>
          <w:tcPr>
            <w:tcW w:w="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22"/>
                <w:szCs w:val="22"/>
                <w:color w:val="auto"/>
              </w:rPr>
            </w:pPr>
          </w:p>
        </w:tc>
      </w:tr>
      <w:tr>
        <w:trPr>
          <w:trHeight w:val="641"/>
        </w:trPr>
        <w:tc>
          <w:tcPr>
            <w:tcW w:w="5320" w:type="dxa"/>
            <w:vAlign w:val="bottom"/>
            <w:tcBorders>
              <w:top w:val="single" w:sz="8" w:color="CCEEFF"/>
            </w:tcBorders>
          </w:tcPr>
          <w:p>
            <w:pPr>
              <w:spacing w:after="0"/>
              <w:rPr>
                <w:sz w:val="24"/>
                <w:szCs w:val="24"/>
                <w:color w:val="auto"/>
              </w:rPr>
            </w:pPr>
          </w:p>
        </w:tc>
        <w:tc>
          <w:tcPr>
            <w:tcW w:w="2000" w:type="dxa"/>
            <w:vAlign w:val="bottom"/>
            <w:tcBorders>
              <w:top w:val="single" w:sz="8" w:color="CCEEFF"/>
            </w:tcBorders>
          </w:tcPr>
          <w:p>
            <w:pPr>
              <w:jc w:val="right"/>
              <w:ind w:right="1510"/>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61"/>
        </w:trPr>
        <w:tc>
          <w:tcPr>
            <w:tcW w:w="532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variable-rate and short-term fixed-rate (less than 12 months) debt obligations to fund a portion of our Condensed Consolidated Statements of Financial Condition, which exposes us to variability in interest rates. To meet our asset/liability management objectives, we may periodically enter into derivative financial instruments to mitigate exposure to fluctuations in cash flows resulting from changes in interest rates (“Cash Flow Hedges”). Cash Flow Hedges included certain pay-fixed interest rate swaps and interest rate cap agreements. Pay-fixed interest rate swaps convert the variable-rate cash flows on debt obligations to fixed-rates. Under interest-rate cap agreements, we will receive cash if interest rates rise above a predetermined level. As a result, we effectively have variable-rate debt with an established maximum rate. We paid an upfront premium on interest rate caps which was recognized in earnings in the same period in which the hedged item affected earnings. During the first quarter of 2020 we transferred all of our interest rate cap agreements to a no hedge designation and the $2.0 million unrealized loss which was included as a component of accumulated other comprehensive income (loss) at the time of the transfer will be reclassified into earnings over the remaining life of the interest rate cap agreements. The interest rate caps are classified as a no hedge designation at June 30, 2020 and any changes in fair value since the transfer to the no hedge designation are recorded in earnings.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 the fair value of Cash Flow Hedges in accrued income and other assets and accrued expenses and other liabilities on our Condensed Consolidated Statements of Financial Condition. On an ongoing basis, we adjust our Condensed Consolidated Statements of Financial Condition to reflect the then current fair value of Cash Flow Hedges. The related gains or losses are reported in other comprehensive income or loss and are subsequently reclassified into earnings as a yield adjustment in the same period in which the related interest on the hedged items (variable-rate debt obligations) affect earnings. It is anticipated that approximately $1.2 million, of unrealized losses on Cash Flow Hedges at June 30, 2020 will be reclassified to earnings over the next twelve months. The maximum term of Cash Flow Hedges at June 30, 2020 is 1.2 years.</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Beginning in the second quarter of 2019 we entered into a pay-fixed interest rate swap to protect a portion of the fair value of a certain fixed rate commercial loan commitment (“Fair Value Hedge”). As a result, changes in the fair value of the pay-fixed interest rate swap is expected to offset changes in the fair value of the fixed rate commercial loan commitment due to fluctuations in interest rates. We record the fair value of Fair Value Hedges in accrued income and other assets and accrued expenses and other liabilities on our Condensed Consolidated Statements of Financial Condition. The hedged item (fixed rate commercial loan commitment) is also recorded at fair value which offsets the adjustment to the Fair Value Hedge. On an ongoing basis, we adjust our Condensed Consolidated Statements of Financial Condition to reflect the then current fair value of both the Fair Value Hedge and the hedged item. The related gains or losses are reported in non-interest income – other in our Condensed Consolidated Statements of Operations.</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prior periods we offered to our deposit customers an equity linked time deposit product (“Altitude CD”). The Altitude CD was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noted as commercial in the table above with no hedge designation relate to this program.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Fair Values of Derivative Instruments</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66"/>
        </w:trPr>
        <w:tc>
          <w:tcPr>
            <w:tcW w:w="23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Asset Derivatives</w:t>
            </w:r>
          </w:p>
        </w:tc>
        <w:tc>
          <w:tcPr>
            <w:tcW w:w="1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Liability Derivatives</w:t>
            </w:r>
          </w:p>
        </w:tc>
        <w:tc>
          <w:tcPr>
            <w:tcW w:w="1220" w:type="dxa"/>
            <w:vAlign w:val="bottom"/>
            <w:tcBorders>
              <w:bottom w:val="single" w:sz="8" w:color="auto"/>
            </w:tcBorders>
          </w:tcPr>
          <w:p>
            <w:pPr>
              <w:spacing w:after="0"/>
              <w:rPr>
                <w:sz w:val="24"/>
                <w:szCs w:val="24"/>
                <w:color w:val="auto"/>
              </w:rPr>
            </w:pPr>
          </w:p>
        </w:tc>
      </w:tr>
      <w:tr>
        <w:trPr>
          <w:trHeight w:val="202"/>
        </w:trPr>
        <w:tc>
          <w:tcPr>
            <w:tcW w:w="2380" w:type="dxa"/>
            <w:vAlign w:val="bottom"/>
          </w:tcPr>
          <w:p>
            <w:pPr>
              <w:spacing w:after="0"/>
              <w:rPr>
                <w:sz w:val="17"/>
                <w:szCs w:val="17"/>
                <w:color w:val="auto"/>
              </w:rPr>
            </w:pPr>
          </w:p>
        </w:tc>
        <w:tc>
          <w:tcPr>
            <w:tcW w:w="1380" w:type="dxa"/>
            <w:vAlign w:val="bottom"/>
          </w:tcPr>
          <w:p>
            <w:pPr>
              <w:jc w:val="center"/>
              <w:ind w:left="610"/>
              <w:spacing w:after="0" w:line="201" w:lineRule="exact"/>
              <w:rPr>
                <w:sz w:val="20"/>
                <w:szCs w:val="20"/>
                <w:color w:val="auto"/>
              </w:rPr>
            </w:pPr>
            <w:r>
              <w:rPr>
                <w:rFonts w:ascii="Arial" w:cs="Arial" w:eastAsia="Arial" w:hAnsi="Arial"/>
                <w:sz w:val="18"/>
                <w:szCs w:val="18"/>
                <w:color w:val="auto"/>
                <w:w w:val="86"/>
              </w:rPr>
              <w:t>June 30,</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8"/>
              </w:rPr>
              <w:t>December 31,</w:t>
            </w:r>
          </w:p>
        </w:tc>
        <w:tc>
          <w:tcPr>
            <w:tcW w:w="220" w:type="dxa"/>
            <w:vAlign w:val="bottom"/>
          </w:tcPr>
          <w:p>
            <w:pPr>
              <w:spacing w:after="0"/>
              <w:rPr>
                <w:sz w:val="17"/>
                <w:szCs w:val="17"/>
                <w:color w:val="auto"/>
              </w:rPr>
            </w:pPr>
          </w:p>
        </w:tc>
        <w:tc>
          <w:tcPr>
            <w:tcW w:w="1320" w:type="dxa"/>
            <w:vAlign w:val="bottom"/>
          </w:tcPr>
          <w:p>
            <w:pPr>
              <w:jc w:val="center"/>
              <w:ind w:left="590"/>
              <w:spacing w:after="0" w:line="201" w:lineRule="exact"/>
              <w:rPr>
                <w:sz w:val="20"/>
                <w:szCs w:val="20"/>
                <w:color w:val="auto"/>
              </w:rPr>
            </w:pPr>
            <w:r>
              <w:rPr>
                <w:rFonts w:ascii="Arial" w:cs="Arial" w:eastAsia="Arial" w:hAnsi="Arial"/>
                <w:sz w:val="18"/>
                <w:szCs w:val="18"/>
                <w:color w:val="auto"/>
                <w:w w:val="86"/>
              </w:rPr>
              <w:t>June 30,</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December 31,</w:t>
            </w:r>
          </w:p>
        </w:tc>
      </w:tr>
      <w:tr>
        <w:trPr>
          <w:trHeight w:val="237"/>
        </w:trPr>
        <w:tc>
          <w:tcPr>
            <w:tcW w:w="3760" w:type="dxa"/>
            <w:vAlign w:val="bottom"/>
            <w:gridSpan w:val="2"/>
          </w:tcPr>
          <w:p>
            <w:pPr>
              <w:jc w:val="right"/>
              <w:ind w:right="70"/>
              <w:spacing w:after="0"/>
              <w:rPr>
                <w:sz w:val="20"/>
                <w:szCs w:val="20"/>
                <w:color w:val="auto"/>
              </w:rPr>
            </w:pPr>
            <w:r>
              <w:rPr>
                <w:rFonts w:ascii="Arial" w:cs="Arial" w:eastAsia="Arial" w:hAnsi="Arial"/>
                <w:sz w:val="18"/>
                <w:szCs w:val="18"/>
                <w:color w:val="auto"/>
              </w:rPr>
              <w:t>2020</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jc w:val="right"/>
              <w:ind w:right="730"/>
              <w:spacing w:after="0"/>
              <w:rPr>
                <w:sz w:val="20"/>
                <w:szCs w:val="20"/>
                <w:color w:val="auto"/>
              </w:rPr>
            </w:pPr>
            <w:r>
              <w:rPr>
                <w:rFonts w:ascii="Arial" w:cs="Arial" w:eastAsia="Arial" w:hAnsi="Arial"/>
                <w:sz w:val="18"/>
                <w:szCs w:val="18"/>
                <w:color w:val="auto"/>
                <w:w w:val="89"/>
              </w:rPr>
              <w:t>2019</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2020</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jc w:val="right"/>
              <w:ind w:right="730"/>
              <w:spacing w:after="0"/>
              <w:rPr>
                <w:sz w:val="20"/>
                <w:szCs w:val="20"/>
                <w:color w:val="auto"/>
              </w:rPr>
            </w:pPr>
            <w:r>
              <w:rPr>
                <w:rFonts w:ascii="Arial" w:cs="Arial" w:eastAsia="Arial" w:hAnsi="Arial"/>
                <w:sz w:val="18"/>
                <w:szCs w:val="18"/>
                <w:color w:val="auto"/>
                <w:w w:val="94"/>
              </w:rPr>
              <w:t>2019</w:t>
            </w:r>
          </w:p>
        </w:tc>
      </w:tr>
      <w:tr>
        <w:trPr>
          <w:trHeight w:val="202"/>
        </w:trPr>
        <w:tc>
          <w:tcPr>
            <w:tcW w:w="2380" w:type="dxa"/>
            <w:vAlign w:val="bottom"/>
          </w:tcPr>
          <w:p>
            <w:pPr>
              <w:spacing w:after="0"/>
              <w:rPr>
                <w:sz w:val="17"/>
                <w:szCs w:val="17"/>
                <w:color w:val="auto"/>
              </w:rPr>
            </w:pPr>
          </w:p>
        </w:tc>
        <w:tc>
          <w:tcPr>
            <w:tcW w:w="1380" w:type="dxa"/>
            <w:vAlign w:val="bottom"/>
            <w:tcBorders>
              <w:top w:val="single" w:sz="8" w:color="auto"/>
            </w:tcBorders>
          </w:tcPr>
          <w:p>
            <w:pPr>
              <w:jc w:val="center"/>
              <w:ind w:right="350"/>
              <w:spacing w:after="0" w:line="201" w:lineRule="exact"/>
              <w:rPr>
                <w:sz w:val="20"/>
                <w:szCs w:val="20"/>
                <w:color w:val="auto"/>
              </w:rPr>
            </w:pPr>
            <w:r>
              <w:rPr>
                <w:rFonts w:ascii="Arial" w:cs="Arial" w:eastAsia="Arial" w:hAnsi="Arial"/>
                <w:sz w:val="18"/>
                <w:szCs w:val="18"/>
                <w:color w:val="auto"/>
                <w:w w:val="89"/>
              </w:rPr>
              <w:t>Balance</w:t>
            </w: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jc w:val="center"/>
              <w:ind w:left="10"/>
              <w:spacing w:after="0" w:line="201" w:lineRule="exact"/>
              <w:rPr>
                <w:sz w:val="20"/>
                <w:szCs w:val="20"/>
                <w:color w:val="auto"/>
              </w:rPr>
            </w:pPr>
            <w:r>
              <w:rPr>
                <w:rFonts w:ascii="Arial" w:cs="Arial" w:eastAsia="Arial" w:hAnsi="Arial"/>
                <w:sz w:val="18"/>
                <w:szCs w:val="18"/>
                <w:color w:val="auto"/>
                <w:w w:val="89"/>
              </w:rPr>
              <w:t>Balance</w:t>
            </w:r>
          </w:p>
        </w:tc>
        <w:tc>
          <w:tcPr>
            <w:tcW w:w="1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89"/>
              </w:rPr>
              <w:t>Balance</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Balance</w:t>
            </w:r>
          </w:p>
        </w:tc>
        <w:tc>
          <w:tcPr>
            <w:tcW w:w="1220" w:type="dxa"/>
            <w:vAlign w:val="bottom"/>
            <w:tcBorders>
              <w:top w:val="single" w:sz="8" w:color="auto"/>
            </w:tcBorders>
          </w:tcPr>
          <w:p>
            <w:pPr>
              <w:spacing w:after="0"/>
              <w:rPr>
                <w:sz w:val="17"/>
                <w:szCs w:val="17"/>
                <w:color w:val="auto"/>
              </w:rPr>
            </w:pPr>
          </w:p>
        </w:tc>
      </w:tr>
      <w:tr>
        <w:trPr>
          <w:trHeight w:val="216"/>
        </w:trPr>
        <w:tc>
          <w:tcPr>
            <w:tcW w:w="2380" w:type="dxa"/>
            <w:vAlign w:val="bottom"/>
          </w:tcPr>
          <w:p>
            <w:pPr>
              <w:spacing w:after="0"/>
              <w:rPr>
                <w:sz w:val="18"/>
                <w:szCs w:val="18"/>
                <w:color w:val="auto"/>
              </w:rPr>
            </w:pPr>
          </w:p>
        </w:tc>
        <w:tc>
          <w:tcPr>
            <w:tcW w:w="1380" w:type="dxa"/>
            <w:vAlign w:val="bottom"/>
          </w:tcPr>
          <w:p>
            <w:pPr>
              <w:jc w:val="center"/>
              <w:ind w:right="370"/>
              <w:spacing w:after="0"/>
              <w:rPr>
                <w:sz w:val="20"/>
                <w:szCs w:val="20"/>
                <w:color w:val="auto"/>
              </w:rPr>
            </w:pPr>
            <w:r>
              <w:rPr>
                <w:rFonts w:ascii="Arial" w:cs="Arial" w:eastAsia="Arial" w:hAnsi="Arial"/>
                <w:sz w:val="18"/>
                <w:szCs w:val="18"/>
                <w:color w:val="auto"/>
                <w:w w:val="84"/>
              </w:rPr>
              <w:t>Sheet</w:t>
            </w:r>
          </w:p>
        </w:tc>
        <w:tc>
          <w:tcPr>
            <w:tcW w:w="700" w:type="dxa"/>
            <w:vAlign w:val="bottom"/>
          </w:tcPr>
          <w:p>
            <w:pPr>
              <w:jc w:val="center"/>
              <w:ind w:right="130"/>
              <w:spacing w:after="0"/>
              <w:rPr>
                <w:sz w:val="20"/>
                <w:szCs w:val="20"/>
                <w:color w:val="auto"/>
              </w:rPr>
            </w:pPr>
            <w:r>
              <w:rPr>
                <w:rFonts w:ascii="Arial" w:cs="Arial" w:eastAsia="Arial" w:hAnsi="Arial"/>
                <w:sz w:val="18"/>
                <w:szCs w:val="18"/>
                <w:color w:val="auto"/>
                <w:w w:val="90"/>
              </w:rPr>
              <w:t>Fair</w:t>
            </w:r>
          </w:p>
        </w:tc>
        <w:tc>
          <w:tcPr>
            <w:tcW w:w="240" w:type="dxa"/>
            <w:vAlign w:val="bottom"/>
          </w:tcPr>
          <w:p>
            <w:pPr>
              <w:spacing w:after="0"/>
              <w:rPr>
                <w:sz w:val="18"/>
                <w:szCs w:val="18"/>
                <w:color w:val="auto"/>
              </w:rPr>
            </w:pP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84"/>
              </w:rPr>
              <w:t>Sheet</w:t>
            </w:r>
          </w:p>
        </w:tc>
        <w:tc>
          <w:tcPr>
            <w:tcW w:w="1200" w:type="dxa"/>
            <w:vAlign w:val="bottom"/>
          </w:tcPr>
          <w:p>
            <w:pPr>
              <w:jc w:val="center"/>
              <w:ind w:left="230"/>
              <w:spacing w:after="0"/>
              <w:rPr>
                <w:sz w:val="20"/>
                <w:szCs w:val="20"/>
                <w:color w:val="auto"/>
              </w:rPr>
            </w:pPr>
            <w:r>
              <w:rPr>
                <w:rFonts w:ascii="Arial" w:cs="Arial" w:eastAsia="Arial" w:hAnsi="Arial"/>
                <w:sz w:val="18"/>
                <w:szCs w:val="18"/>
                <w:color w:val="auto"/>
                <w:w w:val="90"/>
              </w:rPr>
              <w:t>Fair</w:t>
            </w:r>
          </w:p>
        </w:tc>
        <w:tc>
          <w:tcPr>
            <w:tcW w:w="220" w:type="dxa"/>
            <w:vAlign w:val="bottom"/>
          </w:tcPr>
          <w:p>
            <w:pPr>
              <w:spacing w:after="0"/>
              <w:rPr>
                <w:sz w:val="18"/>
                <w:szCs w:val="18"/>
                <w:color w:val="auto"/>
              </w:rPr>
            </w:pPr>
          </w:p>
        </w:tc>
        <w:tc>
          <w:tcPr>
            <w:tcW w:w="1320" w:type="dxa"/>
            <w:vAlign w:val="bottom"/>
          </w:tcPr>
          <w:p>
            <w:pPr>
              <w:jc w:val="center"/>
              <w:ind w:right="350"/>
              <w:spacing w:after="0"/>
              <w:rPr>
                <w:sz w:val="20"/>
                <w:szCs w:val="20"/>
                <w:color w:val="auto"/>
              </w:rPr>
            </w:pPr>
            <w:r>
              <w:rPr>
                <w:rFonts w:ascii="Arial" w:cs="Arial" w:eastAsia="Arial" w:hAnsi="Arial"/>
                <w:sz w:val="18"/>
                <w:szCs w:val="18"/>
                <w:color w:val="auto"/>
                <w:w w:val="84"/>
              </w:rPr>
              <w:t>Sheet</w:t>
            </w:r>
          </w:p>
        </w:tc>
        <w:tc>
          <w:tcPr>
            <w:tcW w:w="680" w:type="dxa"/>
            <w:vAlign w:val="bottom"/>
          </w:tcPr>
          <w:p>
            <w:pPr>
              <w:ind w:left="80"/>
              <w:spacing w:after="0"/>
              <w:rPr>
                <w:sz w:val="20"/>
                <w:szCs w:val="20"/>
                <w:color w:val="auto"/>
              </w:rPr>
            </w:pPr>
            <w:r>
              <w:rPr>
                <w:rFonts w:ascii="Arial" w:cs="Arial" w:eastAsia="Arial" w:hAnsi="Arial"/>
                <w:sz w:val="18"/>
                <w:szCs w:val="18"/>
                <w:color w:val="auto"/>
              </w:rPr>
              <w:t>Fair</w:t>
            </w:r>
          </w:p>
        </w:tc>
        <w:tc>
          <w:tcPr>
            <w:tcW w:w="220" w:type="dxa"/>
            <w:vAlign w:val="bottom"/>
          </w:tcPr>
          <w:p>
            <w:pPr>
              <w:spacing w:after="0"/>
              <w:rPr>
                <w:sz w:val="18"/>
                <w:szCs w:val="18"/>
                <w:color w:val="auto"/>
              </w:rPr>
            </w:pPr>
          </w:p>
        </w:tc>
        <w:tc>
          <w:tcPr>
            <w:tcW w:w="780" w:type="dxa"/>
            <w:vAlign w:val="bottom"/>
          </w:tcPr>
          <w:p>
            <w:pPr>
              <w:jc w:val="center"/>
              <w:ind w:left="10"/>
              <w:spacing w:after="0"/>
              <w:rPr>
                <w:sz w:val="20"/>
                <w:szCs w:val="20"/>
                <w:color w:val="auto"/>
              </w:rPr>
            </w:pPr>
            <w:r>
              <w:rPr>
                <w:rFonts w:ascii="Arial" w:cs="Arial" w:eastAsia="Arial" w:hAnsi="Arial"/>
                <w:sz w:val="18"/>
                <w:szCs w:val="18"/>
                <w:color w:val="auto"/>
                <w:w w:val="84"/>
              </w:rPr>
              <w:t>Sheet</w:t>
            </w:r>
          </w:p>
        </w:tc>
        <w:tc>
          <w:tcPr>
            <w:tcW w:w="1220" w:type="dxa"/>
            <w:vAlign w:val="bottom"/>
          </w:tcPr>
          <w:p>
            <w:pPr>
              <w:jc w:val="center"/>
              <w:ind w:left="230"/>
              <w:spacing w:after="0"/>
              <w:rPr>
                <w:sz w:val="20"/>
                <w:szCs w:val="20"/>
                <w:color w:val="auto"/>
              </w:rPr>
            </w:pPr>
            <w:r>
              <w:rPr>
                <w:rFonts w:ascii="Arial" w:cs="Arial" w:eastAsia="Arial" w:hAnsi="Arial"/>
                <w:sz w:val="18"/>
                <w:szCs w:val="18"/>
                <w:color w:val="auto"/>
                <w:w w:val="96"/>
              </w:rPr>
              <w:t>Fair</w:t>
            </w:r>
          </w:p>
        </w:tc>
      </w:tr>
      <w:tr>
        <w:trPr>
          <w:trHeight w:val="230"/>
        </w:trPr>
        <w:tc>
          <w:tcPr>
            <w:tcW w:w="2380" w:type="dxa"/>
            <w:vAlign w:val="bottom"/>
          </w:tcPr>
          <w:p>
            <w:pPr>
              <w:spacing w:after="0"/>
              <w:rPr>
                <w:sz w:val="20"/>
                <w:szCs w:val="20"/>
                <w:color w:val="auto"/>
              </w:rPr>
            </w:pPr>
          </w:p>
        </w:tc>
        <w:tc>
          <w:tcPr>
            <w:tcW w:w="1380" w:type="dxa"/>
            <w:vAlign w:val="bottom"/>
          </w:tcPr>
          <w:p>
            <w:pPr>
              <w:jc w:val="center"/>
              <w:ind w:right="370"/>
              <w:spacing w:after="0"/>
              <w:rPr>
                <w:sz w:val="20"/>
                <w:szCs w:val="20"/>
                <w:color w:val="auto"/>
              </w:rPr>
            </w:pPr>
            <w:r>
              <w:rPr>
                <w:rFonts w:ascii="Arial" w:cs="Arial" w:eastAsia="Arial" w:hAnsi="Arial"/>
                <w:sz w:val="18"/>
                <w:szCs w:val="18"/>
                <w:color w:val="auto"/>
                <w:w w:val="93"/>
              </w:rPr>
              <w:t>Location</w:t>
            </w:r>
          </w:p>
        </w:tc>
        <w:tc>
          <w:tcPr>
            <w:tcW w:w="700" w:type="dxa"/>
            <w:vAlign w:val="bottom"/>
          </w:tcPr>
          <w:p>
            <w:pPr>
              <w:jc w:val="center"/>
              <w:ind w:right="130"/>
              <w:spacing w:after="0"/>
              <w:rPr>
                <w:sz w:val="20"/>
                <w:szCs w:val="20"/>
                <w:color w:val="auto"/>
              </w:rPr>
            </w:pPr>
            <w:r>
              <w:rPr>
                <w:rFonts w:ascii="Arial" w:cs="Arial" w:eastAsia="Arial" w:hAnsi="Arial"/>
                <w:sz w:val="18"/>
                <w:szCs w:val="18"/>
                <w:color w:val="auto"/>
                <w:w w:val="86"/>
              </w:rPr>
              <w:t>Value</w:t>
            </w:r>
          </w:p>
        </w:tc>
        <w:tc>
          <w:tcPr>
            <w:tcW w:w="240" w:type="dxa"/>
            <w:vAlign w:val="bottom"/>
          </w:tcPr>
          <w:p>
            <w:pPr>
              <w:spacing w:after="0"/>
              <w:rPr>
                <w:sz w:val="20"/>
                <w:szCs w:val="20"/>
                <w:color w:val="auto"/>
              </w:rPr>
            </w:pP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3"/>
              </w:rPr>
              <w:t>Location</w:t>
            </w:r>
          </w:p>
        </w:tc>
        <w:tc>
          <w:tcPr>
            <w:tcW w:w="1200" w:type="dxa"/>
            <w:vAlign w:val="bottom"/>
          </w:tcPr>
          <w:p>
            <w:pPr>
              <w:jc w:val="center"/>
              <w:ind w:left="230"/>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1320" w:type="dxa"/>
            <w:vAlign w:val="bottom"/>
          </w:tcPr>
          <w:p>
            <w:pPr>
              <w:jc w:val="center"/>
              <w:ind w:right="350"/>
              <w:spacing w:after="0"/>
              <w:rPr>
                <w:sz w:val="20"/>
                <w:szCs w:val="20"/>
                <w:color w:val="auto"/>
              </w:rPr>
            </w:pPr>
            <w:r>
              <w:rPr>
                <w:rFonts w:ascii="Arial" w:cs="Arial" w:eastAsia="Arial" w:hAnsi="Arial"/>
                <w:sz w:val="18"/>
                <w:szCs w:val="18"/>
                <w:color w:val="auto"/>
                <w:w w:val="93"/>
              </w:rPr>
              <w:t>Location</w:t>
            </w:r>
          </w:p>
        </w:tc>
        <w:tc>
          <w:tcPr>
            <w:tcW w:w="680" w:type="dxa"/>
            <w:vAlign w:val="bottom"/>
          </w:tcPr>
          <w:p>
            <w:pPr>
              <w:ind w:left="2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780" w:type="dxa"/>
            <w:vAlign w:val="bottom"/>
          </w:tcPr>
          <w:p>
            <w:pPr>
              <w:jc w:val="center"/>
              <w:ind w:left="10"/>
              <w:spacing w:after="0"/>
              <w:rPr>
                <w:sz w:val="20"/>
                <w:szCs w:val="20"/>
                <w:color w:val="auto"/>
              </w:rPr>
            </w:pPr>
            <w:r>
              <w:rPr>
                <w:rFonts w:ascii="Arial" w:cs="Arial" w:eastAsia="Arial" w:hAnsi="Arial"/>
                <w:sz w:val="18"/>
                <w:szCs w:val="18"/>
                <w:color w:val="auto"/>
                <w:w w:val="93"/>
              </w:rPr>
              <w:t>Location</w:t>
            </w:r>
          </w:p>
        </w:tc>
        <w:tc>
          <w:tcPr>
            <w:tcW w:w="1220" w:type="dxa"/>
            <w:vAlign w:val="bottom"/>
          </w:tcPr>
          <w:p>
            <w:pPr>
              <w:jc w:val="center"/>
              <w:ind w:left="230"/>
              <w:spacing w:after="0"/>
              <w:rPr>
                <w:sz w:val="20"/>
                <w:szCs w:val="20"/>
                <w:color w:val="auto"/>
              </w:rPr>
            </w:pPr>
            <w:r>
              <w:rPr>
                <w:rFonts w:ascii="Arial" w:cs="Arial" w:eastAsia="Arial" w:hAnsi="Arial"/>
                <w:sz w:val="18"/>
                <w:szCs w:val="18"/>
                <w:color w:val="auto"/>
                <w:w w:val="91"/>
              </w:rPr>
              <w:t>Value</w:t>
            </w:r>
          </w:p>
        </w:tc>
      </w:tr>
    </w:tbl>
    <w:p>
      <w:pPr>
        <w:spacing w:after="0" w:line="2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9" w:lineRule="exact"/>
        <w:rPr>
          <w:sz w:val="20"/>
          <w:szCs w:val="20"/>
          <w:color w:val="auto"/>
        </w:rPr>
      </w:pPr>
    </w:p>
    <w:p>
      <w:pPr>
        <w:ind w:left="140" w:right="20" w:hanging="129"/>
        <w:spacing w:after="0" w:line="271" w:lineRule="auto"/>
        <w:rPr>
          <w:sz w:val="20"/>
          <w:szCs w:val="20"/>
          <w:color w:val="auto"/>
        </w:rPr>
      </w:pPr>
      <w:r>
        <w:rPr>
          <w:rFonts w:ascii="Arial" w:cs="Arial" w:eastAsia="Arial" w:hAnsi="Arial"/>
          <w:sz w:val="17"/>
          <w:szCs w:val="17"/>
          <w:color w:val="auto"/>
        </w:rPr>
        <w:t>Derivatives designated as hedging instruments Pay-fixed interest rate swap</w:t>
      </w:r>
    </w:p>
    <w:p>
      <w:pPr>
        <w:ind w:left="260"/>
        <w:spacing w:after="0"/>
        <w:rPr>
          <w:sz w:val="20"/>
          <w:szCs w:val="20"/>
          <w:color w:val="auto"/>
        </w:rPr>
      </w:pPr>
      <w:r>
        <w:rPr>
          <w:rFonts w:ascii="Arial" w:cs="Arial" w:eastAsia="Arial" w:hAnsi="Arial"/>
          <w:sz w:val="18"/>
          <w:szCs w:val="18"/>
          <w:color w:val="auto"/>
        </w:rPr>
        <w:t>agreements</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Interest rate cap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4"/>
          </w:tcPr>
          <w:p>
            <w:pPr>
              <w:ind w:left="16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9"/>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w w:val="99"/>
              </w:rPr>
              <w:t>Other assets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7"/>
              </w:rPr>
              <w:t>Other assets</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liabilities</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1,392</w:t>
            </w:r>
          </w:p>
        </w:tc>
        <w:tc>
          <w:tcPr>
            <w:tcW w:w="18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liabilities</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214</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040" w:type="dxa"/>
            <w:vAlign w:val="bottom"/>
            <w:gridSpan w:val="2"/>
          </w:tcPr>
          <w:p>
            <w:pPr>
              <w:spacing w:after="0" w:line="203" w:lineRule="exact"/>
              <w:rPr>
                <w:sz w:val="20"/>
                <w:szCs w:val="20"/>
                <w:color w:val="auto"/>
              </w:rPr>
            </w:pPr>
            <w:r>
              <w:rPr>
                <w:rFonts w:ascii="Arial" w:cs="Arial" w:eastAsia="Arial" w:hAnsi="Arial"/>
                <w:sz w:val="18"/>
                <w:szCs w:val="18"/>
                <w:color w:val="auto"/>
                <w:w w:val="99"/>
              </w:rPr>
              <w:t>Other assets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140" w:type="dxa"/>
            <w:vAlign w:val="bottom"/>
            <w:gridSpan w:val="2"/>
          </w:tcPr>
          <w:p>
            <w:pPr>
              <w:ind w:left="120"/>
              <w:spacing w:after="0" w:line="203" w:lineRule="exact"/>
              <w:rPr>
                <w:sz w:val="20"/>
                <w:szCs w:val="20"/>
                <w:color w:val="auto"/>
              </w:rPr>
            </w:pPr>
            <w:r>
              <w:rPr>
                <w:rFonts w:ascii="Arial" w:cs="Arial" w:eastAsia="Arial" w:hAnsi="Arial"/>
                <w:sz w:val="18"/>
                <w:szCs w:val="18"/>
                <w:color w:val="auto"/>
                <w:w w:val="97"/>
              </w:rPr>
              <w:t>Other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-702310</wp:posOffset>
            </wp:positionV>
            <wp:extent cx="7132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-153670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100"/>
            <w:col w:w="8980"/>
          </w:cols>
          <w:pgMar w:left="320" w:top="125" w:right="3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2"/>
              </w:rPr>
              <w:t>Derivatives not designated as</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hedging instruments</w:t>
            </w:r>
          </w:p>
        </w:tc>
        <w:tc>
          <w:tcPr>
            <w:tcW w:w="1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140"/>
              <w:spacing w:after="0" w:line="201" w:lineRule="exact"/>
              <w:rPr>
                <w:sz w:val="20"/>
                <w:szCs w:val="20"/>
                <w:color w:val="auto"/>
              </w:rPr>
            </w:pPr>
            <w:r>
              <w:rPr>
                <w:rFonts w:ascii="Arial" w:cs="Arial" w:eastAsia="Arial" w:hAnsi="Arial"/>
                <w:sz w:val="18"/>
                <w:szCs w:val="18"/>
                <w:color w:val="auto"/>
              </w:rPr>
              <w:t>Rate-lock mortgage loan</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ind w:left="60"/>
              <w:spacing w:after="0" w:line="201" w:lineRule="exact"/>
              <w:rPr>
                <w:sz w:val="20"/>
                <w:szCs w:val="20"/>
                <w:color w:val="auto"/>
              </w:rPr>
            </w:pPr>
            <w:r>
              <w:rPr>
                <w:rFonts w:ascii="Arial" w:cs="Arial" w:eastAsia="Arial" w:hAnsi="Arial"/>
                <w:sz w:val="18"/>
                <w:szCs w:val="18"/>
                <w:color w:val="auto"/>
              </w:rPr>
              <w:t>Other</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ind w:left="40"/>
              <w:spacing w:after="0" w:line="201"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60"/>
              <w:spacing w:after="0"/>
              <w:rPr>
                <w:sz w:val="20"/>
                <w:szCs w:val="20"/>
                <w:color w:val="auto"/>
              </w:rPr>
            </w:pPr>
            <w:r>
              <w:rPr>
                <w:rFonts w:ascii="Arial" w:cs="Arial" w:eastAsia="Arial" w:hAnsi="Arial"/>
                <w:sz w:val="18"/>
                <w:szCs w:val="18"/>
                <w:color w:val="auto"/>
              </w:rPr>
              <w:t>commitments</w:t>
            </w:r>
          </w:p>
        </w:tc>
        <w:tc>
          <w:tcPr>
            <w:tcW w:w="1340" w:type="dxa"/>
            <w:vAlign w:val="bottom"/>
          </w:tcPr>
          <w:p>
            <w:pPr>
              <w:ind w:left="6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7,260</w:t>
            </w:r>
          </w:p>
        </w:tc>
        <w:tc>
          <w:tcPr>
            <w:tcW w:w="6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88"/>
              </w:rPr>
              <w:t>Other assets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1,412</w:t>
            </w:r>
          </w:p>
        </w:tc>
        <w:tc>
          <w:tcPr>
            <w:tcW w:w="128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Mandatory commitments to</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 mortgage loans</w:t>
            </w: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Other assets</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w:t>
            </w:r>
          </w:p>
        </w:tc>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2200" w:type="dxa"/>
            <w:vAlign w:val="bottom"/>
          </w:tcPr>
          <w:p>
            <w:pPr>
              <w:ind w:left="140"/>
              <w:spacing w:after="0" w:line="201" w:lineRule="exact"/>
              <w:rPr>
                <w:sz w:val="20"/>
                <w:szCs w:val="20"/>
                <w:color w:val="auto"/>
              </w:rPr>
            </w:pPr>
            <w:r>
              <w:rPr>
                <w:rFonts w:ascii="Arial" w:cs="Arial" w:eastAsia="Arial" w:hAnsi="Arial"/>
                <w:sz w:val="18"/>
                <w:szCs w:val="18"/>
                <w:color w:val="auto"/>
                <w:w w:val="91"/>
              </w:rPr>
              <w:t>Pay-fixed interest rate swap</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ind w:left="60"/>
              <w:spacing w:after="0" w:line="201" w:lineRule="exact"/>
              <w:rPr>
                <w:sz w:val="20"/>
                <w:szCs w:val="20"/>
                <w:color w:val="auto"/>
              </w:rPr>
            </w:pPr>
            <w:r>
              <w:rPr>
                <w:rFonts w:ascii="Arial" w:cs="Arial" w:eastAsia="Arial" w:hAnsi="Arial"/>
                <w:sz w:val="18"/>
                <w:szCs w:val="18"/>
                <w:color w:val="auto"/>
              </w:rPr>
              <w:t>Other</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ind w:left="40"/>
              <w:spacing w:after="0" w:line="201"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60"/>
              <w:spacing w:after="0"/>
              <w:rPr>
                <w:sz w:val="20"/>
                <w:szCs w:val="20"/>
                <w:color w:val="auto"/>
              </w:rPr>
            </w:pPr>
            <w:r>
              <w:rPr>
                <w:rFonts w:ascii="Arial" w:cs="Arial" w:eastAsia="Arial" w:hAnsi="Arial"/>
                <w:sz w:val="18"/>
                <w:szCs w:val="18"/>
                <w:color w:val="auto"/>
                <w:w w:val="94"/>
              </w:rPr>
              <w:t>agreements - commercial</w:t>
            </w:r>
          </w:p>
        </w:tc>
        <w:tc>
          <w:tcPr>
            <w:tcW w:w="1340" w:type="dxa"/>
            <w:vAlign w:val="bottom"/>
          </w:tcPr>
          <w:p>
            <w:pPr>
              <w:ind w:left="6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88"/>
              </w:rPr>
              <w:t>Other assets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28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11,499</w:t>
            </w:r>
          </w:p>
        </w:tc>
        <w:tc>
          <w:tcPr>
            <w:tcW w:w="128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Pay-variable interest rate</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swap agreements -</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Other assets</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3,669</w:t>
            </w:r>
          </w:p>
        </w:tc>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ind w:left="60"/>
              <w:spacing w:after="0" w:line="201" w:lineRule="exact"/>
              <w:rPr>
                <w:sz w:val="20"/>
                <w:szCs w:val="20"/>
                <w:color w:val="auto"/>
              </w:rPr>
            </w:pPr>
            <w:r>
              <w:rPr>
                <w:rFonts w:ascii="Arial" w:cs="Arial" w:eastAsia="Arial" w:hAnsi="Arial"/>
                <w:sz w:val="18"/>
                <w:szCs w:val="18"/>
                <w:color w:val="auto"/>
              </w:rPr>
              <w:t>Other</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ind w:left="40"/>
              <w:spacing w:after="0" w:line="201"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40"/>
              <w:spacing w:after="0"/>
              <w:rPr>
                <w:sz w:val="20"/>
                <w:szCs w:val="20"/>
                <w:color w:val="auto"/>
              </w:rPr>
            </w:pPr>
            <w:r>
              <w:rPr>
                <w:rFonts w:ascii="Arial" w:cs="Arial" w:eastAsia="Arial" w:hAnsi="Arial"/>
                <w:sz w:val="18"/>
                <w:szCs w:val="18"/>
                <w:color w:val="auto"/>
                <w:w w:val="88"/>
              </w:rPr>
              <w:t>Interest rate cap agreements</w:t>
            </w:r>
          </w:p>
        </w:tc>
        <w:tc>
          <w:tcPr>
            <w:tcW w:w="1340" w:type="dxa"/>
            <w:vAlign w:val="bottom"/>
          </w:tcPr>
          <w:p>
            <w:pPr>
              <w:ind w:left="6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88"/>
              </w:rPr>
              <w:t>Other assets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options</w:t>
            </w: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Other assets</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00" w:type="dxa"/>
            <w:vAlign w:val="bottom"/>
            <w:vMerge w:val="restart"/>
          </w:tcPr>
          <w:p>
            <w:pPr>
              <w:ind w:left="140"/>
              <w:spacing w:after="0"/>
              <w:rPr>
                <w:sz w:val="20"/>
                <w:szCs w:val="20"/>
                <w:color w:val="auto"/>
              </w:rPr>
            </w:pPr>
            <w:r>
              <w:rPr>
                <w:rFonts w:ascii="Arial" w:cs="Arial" w:eastAsia="Arial" w:hAnsi="Arial"/>
                <w:sz w:val="18"/>
                <w:szCs w:val="18"/>
                <w:color w:val="auto"/>
              </w:rPr>
              <w:t>Written options</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ind w:left="60"/>
              <w:spacing w:after="0" w:line="201" w:lineRule="exact"/>
              <w:rPr>
                <w:sz w:val="20"/>
                <w:szCs w:val="20"/>
                <w:color w:val="auto"/>
              </w:rPr>
            </w:pPr>
            <w:r>
              <w:rPr>
                <w:rFonts w:ascii="Arial" w:cs="Arial" w:eastAsia="Arial" w:hAnsi="Arial"/>
                <w:sz w:val="18"/>
                <w:szCs w:val="18"/>
                <w:color w:val="auto"/>
              </w:rPr>
              <w:t>Other</w:t>
            </w:r>
          </w:p>
        </w:tc>
        <w:tc>
          <w:tcPr>
            <w:tcW w:w="260" w:type="dxa"/>
            <w:vAlign w:val="bottom"/>
          </w:tcPr>
          <w:p>
            <w:pPr>
              <w:spacing w:after="0"/>
              <w:rPr>
                <w:sz w:val="17"/>
                <w:szCs w:val="17"/>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40</w:t>
            </w:r>
          </w:p>
        </w:tc>
        <w:tc>
          <w:tcPr>
            <w:tcW w:w="1280" w:type="dxa"/>
            <w:vAlign w:val="bottom"/>
          </w:tcPr>
          <w:p>
            <w:pPr>
              <w:ind w:left="40"/>
              <w:spacing w:after="0" w:line="201"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2200" w:type="dxa"/>
            <w:vAlign w:val="bottom"/>
            <w:vMerge w:val="continue"/>
          </w:tcPr>
          <w:p>
            <w:pPr>
              <w:spacing w:after="0"/>
              <w:rPr>
                <w:sz w:val="18"/>
                <w:szCs w:val="18"/>
                <w:color w:val="auto"/>
              </w:rPr>
            </w:pPr>
          </w:p>
        </w:tc>
        <w:tc>
          <w:tcPr>
            <w:tcW w:w="1340" w:type="dxa"/>
            <w:vAlign w:val="bottom"/>
          </w:tcPr>
          <w:p>
            <w:pPr>
              <w:ind w:left="60"/>
              <w:spacing w:after="0" w:line="203" w:lineRule="exact"/>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ind w:left="60"/>
              <w:spacing w:after="0" w:line="203" w:lineRule="exact"/>
              <w:rPr>
                <w:sz w:val="20"/>
                <w:szCs w:val="20"/>
                <w:color w:val="auto"/>
              </w:rPr>
            </w:pPr>
            <w:r>
              <w:rPr>
                <w:rFonts w:ascii="Arial" w:cs="Arial" w:eastAsia="Arial" w:hAnsi="Arial"/>
                <w:sz w:val="18"/>
                <w:szCs w:val="18"/>
                <w:color w:val="auto"/>
                <w:w w:val="88"/>
              </w:rPr>
              <w:t>Other assets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80" w:type="dxa"/>
            <w:vAlign w:val="bottom"/>
          </w:tcPr>
          <w:p>
            <w:pPr>
              <w:ind w:left="180"/>
              <w:spacing w:after="0" w:line="203" w:lineRule="exact"/>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80" w:type="dxa"/>
            <w:vAlign w:val="bottom"/>
          </w:tcPr>
          <w:p>
            <w:pPr>
              <w:ind w:left="180"/>
              <w:spacing w:after="0" w:line="203" w:lineRule="exact"/>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18,819</w:t>
            </w:r>
          </w:p>
        </w:tc>
        <w:tc>
          <w:tcPr>
            <w:tcW w:w="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12,171</w:t>
            </w:r>
          </w:p>
        </w:tc>
        <w:tc>
          <w:tcPr>
            <w:tcW w:w="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Arial" w:cs="Arial" w:eastAsia="Arial" w:hAnsi="Arial"/>
                <w:sz w:val="18"/>
                <w:szCs w:val="18"/>
                <w:color w:val="auto"/>
              </w:rPr>
              <w:t>Total derivatives</w:t>
            </w:r>
          </w:p>
        </w:tc>
        <w:tc>
          <w:tcPr>
            <w:tcW w:w="1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18,819</w:t>
            </w:r>
          </w:p>
        </w:tc>
        <w:tc>
          <w:tcPr>
            <w:tcW w:w="9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5,464</w:t>
            </w:r>
          </w:p>
        </w:tc>
        <w:tc>
          <w:tcPr>
            <w:tcW w:w="1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13,563</w:t>
            </w:r>
          </w:p>
        </w:tc>
        <w:tc>
          <w:tcPr>
            <w:tcW w:w="1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35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financial instruments on the Condensed Consolidated Statements of Operations follows:</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Three Month Periods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Location of</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Gain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from</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Gain (Loss)</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gridSpan w:val="4"/>
          </w:tcPr>
          <w:p>
            <w:pPr>
              <w:jc w:val="center"/>
              <w:ind w:right="310"/>
              <w:spacing w:after="0"/>
              <w:rPr>
                <w:sz w:val="20"/>
                <w:szCs w:val="20"/>
                <w:color w:val="auto"/>
              </w:rPr>
            </w:pPr>
            <w:r>
              <w:rPr>
                <w:rFonts w:ascii="Arial" w:cs="Arial" w:eastAsia="Arial" w:hAnsi="Arial"/>
                <w:sz w:val="18"/>
                <w:szCs w:val="18"/>
                <w:color w:val="auto"/>
                <w:w w:val="92"/>
              </w:rPr>
              <w:t>Gain (Loss)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Reclassified from</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Recognized in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Comprehensive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Accumulated Other</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gridSpan w:val="4"/>
          </w:tcPr>
          <w:p>
            <w:pPr>
              <w:jc w:val="center"/>
              <w:ind w:right="310"/>
              <w:spacing w:after="0"/>
              <w:rPr>
                <w:sz w:val="20"/>
                <w:szCs w:val="20"/>
                <w:color w:val="auto"/>
              </w:rPr>
            </w:pPr>
            <w:r>
              <w:rPr>
                <w:rFonts w:ascii="Arial" w:cs="Arial" w:eastAsia="Arial" w:hAnsi="Arial"/>
                <w:sz w:val="18"/>
                <w:szCs w:val="18"/>
                <w:color w:val="auto"/>
                <w:w w:val="93"/>
              </w:rPr>
              <w:t>Other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Income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Comprehensive</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5"/>
          </w:tcPr>
          <w:p>
            <w:pPr>
              <w:jc w:val="center"/>
              <w:ind w:left="250"/>
              <w:spacing w:after="0"/>
              <w:rPr>
                <w:sz w:val="20"/>
                <w:szCs w:val="20"/>
                <w:color w:val="auto"/>
              </w:rPr>
            </w:pPr>
            <w:r>
              <w:rPr>
                <w:rFonts w:ascii="Arial" w:cs="Arial" w:eastAsia="Arial" w:hAnsi="Arial"/>
                <w:sz w:val="18"/>
                <w:szCs w:val="18"/>
                <w:color w:val="auto"/>
                <w:w w:val="90"/>
              </w:rPr>
              <w:t>Comprehensive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into</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Income (Loss)</w:t>
            </w:r>
          </w:p>
        </w:tc>
        <w:tc>
          <w:tcPr>
            <w:tcW w:w="6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Location of</w:t>
            </w:r>
          </w:p>
        </w:tc>
        <w:tc>
          <w:tcPr>
            <w:tcW w:w="240" w:type="dxa"/>
            <w:vAlign w:val="bottom"/>
          </w:tcPr>
          <w:p>
            <w:pPr>
              <w:spacing w:after="0"/>
              <w:rPr>
                <w:sz w:val="18"/>
                <w:szCs w:val="18"/>
                <w:color w:val="auto"/>
              </w:rPr>
            </w:pPr>
          </w:p>
        </w:tc>
        <w:tc>
          <w:tcPr>
            <w:tcW w:w="1420" w:type="dxa"/>
            <w:vAlign w:val="bottom"/>
            <w:gridSpan w:val="4"/>
          </w:tcPr>
          <w:p>
            <w:pPr>
              <w:jc w:val="center"/>
              <w:ind w:left="430"/>
              <w:spacing w:after="0"/>
              <w:rPr>
                <w:sz w:val="20"/>
                <w:szCs w:val="20"/>
                <w:color w:val="auto"/>
              </w:rPr>
            </w:pPr>
            <w:r>
              <w:rPr>
                <w:rFonts w:ascii="Arial" w:cs="Arial" w:eastAsia="Arial" w:hAnsi="Arial"/>
                <w:sz w:val="18"/>
                <w:szCs w:val="18"/>
                <w:color w:val="auto"/>
                <w:w w:val="92"/>
              </w:rPr>
              <w:t>Gain (Loss)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gridSpan w:val="4"/>
          </w:tcPr>
          <w:p>
            <w:pPr>
              <w:jc w:val="center"/>
              <w:ind w:right="310"/>
              <w:spacing w:after="0"/>
              <w:rPr>
                <w:sz w:val="20"/>
                <w:szCs w:val="20"/>
                <w:color w:val="auto"/>
              </w:rPr>
            </w:pPr>
            <w:r>
              <w:rPr>
                <w:rFonts w:ascii="Arial" w:cs="Arial" w:eastAsia="Arial" w:hAnsi="Arial"/>
                <w:sz w:val="18"/>
                <w:szCs w:val="18"/>
                <w:color w:val="auto"/>
                <w:w w:val="91"/>
              </w:rPr>
              <w:t>Income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into Income</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Gain (Loss)</w:t>
            </w:r>
          </w:p>
        </w:tc>
        <w:tc>
          <w:tcPr>
            <w:tcW w:w="240" w:type="dxa"/>
            <w:vAlign w:val="bottom"/>
          </w:tcPr>
          <w:p>
            <w:pPr>
              <w:spacing w:after="0"/>
              <w:rPr>
                <w:sz w:val="18"/>
                <w:szCs w:val="18"/>
                <w:color w:val="auto"/>
              </w:rPr>
            </w:pPr>
          </w:p>
        </w:tc>
        <w:tc>
          <w:tcPr>
            <w:tcW w:w="142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Recognized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4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(Effective Portion)</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(Effective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color w:val="auto"/>
                <w:w w:val="93"/>
              </w:rPr>
              <w:t>(Effective Portion)</w:t>
            </w:r>
          </w:p>
        </w:tc>
        <w:tc>
          <w:tcPr>
            <w:tcW w:w="6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Recognized</w:t>
            </w:r>
          </w:p>
        </w:tc>
        <w:tc>
          <w:tcPr>
            <w:tcW w:w="240" w:type="dxa"/>
            <w:vAlign w:val="bottom"/>
          </w:tcPr>
          <w:p>
            <w:pPr>
              <w:spacing w:after="0"/>
              <w:rPr>
                <w:sz w:val="20"/>
                <w:szCs w:val="20"/>
                <w:color w:val="auto"/>
              </w:rPr>
            </w:pPr>
          </w:p>
        </w:tc>
        <w:tc>
          <w:tcPr>
            <w:tcW w:w="1420" w:type="dxa"/>
            <w:vAlign w:val="bottom"/>
            <w:gridSpan w:val="4"/>
          </w:tcPr>
          <w:p>
            <w:pPr>
              <w:jc w:val="center"/>
              <w:ind w:left="430"/>
              <w:spacing w:after="0"/>
              <w:rPr>
                <w:sz w:val="20"/>
                <w:szCs w:val="20"/>
                <w:color w:val="auto"/>
              </w:rPr>
            </w:pPr>
            <w:r>
              <w:rPr>
                <w:rFonts w:ascii="Arial" w:cs="Arial" w:eastAsia="Arial" w:hAnsi="Arial"/>
                <w:sz w:val="18"/>
                <w:szCs w:val="18"/>
                <w:color w:val="auto"/>
                <w:w w:val="94"/>
              </w:rPr>
              <w:t>in Income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Portion)</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 Income</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vMerge w:val="restart"/>
          </w:tcPr>
          <w:p>
            <w:pPr>
              <w:spacing w:after="0"/>
              <w:rPr>
                <w:sz w:val="20"/>
                <w:szCs w:val="20"/>
                <w:color w:val="auto"/>
              </w:rPr>
            </w:pPr>
            <w:r>
              <w:rPr>
                <w:rFonts w:ascii="Arial" w:cs="Arial" w:eastAsia="Arial" w:hAnsi="Arial"/>
                <w:sz w:val="18"/>
                <w:szCs w:val="18"/>
                <w:color w:val="auto"/>
              </w:rPr>
              <w:t>Fair Value</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320" w:type="dxa"/>
            <w:vAlign w:val="bottom"/>
            <w:gridSpan w:val="3"/>
          </w:tcPr>
          <w:p>
            <w:pPr>
              <w:jc w:val="right"/>
              <w:ind w:right="630"/>
              <w:spacing w:after="0"/>
              <w:rPr>
                <w:sz w:val="20"/>
                <w:szCs w:val="20"/>
                <w:color w:val="auto"/>
              </w:rPr>
            </w:pPr>
            <w:r>
              <w:rPr>
                <w:rFonts w:ascii="Arial" w:cs="Arial" w:eastAsia="Arial" w:hAnsi="Arial"/>
                <w:sz w:val="16"/>
                <w:szCs w:val="16"/>
                <w:color w:val="auto"/>
                <w:w w:val="73"/>
              </w:rPr>
              <w:t>thousands)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140"/>
              <w:spacing w:after="0"/>
              <w:rPr>
                <w:sz w:val="20"/>
                <w:szCs w:val="20"/>
                <w:color w:val="auto"/>
              </w:rPr>
            </w:pPr>
            <w:r>
              <w:rPr>
                <w:rFonts w:ascii="Arial" w:cs="Arial" w:eastAsia="Arial" w:hAnsi="Arial"/>
                <w:sz w:val="18"/>
                <w:szCs w:val="18"/>
                <w:color w:val="auto"/>
              </w:rPr>
              <w:t>Hedges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Pay-fixed</w:t>
            </w: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Non-interest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swap</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4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95"/>
        </w:trPr>
        <w:tc>
          <w:tcPr>
            <w:tcW w:w="130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Cash Flow</w:t>
            </w:r>
          </w:p>
        </w:tc>
        <w:tc>
          <w:tcPr>
            <w:tcW w:w="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140"/>
              <w:spacing w:after="0"/>
              <w:rPr>
                <w:sz w:val="20"/>
                <w:szCs w:val="20"/>
                <w:color w:val="auto"/>
              </w:rPr>
            </w:pPr>
            <w:r>
              <w:rPr>
                <w:rFonts w:ascii="Arial" w:cs="Arial" w:eastAsia="Arial" w:hAnsi="Arial"/>
                <w:sz w:val="18"/>
                <w:szCs w:val="18"/>
                <w:color w:val="auto"/>
              </w:rPr>
              <w:t>Hedges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Interest rate</w:t>
            </w: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cap</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7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(489)</w:t>
            </w: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00" w:type="dxa"/>
            <w:vAlign w:val="bottom"/>
          </w:tcPr>
          <w:p>
            <w:pPr>
              <w:ind w:left="140"/>
              <w:spacing w:after="0" w:line="201" w:lineRule="exact"/>
              <w:rPr>
                <w:sz w:val="20"/>
                <w:szCs w:val="20"/>
                <w:color w:val="auto"/>
              </w:rPr>
            </w:pPr>
            <w:r>
              <w:rPr>
                <w:rFonts w:ascii="Arial" w:cs="Arial" w:eastAsia="Arial" w:hAnsi="Arial"/>
                <w:sz w:val="18"/>
                <w:szCs w:val="18"/>
                <w:color w:val="auto"/>
              </w:rPr>
              <w:t>Pay-fixed</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Arial" w:cs="Arial" w:eastAsia="Arial" w:hAnsi="Arial"/>
                <w:sz w:val="18"/>
                <w:szCs w:val="18"/>
                <w:color w:val="auto"/>
              </w:rPr>
              <w:t>interest rate</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Arial" w:cs="Arial" w:eastAsia="Arial" w:hAnsi="Arial"/>
                <w:sz w:val="18"/>
                <w:szCs w:val="18"/>
                <w:color w:val="auto"/>
              </w:rPr>
              <w:t>swap</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00" w:type="dxa"/>
            <w:vAlign w:val="bottom"/>
          </w:tcPr>
          <w:p>
            <w:pPr>
              <w:ind w:left="260"/>
              <w:spacing w:after="0"/>
              <w:rPr>
                <w:sz w:val="20"/>
                <w:szCs w:val="20"/>
                <w:color w:val="auto"/>
              </w:rPr>
            </w:pPr>
            <w:r>
              <w:rPr>
                <w:rFonts w:ascii="Arial" w:cs="Arial" w:eastAsia="Arial" w:hAnsi="Arial"/>
                <w:sz w:val="18"/>
                <w:szCs w:val="18"/>
                <w:color w:val="auto"/>
              </w:rPr>
              <w:t>agreements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90"/>
              </w:rPr>
              <w:t>(267)</w:t>
            </w:r>
          </w:p>
        </w:tc>
        <w:tc>
          <w:tcPr>
            <w:tcW w:w="20" w:type="dxa"/>
            <w:vAlign w:val="bottom"/>
          </w:tcPr>
          <w:p>
            <w:pPr>
              <w:spacing w:after="0"/>
              <w:rPr>
                <w:sz w:val="20"/>
                <w:szCs w:val="20"/>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1"/>
              </w:rPr>
              <w:t>(756)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 hedge</w:t>
            </w: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designation</w:t>
            </w: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00" w:type="dxa"/>
            <w:vAlign w:val="bottom"/>
          </w:tcPr>
          <w:p>
            <w:pPr>
              <w:ind w:left="140"/>
              <w:spacing w:after="0" w:line="201" w:lineRule="exact"/>
              <w:rPr>
                <w:sz w:val="20"/>
                <w:szCs w:val="20"/>
                <w:color w:val="auto"/>
              </w:rPr>
            </w:pPr>
            <w:r>
              <w:rPr>
                <w:rFonts w:ascii="Arial" w:cs="Arial" w:eastAsia="Arial" w:hAnsi="Arial"/>
                <w:sz w:val="18"/>
                <w:szCs w:val="18"/>
                <w:color w:val="auto"/>
              </w:rPr>
              <w:t>Rate-lock</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Arial" w:cs="Arial" w:eastAsia="Arial" w:hAnsi="Arial"/>
                <w:sz w:val="18"/>
                <w:szCs w:val="18"/>
                <w:color w:val="auto"/>
              </w:rPr>
              <w:t>mortgage</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color w:val="auto"/>
              </w:rPr>
              <w:t>Net gains on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Arial" w:cs="Arial" w:eastAsia="Arial" w:hAnsi="Arial"/>
                <w:sz w:val="18"/>
                <w:szCs w:val="18"/>
                <w:color w:val="auto"/>
              </w:rPr>
              <w:t>loan</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60"/>
              <w:spacing w:after="0"/>
              <w:rPr>
                <w:sz w:val="20"/>
                <w:szCs w:val="20"/>
                <w:color w:val="auto"/>
              </w:rPr>
            </w:pPr>
            <w:r>
              <w:rPr>
                <w:rFonts w:ascii="Arial" w:cs="Arial" w:eastAsia="Arial" w:hAnsi="Arial"/>
                <w:sz w:val="18"/>
                <w:szCs w:val="18"/>
                <w:color w:val="auto"/>
                <w:w w:val="95"/>
              </w:rPr>
              <w:t>commitments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1,528</w:t>
            </w:r>
          </w:p>
        </w:tc>
        <w:tc>
          <w:tcPr>
            <w:tcW w:w="140" w:type="dxa"/>
            <w:vAlign w:val="bottom"/>
          </w:tcPr>
          <w:p>
            <w:pPr>
              <w:spacing w:after="0"/>
              <w:rPr>
                <w:sz w:val="20"/>
                <w:szCs w:val="20"/>
                <w:color w:val="auto"/>
              </w:rPr>
            </w:pPr>
          </w:p>
        </w:tc>
        <w:tc>
          <w:tcPr>
            <w:tcW w:w="4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Mandatory</w:t>
            </w: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commitments</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 sell</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Net gains 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mortgage</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loans</w:t>
            </w: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loans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2"/>
        </w:trPr>
        <w:tc>
          <w:tcPr>
            <w:tcW w:w="1300" w:type="dxa"/>
            <w:vAlign w:val="bottom"/>
          </w:tcPr>
          <w:p>
            <w:pPr>
              <w:ind w:left="140"/>
              <w:spacing w:after="0" w:line="201" w:lineRule="exact"/>
              <w:rPr>
                <w:sz w:val="20"/>
                <w:szCs w:val="20"/>
                <w:color w:val="auto"/>
              </w:rPr>
            </w:pPr>
            <w:r>
              <w:rPr>
                <w:rFonts w:ascii="Arial" w:cs="Arial" w:eastAsia="Arial" w:hAnsi="Arial"/>
                <w:sz w:val="18"/>
                <w:szCs w:val="18"/>
                <w:color w:val="auto"/>
              </w:rPr>
              <w:t>Pay-fixed</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Arial" w:cs="Arial" w:eastAsia="Arial" w:hAnsi="Arial"/>
                <w:sz w:val="18"/>
                <w:szCs w:val="18"/>
                <w:color w:val="auto"/>
              </w:rPr>
              <w:t>interest rate</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Arial" w:cs="Arial" w:eastAsia="Arial" w:hAnsi="Arial"/>
                <w:sz w:val="18"/>
                <w:szCs w:val="18"/>
                <w:color w:val="auto"/>
              </w:rPr>
              <w:t>swap</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Arial" w:cs="Arial" w:eastAsia="Arial" w:hAnsi="Arial"/>
                <w:sz w:val="18"/>
                <w:szCs w:val="18"/>
                <w:color w:val="auto"/>
                <w:w w:val="96"/>
              </w:rPr>
              <w:t>agreements -</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income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Pay-variable</w:t>
            </w: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rate</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swap</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agreements -</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02"/>
        </w:trPr>
        <w:tc>
          <w:tcPr>
            <w:tcW w:w="1300" w:type="dxa"/>
            <w:vAlign w:val="bottom"/>
          </w:tcPr>
          <w:p>
            <w:pPr>
              <w:ind w:left="140"/>
              <w:spacing w:after="0" w:line="201" w:lineRule="exact"/>
              <w:rPr>
                <w:sz w:val="20"/>
                <w:szCs w:val="20"/>
                <w:color w:val="auto"/>
              </w:rPr>
            </w:pPr>
            <w:r>
              <w:rPr>
                <w:rFonts w:ascii="Arial" w:cs="Arial" w:eastAsia="Arial" w:hAnsi="Arial"/>
                <w:sz w:val="18"/>
                <w:szCs w:val="18"/>
                <w:color w:val="auto"/>
              </w:rPr>
              <w:t>Interest rate</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Arial" w:cs="Arial" w:eastAsia="Arial" w:hAnsi="Arial"/>
                <w:sz w:val="18"/>
                <w:szCs w:val="18"/>
                <w:color w:val="auto"/>
              </w:rPr>
              <w:t>cap</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60"/>
              <w:spacing w:after="0"/>
              <w:rPr>
                <w:sz w:val="20"/>
                <w:szCs w:val="20"/>
                <w:color w:val="auto"/>
              </w:rPr>
            </w:pPr>
            <w:r>
              <w:rPr>
                <w:rFonts w:ascii="Arial" w:cs="Arial" w:eastAsia="Arial" w:hAnsi="Arial"/>
                <w:sz w:val="18"/>
                <w:szCs w:val="18"/>
                <w:color w:val="auto"/>
              </w:rPr>
              <w:t>agreements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Purchased</w:t>
            </w: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options</w:t>
            </w: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1300" w:type="dxa"/>
            <w:vAlign w:val="bottom"/>
          </w:tcPr>
          <w:p>
            <w:pPr>
              <w:ind w:left="140"/>
              <w:spacing w:after="0" w:line="201" w:lineRule="exact"/>
              <w:rPr>
                <w:sz w:val="20"/>
                <w:szCs w:val="20"/>
                <w:color w:val="auto"/>
              </w:rPr>
            </w:pPr>
            <w:r>
              <w:rPr>
                <w:rFonts w:ascii="Arial" w:cs="Arial" w:eastAsia="Arial" w:hAnsi="Arial"/>
                <w:sz w:val="18"/>
                <w:szCs w:val="18"/>
                <w:color w:val="auto"/>
              </w:rPr>
              <w:t>Written</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00" w:type="dxa"/>
            <w:vAlign w:val="bottom"/>
          </w:tcPr>
          <w:p>
            <w:pPr>
              <w:ind w:left="260"/>
              <w:spacing w:after="0"/>
              <w:rPr>
                <w:sz w:val="20"/>
                <w:szCs w:val="20"/>
                <w:color w:val="auto"/>
              </w:rPr>
            </w:pPr>
            <w:r>
              <w:rPr>
                <w:rFonts w:ascii="Arial" w:cs="Arial" w:eastAsia="Arial" w:hAnsi="Arial"/>
                <w:sz w:val="18"/>
                <w:szCs w:val="18"/>
                <w:color w:val="auto"/>
              </w:rPr>
              <w:t>options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6"/>
        </w:trPr>
        <w:tc>
          <w:tcPr>
            <w:tcW w:w="1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507"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507"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Six Month Periods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5"/>
              </w:rPr>
              <w:t>Location of</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Gain (Loss)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Reclassified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from</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8"/>
                <w:szCs w:val="18"/>
                <w:color w:val="auto"/>
              </w:rPr>
            </w:pPr>
          </w:p>
        </w:tc>
        <w:tc>
          <w:tcPr>
            <w:tcW w:w="1440" w:type="dxa"/>
            <w:vAlign w:val="bottom"/>
            <w:gridSpan w:val="4"/>
          </w:tcPr>
          <w:p>
            <w:pPr>
              <w:ind w:left="540"/>
              <w:spacing w:after="0"/>
              <w:rPr>
                <w:sz w:val="20"/>
                <w:szCs w:val="20"/>
                <w:color w:val="auto"/>
              </w:rPr>
            </w:pPr>
            <w:r>
              <w:rPr>
                <w:rFonts w:ascii="Arial" w:cs="Arial" w:eastAsia="Arial" w:hAnsi="Arial"/>
                <w:sz w:val="18"/>
                <w:szCs w:val="18"/>
                <w:color w:val="auto"/>
                <w:w w:val="94"/>
              </w:rPr>
              <w:t>Gain (Loss)</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gridSpan w:val="3"/>
          </w:tcPr>
          <w:p>
            <w:pPr>
              <w:jc w:val="center"/>
              <w:ind w:right="130"/>
              <w:spacing w:after="0"/>
              <w:rPr>
                <w:sz w:val="20"/>
                <w:szCs w:val="20"/>
                <w:color w:val="auto"/>
              </w:rPr>
            </w:pPr>
            <w:r>
              <w:rPr>
                <w:rFonts w:ascii="Arial" w:cs="Arial" w:eastAsia="Arial" w:hAnsi="Arial"/>
                <w:sz w:val="18"/>
                <w:szCs w:val="18"/>
                <w:color w:val="auto"/>
                <w:w w:val="92"/>
              </w:rPr>
              <w:t>Gain (Loss)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2260" w:type="dxa"/>
            <w:vAlign w:val="bottom"/>
            <w:gridSpan w:val="5"/>
          </w:tcPr>
          <w:p>
            <w:pPr>
              <w:jc w:val="center"/>
              <w:ind w:right="250"/>
              <w:spacing w:after="0"/>
              <w:rPr>
                <w:sz w:val="20"/>
                <w:szCs w:val="20"/>
                <w:color w:val="auto"/>
              </w:rPr>
            </w:pPr>
            <w:r>
              <w:rPr>
                <w:rFonts w:ascii="Arial" w:cs="Arial" w:eastAsia="Arial" w:hAnsi="Arial"/>
                <w:sz w:val="18"/>
                <w:szCs w:val="18"/>
                <w:color w:val="auto"/>
                <w:w w:val="92"/>
              </w:rPr>
              <w:t>Reclassified from</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880" w:type="dxa"/>
            <w:vAlign w:val="bottom"/>
            <w:gridSpan w:val="4"/>
          </w:tcPr>
          <w:p>
            <w:pPr>
              <w:jc w:val="center"/>
              <w:ind w:left="390"/>
              <w:spacing w:after="0"/>
              <w:rPr>
                <w:sz w:val="20"/>
                <w:szCs w:val="20"/>
                <w:color w:val="auto"/>
              </w:rPr>
            </w:pPr>
            <w:r>
              <w:rPr>
                <w:rFonts w:ascii="Arial" w:cs="Arial" w:eastAsia="Arial" w:hAnsi="Arial"/>
                <w:sz w:val="18"/>
                <w:szCs w:val="18"/>
                <w:color w:val="auto"/>
                <w:w w:val="91"/>
              </w:rPr>
              <w:t>Recognized in</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Comprehensive</w:t>
            </w:r>
          </w:p>
        </w:tc>
        <w:tc>
          <w:tcPr>
            <w:tcW w:w="220" w:type="dxa"/>
            <w:vAlign w:val="bottom"/>
          </w:tcPr>
          <w:p>
            <w:pPr>
              <w:spacing w:after="0"/>
              <w:rPr>
                <w:sz w:val="18"/>
                <w:szCs w:val="18"/>
                <w:color w:val="auto"/>
              </w:rPr>
            </w:pPr>
          </w:p>
        </w:tc>
        <w:tc>
          <w:tcPr>
            <w:tcW w:w="2260" w:type="dxa"/>
            <w:vAlign w:val="bottom"/>
            <w:gridSpan w:val="5"/>
          </w:tcPr>
          <w:p>
            <w:pPr>
              <w:jc w:val="center"/>
              <w:ind w:right="230"/>
              <w:spacing w:after="0"/>
              <w:rPr>
                <w:sz w:val="20"/>
                <w:szCs w:val="20"/>
                <w:color w:val="auto"/>
              </w:rPr>
            </w:pPr>
            <w:r>
              <w:rPr>
                <w:rFonts w:ascii="Arial" w:cs="Arial" w:eastAsia="Arial" w:hAnsi="Arial"/>
                <w:sz w:val="18"/>
                <w:szCs w:val="18"/>
                <w:color w:val="auto"/>
                <w:w w:val="92"/>
              </w:rPr>
              <w:t>Accumulated Other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gridSpan w:val="3"/>
          </w:tcPr>
          <w:p>
            <w:pPr>
              <w:jc w:val="center"/>
              <w:ind w:right="13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Income (Loss)</w:t>
            </w:r>
          </w:p>
        </w:tc>
        <w:tc>
          <w:tcPr>
            <w:tcW w:w="220" w:type="dxa"/>
            <w:vAlign w:val="bottom"/>
          </w:tcPr>
          <w:p>
            <w:pPr>
              <w:spacing w:after="0"/>
              <w:rPr>
                <w:sz w:val="18"/>
                <w:szCs w:val="18"/>
                <w:color w:val="auto"/>
              </w:rPr>
            </w:pPr>
          </w:p>
        </w:tc>
        <w:tc>
          <w:tcPr>
            <w:tcW w:w="2260" w:type="dxa"/>
            <w:vAlign w:val="bottom"/>
            <w:gridSpan w:val="5"/>
          </w:tcPr>
          <w:p>
            <w:pPr>
              <w:jc w:val="center"/>
              <w:ind w:right="230"/>
              <w:spacing w:after="0"/>
              <w:rPr>
                <w:sz w:val="20"/>
                <w:szCs w:val="20"/>
                <w:color w:val="auto"/>
              </w:rPr>
            </w:pPr>
            <w:r>
              <w:rPr>
                <w:rFonts w:ascii="Arial" w:cs="Arial" w:eastAsia="Arial" w:hAnsi="Arial"/>
                <w:sz w:val="18"/>
                <w:szCs w:val="18"/>
                <w:color w:val="auto"/>
                <w:w w:val="90"/>
              </w:rPr>
              <w:t>Comprehensive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880" w:type="dxa"/>
            <w:vAlign w:val="bottom"/>
            <w:gridSpan w:val="4"/>
          </w:tcPr>
          <w:p>
            <w:pPr>
              <w:jc w:val="center"/>
              <w:ind w:left="410"/>
              <w:spacing w:after="0"/>
              <w:rPr>
                <w:sz w:val="20"/>
                <w:szCs w:val="20"/>
                <w:color w:val="auto"/>
              </w:rPr>
            </w:pPr>
            <w:r>
              <w:rPr>
                <w:rFonts w:ascii="Arial" w:cs="Arial" w:eastAsia="Arial" w:hAnsi="Arial"/>
                <w:sz w:val="18"/>
                <w:szCs w:val="18"/>
                <w:color w:val="auto"/>
                <w:w w:val="90"/>
              </w:rPr>
              <w:t>Comprehensive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into</w:t>
            </w:r>
          </w:p>
        </w:tc>
        <w:tc>
          <w:tcPr>
            <w:tcW w:w="220" w:type="dxa"/>
            <w:vAlign w:val="bottom"/>
          </w:tcPr>
          <w:p>
            <w:pPr>
              <w:spacing w:after="0"/>
              <w:rPr>
                <w:sz w:val="18"/>
                <w:szCs w:val="18"/>
                <w:color w:val="auto"/>
              </w:rPr>
            </w:pPr>
          </w:p>
        </w:tc>
        <w:tc>
          <w:tcPr>
            <w:tcW w:w="2260" w:type="dxa"/>
            <w:vAlign w:val="bottom"/>
            <w:gridSpan w:val="5"/>
          </w:tcPr>
          <w:p>
            <w:pPr>
              <w:jc w:val="center"/>
              <w:ind w:right="250"/>
              <w:spacing w:after="0"/>
              <w:rPr>
                <w:sz w:val="20"/>
                <w:szCs w:val="20"/>
                <w:color w:val="auto"/>
              </w:rPr>
            </w:pPr>
            <w:r>
              <w:rPr>
                <w:rFonts w:ascii="Arial" w:cs="Arial" w:eastAsia="Arial" w:hAnsi="Arial"/>
                <w:sz w:val="18"/>
                <w:szCs w:val="18"/>
                <w:color w:val="auto"/>
                <w:w w:val="91"/>
              </w:rPr>
              <w:t>Income (Loss)</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Location of</w:t>
            </w:r>
          </w:p>
        </w:tc>
        <w:tc>
          <w:tcPr>
            <w:tcW w:w="240" w:type="dxa"/>
            <w:vAlign w:val="bottom"/>
          </w:tcPr>
          <w:p>
            <w:pPr>
              <w:spacing w:after="0"/>
              <w:rPr>
                <w:sz w:val="18"/>
                <w:szCs w:val="18"/>
                <w:color w:val="auto"/>
              </w:rPr>
            </w:pPr>
          </w:p>
        </w:tc>
        <w:tc>
          <w:tcPr>
            <w:tcW w:w="1420" w:type="dxa"/>
            <w:vAlign w:val="bottom"/>
            <w:gridSpan w:val="4"/>
          </w:tcPr>
          <w:p>
            <w:pPr>
              <w:jc w:val="center"/>
              <w:ind w:left="430"/>
              <w:spacing w:after="0"/>
              <w:rPr>
                <w:sz w:val="20"/>
                <w:szCs w:val="20"/>
                <w:color w:val="auto"/>
              </w:rPr>
            </w:pPr>
            <w:r>
              <w:rPr>
                <w:rFonts w:ascii="Arial" w:cs="Arial" w:eastAsia="Arial" w:hAnsi="Arial"/>
                <w:sz w:val="18"/>
                <w:szCs w:val="18"/>
                <w:color w:val="auto"/>
                <w:w w:val="92"/>
              </w:rPr>
              <w:t>Gain (Loss)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gridSpan w:val="3"/>
          </w:tcPr>
          <w:p>
            <w:pPr>
              <w:jc w:val="center"/>
              <w:ind w:right="13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Income</w:t>
            </w:r>
          </w:p>
        </w:tc>
        <w:tc>
          <w:tcPr>
            <w:tcW w:w="220" w:type="dxa"/>
            <w:vAlign w:val="bottom"/>
          </w:tcPr>
          <w:p>
            <w:pPr>
              <w:spacing w:after="0"/>
              <w:rPr>
                <w:sz w:val="18"/>
                <w:szCs w:val="18"/>
                <w:color w:val="auto"/>
              </w:rPr>
            </w:pPr>
          </w:p>
        </w:tc>
        <w:tc>
          <w:tcPr>
            <w:tcW w:w="1440" w:type="dxa"/>
            <w:vAlign w:val="bottom"/>
            <w:gridSpan w:val="4"/>
          </w:tcPr>
          <w:p>
            <w:pPr>
              <w:jc w:val="center"/>
              <w:ind w:left="410"/>
              <w:spacing w:after="0"/>
              <w:rPr>
                <w:sz w:val="20"/>
                <w:szCs w:val="20"/>
                <w:color w:val="auto"/>
              </w:rPr>
            </w:pPr>
            <w:r>
              <w:rPr>
                <w:rFonts w:ascii="Arial" w:cs="Arial" w:eastAsia="Arial" w:hAnsi="Arial"/>
                <w:sz w:val="18"/>
                <w:szCs w:val="18"/>
                <w:color w:val="auto"/>
                <w:w w:val="92"/>
              </w:rPr>
              <w:t>into Income</w:t>
            </w:r>
          </w:p>
        </w:tc>
        <w:tc>
          <w:tcPr>
            <w:tcW w:w="8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Gain (Loss)</w:t>
            </w:r>
          </w:p>
        </w:tc>
        <w:tc>
          <w:tcPr>
            <w:tcW w:w="240" w:type="dxa"/>
            <w:vAlign w:val="bottom"/>
          </w:tcPr>
          <w:p>
            <w:pPr>
              <w:spacing w:after="0"/>
              <w:rPr>
                <w:sz w:val="18"/>
                <w:szCs w:val="18"/>
                <w:color w:val="auto"/>
              </w:rPr>
            </w:pPr>
          </w:p>
        </w:tc>
        <w:tc>
          <w:tcPr>
            <w:tcW w:w="142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Recognized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1880" w:type="dxa"/>
            <w:vAlign w:val="bottom"/>
            <w:gridSpan w:val="4"/>
          </w:tcPr>
          <w:p>
            <w:pPr>
              <w:jc w:val="center"/>
              <w:ind w:left="410"/>
              <w:spacing w:after="0"/>
              <w:rPr>
                <w:sz w:val="20"/>
                <w:szCs w:val="20"/>
                <w:color w:val="auto"/>
              </w:rPr>
            </w:pPr>
            <w:r>
              <w:rPr>
                <w:rFonts w:ascii="Arial" w:cs="Arial" w:eastAsia="Arial" w:hAnsi="Arial"/>
                <w:sz w:val="18"/>
                <w:szCs w:val="18"/>
                <w:color w:val="auto"/>
                <w:w w:val="93"/>
              </w:rPr>
              <w:t>(Effective Portion)</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(Effective</w:t>
            </w:r>
          </w:p>
        </w:tc>
        <w:tc>
          <w:tcPr>
            <w:tcW w:w="220" w:type="dxa"/>
            <w:vAlign w:val="bottom"/>
          </w:tcPr>
          <w:p>
            <w:pPr>
              <w:spacing w:after="0"/>
              <w:rPr>
                <w:sz w:val="20"/>
                <w:szCs w:val="20"/>
                <w:color w:val="auto"/>
              </w:rPr>
            </w:pPr>
          </w:p>
        </w:tc>
        <w:tc>
          <w:tcPr>
            <w:tcW w:w="2260" w:type="dxa"/>
            <w:vAlign w:val="bottom"/>
            <w:gridSpan w:val="5"/>
          </w:tcPr>
          <w:p>
            <w:pPr>
              <w:jc w:val="center"/>
              <w:ind w:right="230"/>
              <w:spacing w:after="0"/>
              <w:rPr>
                <w:sz w:val="20"/>
                <w:szCs w:val="20"/>
                <w:color w:val="auto"/>
              </w:rPr>
            </w:pPr>
            <w:r>
              <w:rPr>
                <w:rFonts w:ascii="Arial" w:cs="Arial" w:eastAsia="Arial" w:hAnsi="Arial"/>
                <w:sz w:val="18"/>
                <w:szCs w:val="18"/>
                <w:color w:val="auto"/>
                <w:w w:val="93"/>
              </w:rPr>
              <w:t>(Effective Portion)</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Recognized</w:t>
            </w:r>
          </w:p>
        </w:tc>
        <w:tc>
          <w:tcPr>
            <w:tcW w:w="240" w:type="dxa"/>
            <w:vAlign w:val="bottom"/>
          </w:tcPr>
          <w:p>
            <w:pPr>
              <w:spacing w:after="0"/>
              <w:rPr>
                <w:sz w:val="20"/>
                <w:szCs w:val="20"/>
                <w:color w:val="auto"/>
              </w:rPr>
            </w:pPr>
          </w:p>
        </w:tc>
        <w:tc>
          <w:tcPr>
            <w:tcW w:w="1420" w:type="dxa"/>
            <w:vAlign w:val="bottom"/>
            <w:gridSpan w:val="4"/>
          </w:tcPr>
          <w:p>
            <w:pPr>
              <w:jc w:val="center"/>
              <w:ind w:left="430"/>
              <w:spacing w:after="0"/>
              <w:rPr>
                <w:sz w:val="20"/>
                <w:szCs w:val="20"/>
                <w:color w:val="auto"/>
              </w:rPr>
            </w:pPr>
            <w:r>
              <w:rPr>
                <w:rFonts w:ascii="Arial" w:cs="Arial" w:eastAsia="Arial" w:hAnsi="Arial"/>
                <w:sz w:val="18"/>
                <w:szCs w:val="18"/>
                <w:color w:val="auto"/>
                <w:w w:val="94"/>
              </w:rPr>
              <w:t>in Income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Portion)</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84"/>
              </w:rPr>
              <w:t>2019</w:t>
            </w: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 Income</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vMerge w:val="restart"/>
          </w:tcPr>
          <w:p>
            <w:pPr>
              <w:spacing w:after="0"/>
              <w:rPr>
                <w:sz w:val="20"/>
                <w:szCs w:val="20"/>
                <w:color w:val="auto"/>
              </w:rPr>
            </w:pPr>
            <w:r>
              <w:rPr>
                <w:rFonts w:ascii="Arial" w:cs="Arial" w:eastAsia="Arial" w:hAnsi="Arial"/>
                <w:sz w:val="18"/>
                <w:szCs w:val="18"/>
                <w:color w:val="auto"/>
              </w:rPr>
              <w:t>Fair Value</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4"/>
          </w:tcPr>
          <w:p>
            <w:pPr>
              <w:ind w:left="400"/>
              <w:spacing w:after="0"/>
              <w:rPr>
                <w:sz w:val="20"/>
                <w:szCs w:val="20"/>
                <w:color w:val="auto"/>
              </w:rPr>
            </w:pPr>
            <w:r>
              <w:rPr>
                <w:rFonts w:ascii="Arial" w:cs="Arial" w:eastAsia="Arial" w:hAnsi="Arial"/>
                <w:sz w:val="18"/>
                <w:szCs w:val="18"/>
                <w:color w:val="auto"/>
                <w:w w:val="88"/>
              </w:rPr>
              <w:t>(In thousands)</w:t>
            </w: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34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40"/>
              <w:spacing w:after="0"/>
              <w:rPr>
                <w:sz w:val="20"/>
                <w:szCs w:val="20"/>
                <w:color w:val="auto"/>
              </w:rPr>
            </w:pPr>
            <w:r>
              <w:rPr>
                <w:rFonts w:ascii="Arial" w:cs="Arial" w:eastAsia="Arial" w:hAnsi="Arial"/>
                <w:sz w:val="18"/>
                <w:szCs w:val="18"/>
                <w:color w:val="auto"/>
              </w:rPr>
              <w:t>Hedges</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40" w:type="dxa"/>
            <w:vAlign w:val="bottom"/>
            <w:tcBorders>
              <w:right w:val="single" w:sz="8" w:color="CCEEFF"/>
            </w:tcBorders>
            <w:shd w:val="clear" w:color="auto" w:fill="CCEEFF"/>
          </w:tcPr>
          <w:p>
            <w:pPr>
              <w:ind w:left="140"/>
              <w:spacing w:after="0" w:line="201" w:lineRule="exact"/>
              <w:rPr>
                <w:sz w:val="20"/>
                <w:szCs w:val="20"/>
                <w:color w:val="auto"/>
              </w:rPr>
            </w:pPr>
            <w:r>
              <w:rPr>
                <w:rFonts w:ascii="Arial" w:cs="Arial" w:eastAsia="Arial" w:hAnsi="Arial"/>
                <w:sz w:val="18"/>
                <w:szCs w:val="18"/>
                <w:color w:val="auto"/>
              </w:rPr>
              <w:t>Pay-fixed</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rate</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swap</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7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20" w:type="dxa"/>
            <w:vAlign w:val="bottom"/>
            <w:tcBorders>
              <w:right w:val="single" w:sz="8" w:color="CCEEFF"/>
            </w:tcBorders>
            <w:shd w:val="clear" w:color="auto" w:fill="CCEEFF"/>
          </w:tcPr>
          <w:p>
            <w:pPr>
              <w:spacing w:after="0"/>
              <w:rPr>
                <w:sz w:val="23"/>
                <w:szCs w:val="23"/>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95"/>
        </w:trPr>
        <w:tc>
          <w:tcPr>
            <w:tcW w:w="13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Cash Flow</w:t>
            </w:r>
          </w:p>
        </w:tc>
        <w:tc>
          <w:tcPr>
            <w:tcW w:w="7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Hedges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260"/>
              <w:spacing w:after="0"/>
              <w:rPr>
                <w:sz w:val="20"/>
                <w:szCs w:val="20"/>
                <w:color w:val="auto"/>
              </w:rPr>
            </w:pPr>
            <w:r>
              <w:rPr>
                <w:rFonts w:ascii="Arial" w:cs="Arial" w:eastAsia="Arial" w:hAnsi="Arial"/>
                <w:sz w:val="18"/>
                <w:szCs w:val="18"/>
                <w:color w:val="auto"/>
              </w:rPr>
              <w:t>cap</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260"/>
              <w:spacing w:after="0"/>
              <w:rPr>
                <w:sz w:val="20"/>
                <w:szCs w:val="20"/>
                <w:color w:val="auto"/>
              </w:rPr>
            </w:pPr>
            <w:r>
              <w:rPr>
                <w:rFonts w:ascii="Arial" w:cs="Arial" w:eastAsia="Arial" w:hAnsi="Arial"/>
                <w:sz w:val="18"/>
                <w:szCs w:val="18"/>
                <w:color w:val="auto"/>
              </w:rPr>
              <w:t>agreements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880" w:type="dxa"/>
            <w:vAlign w:val="bottom"/>
            <w:gridSpan w:val="5"/>
          </w:tcPr>
          <w:p>
            <w:pPr>
              <w:ind w:left="20"/>
              <w:spacing w:after="0"/>
              <w:rPr>
                <w:sz w:val="20"/>
                <w:szCs w:val="20"/>
                <w:color w:val="auto"/>
              </w:rPr>
            </w:pPr>
            <w:r>
              <w:rPr>
                <w:rFonts w:ascii="Arial" w:cs="Arial" w:eastAsia="Arial" w:hAnsi="Arial"/>
                <w:sz w:val="18"/>
                <w:szCs w:val="18"/>
                <w:color w:val="auto"/>
                <w:w w:val="93"/>
              </w:rPr>
              <w:t>(1,274) Interest expense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(233)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40" w:type="dxa"/>
            <w:vAlign w:val="bottom"/>
            <w:tcBorders>
              <w:right w:val="single" w:sz="8" w:color="CCEEFF"/>
            </w:tcBorders>
            <w:shd w:val="clear" w:color="auto" w:fill="CCEEFF"/>
          </w:tcPr>
          <w:p>
            <w:pPr>
              <w:ind w:left="140"/>
              <w:spacing w:after="0" w:line="201" w:lineRule="exact"/>
              <w:rPr>
                <w:sz w:val="20"/>
                <w:szCs w:val="20"/>
                <w:color w:val="auto"/>
              </w:rPr>
            </w:pPr>
            <w:r>
              <w:rPr>
                <w:rFonts w:ascii="Arial" w:cs="Arial" w:eastAsia="Arial" w:hAnsi="Arial"/>
                <w:sz w:val="18"/>
                <w:szCs w:val="18"/>
                <w:color w:val="auto"/>
              </w:rPr>
              <w:t>Pay-fixed</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rate</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swap</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7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(454)</w:t>
            </w: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tcBorders>
              <w:righ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w w:val="93"/>
              </w:rPr>
              <w:t>(394) Interest expense</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(328)</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ind w:left="20"/>
              <w:spacing w:after="0"/>
              <w:rPr>
                <w:sz w:val="20"/>
                <w:szCs w:val="20"/>
                <w:color w:val="auto"/>
              </w:rPr>
            </w:pPr>
            <w:r>
              <w:rPr>
                <w:rFonts w:ascii="Arial" w:cs="Arial" w:eastAsia="Arial" w:hAnsi="Arial"/>
                <w:sz w:val="18"/>
                <w:szCs w:val="18"/>
                <w:color w:val="auto"/>
                <w:w w:val="98"/>
              </w:rPr>
              <w:t>(1,668)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(336)</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4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No hedge</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80"/>
              <w:spacing w:after="0"/>
              <w:rPr>
                <w:sz w:val="20"/>
                <w:szCs w:val="20"/>
                <w:color w:val="auto"/>
              </w:rPr>
            </w:pPr>
            <w:r>
              <w:rPr>
                <w:rFonts w:ascii="Arial" w:cs="Arial" w:eastAsia="Arial" w:hAnsi="Arial"/>
                <w:sz w:val="18"/>
                <w:szCs w:val="18"/>
                <w:color w:val="auto"/>
              </w:rPr>
              <w:t>designation</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40" w:type="dxa"/>
            <w:vAlign w:val="bottom"/>
            <w:tcBorders>
              <w:right w:val="single" w:sz="8" w:color="CCEEFF"/>
            </w:tcBorders>
            <w:shd w:val="clear" w:color="auto" w:fill="CCEEFF"/>
          </w:tcPr>
          <w:p>
            <w:pPr>
              <w:ind w:left="140"/>
              <w:spacing w:after="0" w:line="201" w:lineRule="exact"/>
              <w:rPr>
                <w:sz w:val="20"/>
                <w:szCs w:val="20"/>
                <w:color w:val="auto"/>
              </w:rPr>
            </w:pPr>
            <w:r>
              <w:rPr>
                <w:rFonts w:ascii="Arial" w:cs="Arial" w:eastAsia="Arial" w:hAnsi="Arial"/>
                <w:sz w:val="18"/>
                <w:szCs w:val="18"/>
                <w:color w:val="auto"/>
              </w:rPr>
              <w:t>Rate-lock</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mortgage</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loan</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commitments</w:t>
            </w: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2"/>
        </w:trPr>
        <w:tc>
          <w:tcPr>
            <w:tcW w:w="1340" w:type="dxa"/>
            <w:vAlign w:val="bottom"/>
          </w:tcPr>
          <w:p>
            <w:pPr>
              <w:ind w:left="140"/>
              <w:spacing w:after="0" w:line="201" w:lineRule="exact"/>
              <w:rPr>
                <w:sz w:val="20"/>
                <w:szCs w:val="20"/>
                <w:color w:val="auto"/>
              </w:rPr>
            </w:pPr>
            <w:r>
              <w:rPr>
                <w:rFonts w:ascii="Arial" w:cs="Arial" w:eastAsia="Arial" w:hAnsi="Arial"/>
                <w:sz w:val="18"/>
                <w:szCs w:val="18"/>
                <w:color w:val="auto"/>
              </w:rPr>
              <w:t>Mandatory</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260"/>
              <w:spacing w:after="0"/>
              <w:rPr>
                <w:sz w:val="20"/>
                <w:szCs w:val="20"/>
                <w:color w:val="auto"/>
              </w:rPr>
            </w:pPr>
            <w:r>
              <w:rPr>
                <w:rFonts w:ascii="Arial" w:cs="Arial" w:eastAsia="Arial" w:hAnsi="Arial"/>
                <w:sz w:val="18"/>
                <w:szCs w:val="18"/>
                <w:color w:val="auto"/>
                <w:w w:val="97"/>
              </w:rPr>
              <w:t>commitments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260"/>
              <w:spacing w:after="0"/>
              <w:rPr>
                <w:sz w:val="20"/>
                <w:szCs w:val="20"/>
                <w:color w:val="auto"/>
              </w:rPr>
            </w:pPr>
            <w:r>
              <w:rPr>
                <w:rFonts w:ascii="Arial" w:cs="Arial" w:eastAsia="Arial" w:hAnsi="Arial"/>
                <w:sz w:val="18"/>
                <w:szCs w:val="18"/>
                <w:color w:val="auto"/>
              </w:rPr>
              <w:t>to sell</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Net gains on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260"/>
              <w:spacing w:after="0"/>
              <w:rPr>
                <w:sz w:val="20"/>
                <w:szCs w:val="20"/>
                <w:color w:val="auto"/>
              </w:rPr>
            </w:pPr>
            <w:r>
              <w:rPr>
                <w:rFonts w:ascii="Arial" w:cs="Arial" w:eastAsia="Arial" w:hAnsi="Arial"/>
                <w:sz w:val="18"/>
                <w:szCs w:val="18"/>
                <w:color w:val="auto"/>
              </w:rPr>
              <w:t>mortgage</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260"/>
              <w:spacing w:after="0"/>
              <w:rPr>
                <w:sz w:val="20"/>
                <w:szCs w:val="20"/>
                <w:color w:val="auto"/>
              </w:rPr>
            </w:pPr>
            <w:r>
              <w:rPr>
                <w:rFonts w:ascii="Arial" w:cs="Arial" w:eastAsia="Arial" w:hAnsi="Arial"/>
                <w:sz w:val="18"/>
                <w:szCs w:val="18"/>
                <w:color w:val="auto"/>
              </w:rPr>
              <w:t>loans</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1340" w:type="dxa"/>
            <w:vAlign w:val="bottom"/>
            <w:tcBorders>
              <w:right w:val="single" w:sz="8" w:color="CCEEFF"/>
            </w:tcBorders>
            <w:shd w:val="clear" w:color="auto" w:fill="CCEEFF"/>
          </w:tcPr>
          <w:p>
            <w:pPr>
              <w:ind w:left="140"/>
              <w:spacing w:after="0" w:line="201" w:lineRule="exact"/>
              <w:rPr>
                <w:sz w:val="20"/>
                <w:szCs w:val="20"/>
                <w:color w:val="auto"/>
              </w:rPr>
            </w:pPr>
            <w:r>
              <w:rPr>
                <w:rFonts w:ascii="Arial" w:cs="Arial" w:eastAsia="Arial" w:hAnsi="Arial"/>
                <w:sz w:val="18"/>
                <w:szCs w:val="18"/>
                <w:color w:val="auto"/>
              </w:rPr>
              <w:t>Pay-fixed</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rate</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swap</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8"/>
              </w:rPr>
              <w:t>agreements -</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02"/>
        </w:trPr>
        <w:tc>
          <w:tcPr>
            <w:tcW w:w="1340" w:type="dxa"/>
            <w:vAlign w:val="bottom"/>
          </w:tcPr>
          <w:p>
            <w:pPr>
              <w:ind w:left="140"/>
              <w:spacing w:after="0" w:line="201" w:lineRule="exact"/>
              <w:rPr>
                <w:sz w:val="20"/>
                <w:szCs w:val="20"/>
                <w:color w:val="auto"/>
              </w:rPr>
            </w:pPr>
            <w:r>
              <w:rPr>
                <w:rFonts w:ascii="Arial" w:cs="Arial" w:eastAsia="Arial" w:hAnsi="Arial"/>
                <w:sz w:val="18"/>
                <w:szCs w:val="18"/>
                <w:color w:val="auto"/>
              </w:rPr>
              <w:t>Pay-variable</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260"/>
              <w:spacing w:after="0"/>
              <w:rPr>
                <w:sz w:val="20"/>
                <w:szCs w:val="20"/>
                <w:color w:val="auto"/>
              </w:rPr>
            </w:pPr>
            <w:r>
              <w:rPr>
                <w:rFonts w:ascii="Arial" w:cs="Arial" w:eastAsia="Arial" w:hAnsi="Arial"/>
                <w:sz w:val="18"/>
                <w:szCs w:val="18"/>
                <w:color w:val="auto"/>
              </w:rPr>
              <w:t>interest rate</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260"/>
              <w:spacing w:after="0"/>
              <w:rPr>
                <w:sz w:val="20"/>
                <w:szCs w:val="20"/>
                <w:color w:val="auto"/>
              </w:rPr>
            </w:pPr>
            <w:r>
              <w:rPr>
                <w:rFonts w:ascii="Arial" w:cs="Arial" w:eastAsia="Arial" w:hAnsi="Arial"/>
                <w:sz w:val="18"/>
                <w:szCs w:val="18"/>
                <w:color w:val="auto"/>
              </w:rPr>
              <w:t>swap</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260"/>
              <w:spacing w:after="0"/>
              <w:rPr>
                <w:sz w:val="20"/>
                <w:szCs w:val="20"/>
                <w:color w:val="auto"/>
              </w:rPr>
            </w:pPr>
            <w:r>
              <w:rPr>
                <w:rFonts w:ascii="Arial" w:cs="Arial" w:eastAsia="Arial" w:hAnsi="Arial"/>
                <w:sz w:val="18"/>
                <w:szCs w:val="18"/>
                <w:color w:val="auto"/>
                <w:w w:val="98"/>
              </w:rPr>
              <w:t>agreements -</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income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02"/>
        </w:trPr>
        <w:tc>
          <w:tcPr>
            <w:tcW w:w="1340" w:type="dxa"/>
            <w:vAlign w:val="bottom"/>
            <w:tcBorders>
              <w:right w:val="single" w:sz="8" w:color="CCEEFF"/>
            </w:tcBorders>
            <w:shd w:val="clear" w:color="auto" w:fill="CCEEFF"/>
          </w:tcPr>
          <w:p>
            <w:pPr>
              <w:ind w:left="140"/>
              <w:spacing w:after="0" w:line="201" w:lineRule="exact"/>
              <w:rPr>
                <w:sz w:val="20"/>
                <w:szCs w:val="20"/>
                <w:color w:val="auto"/>
              </w:rPr>
            </w:pPr>
            <w:r>
              <w:rPr>
                <w:rFonts w:ascii="Arial" w:cs="Arial" w:eastAsia="Arial" w:hAnsi="Arial"/>
                <w:sz w:val="18"/>
                <w:szCs w:val="18"/>
                <w:color w:val="auto"/>
              </w:rPr>
              <w:t>Interest rate</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cap</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40" w:type="dxa"/>
            <w:vAlign w:val="bottom"/>
          </w:tcPr>
          <w:p>
            <w:pPr>
              <w:ind w:left="140"/>
              <w:spacing w:after="0" w:line="201" w:lineRule="exact"/>
              <w:rPr>
                <w:sz w:val="20"/>
                <w:szCs w:val="20"/>
                <w:color w:val="auto"/>
              </w:rPr>
            </w:pPr>
            <w:r>
              <w:rPr>
                <w:rFonts w:ascii="Arial" w:cs="Arial" w:eastAsia="Arial" w:hAnsi="Arial"/>
                <w:sz w:val="18"/>
                <w:szCs w:val="18"/>
                <w:color w:val="auto"/>
              </w:rPr>
              <w:t>Purchased</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gridSpan w:val="2"/>
          </w:tcPr>
          <w:p>
            <w:pPr>
              <w:spacing w:after="0" w:line="201" w:lineRule="exact"/>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260"/>
              <w:spacing w:after="0"/>
              <w:rPr>
                <w:sz w:val="20"/>
                <w:szCs w:val="20"/>
                <w:color w:val="auto"/>
              </w:rPr>
            </w:pPr>
            <w:r>
              <w:rPr>
                <w:rFonts w:ascii="Arial" w:cs="Arial" w:eastAsia="Arial" w:hAnsi="Arial"/>
                <w:sz w:val="18"/>
                <w:szCs w:val="18"/>
                <w:color w:val="auto"/>
              </w:rPr>
              <w:t>options</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1340" w:type="dxa"/>
            <w:vAlign w:val="bottom"/>
            <w:tcBorders>
              <w:right w:val="single" w:sz="8" w:color="CCEEFF"/>
            </w:tcBorders>
            <w:shd w:val="clear" w:color="auto" w:fill="CCEEFF"/>
          </w:tcPr>
          <w:p>
            <w:pPr>
              <w:ind w:left="140"/>
              <w:spacing w:after="0" w:line="201" w:lineRule="exact"/>
              <w:rPr>
                <w:sz w:val="20"/>
                <w:szCs w:val="20"/>
                <w:color w:val="auto"/>
              </w:rPr>
            </w:pPr>
            <w:r>
              <w:rPr>
                <w:rFonts w:ascii="Arial" w:cs="Arial" w:eastAsia="Arial" w:hAnsi="Arial"/>
                <w:sz w:val="18"/>
                <w:szCs w:val="18"/>
                <w:color w:val="auto"/>
              </w:rPr>
              <w:t>Written</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options</w:t>
            </w: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13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ind w:left="34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5,322</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966"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66"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Arial" w:cs="Arial" w:eastAsia="Arial" w:hAnsi="Arial"/>
                <w:sz w:val="18"/>
                <w:szCs w:val="18"/>
                <w:color w:val="auto"/>
              </w:rPr>
              <w:t>7.  Goodwill and Other Intangibles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980" w:type="dxa"/>
            <w:vAlign w:val="bottom"/>
            <w:gridSpan w:val="3"/>
          </w:tcPr>
          <w:p>
            <w:pPr>
              <w:spacing w:after="0"/>
              <w:rPr>
                <w:sz w:val="20"/>
                <w:szCs w:val="20"/>
                <w:color w:val="auto"/>
              </w:rPr>
            </w:pPr>
            <w:r>
              <w:rPr>
                <w:rFonts w:ascii="Arial" w:cs="Arial" w:eastAsia="Arial" w:hAnsi="Arial"/>
                <w:sz w:val="18"/>
                <w:szCs w:val="18"/>
                <w:color w:val="auto"/>
              </w:rPr>
              <w:t>The following table summarizes intangible assets, net of amortization: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8"/>
                <w:szCs w:val="18"/>
                <w:color w:val="auto"/>
              </w:rPr>
              <w:t>June 30, 2020</w:t>
            </w: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 2019</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87"/>
              </w:rPr>
              <w:t>Gross</w:t>
            </w: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7"/>
              </w:rPr>
              <w:t>Gross</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122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r>
      <w:tr>
        <w:trPr>
          <w:trHeight w:val="237"/>
        </w:trPr>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6"/>
              </w:rPr>
              <w:t>Amount</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r>
      <w:tr>
        <w:trPr>
          <w:trHeight w:val="230"/>
        </w:trPr>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4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r>
      <w:tr>
        <w:trPr>
          <w:trHeight w:val="237"/>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5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11,916</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6,590</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980" w:type="dxa"/>
            <w:vAlign w:val="bottom"/>
            <w:gridSpan w:val="3"/>
          </w:tcPr>
          <w:p>
            <w:pPr>
              <w:spacing w:after="0"/>
              <w:rPr>
                <w:sz w:val="20"/>
                <w:szCs w:val="20"/>
                <w:color w:val="auto"/>
              </w:rPr>
            </w:pPr>
            <w:r>
              <w:rPr>
                <w:rFonts w:ascii="Arial" w:cs="Arial" w:eastAsia="Arial" w:hAnsi="Arial"/>
                <w:sz w:val="18"/>
                <w:szCs w:val="18"/>
                <w:color w:val="auto"/>
              </w:rPr>
              <w:t>Unamortized intangible assets - goodwill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28,300</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performed our required annual goodwill impairment test as of December 31, 2019 and there was no impairment. During the first and second quarters of 2020 bank stocks in general as well as our market capitalization have declined as a result of events surrounding the current COVID-19 pandemic outbreak. As a result, we completed a qualitative goodwill impairment test as of March 31, 2020 and June 30, 2020. This qualitative analysis included a review of our earnings and asset quality trends as well as capital levels and the economic conditions of our markets. In addition, this qualitative analysis looked at merger and acquisition analytics for banks in general . Finally, our common stock traded over book value for several days during the second quarter. Based on this qualitative analysis we do not believe this decline is indicative of a permanent deterioration of the fundamental value of our bank. As such we do not believe that it is more likely than not a goodwill impairment exists at June 30, 2020. See note 13, Contingencies, for additional information on COVID-19 and its potential impact to 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A summary of estimated core deposit intangible amortization at June 30, 2020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00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w w:val="97"/>
              </w:rPr>
              <w:t>(In thousands)</w:t>
            </w: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ending December 31, 2020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2025 and thereafter</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u w:val="single" w:color="auto"/>
          <w:color w:val="auto"/>
        </w:rPr>
        <w:t>Share Based Compensation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0.4 million shares of common stock as of June 30, 2020. The non-employee director stock purchase plan permits the issuance of additional share based payments for up to 0.2 million shares of common stock as of June 30, 2020. Share based awards and payments are measured at fair value at the date of grant and are expensed over the requisite service period. Common shares issued upon exercise of stock options come from currently authorized but unissued shares.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and performance stock units (“PSU”) granted pursuant to our long-term incentive plan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Six Months Ended</w:t>
            </w:r>
          </w:p>
        </w:tc>
      </w:tr>
      <w:tr>
        <w:trPr>
          <w:trHeight w:val="237"/>
        </w:trPr>
        <w:tc>
          <w:tcPr>
            <w:tcW w:w="59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86"/>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68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52,996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56,267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PSU</w:t>
            </w: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20,897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22,016</w:t>
            </w:r>
          </w:p>
        </w:tc>
      </w:tr>
      <w:tr>
        <w:trPr>
          <w:trHeight w:val="21"/>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Except for 0.002 million shares of restricted stock issued during the first quarter of 2019 that vest ratably over three years, the shares of restricted stock and PSUs shown in the above table cliff vest after a period of three years. The performance feature of the PSUs is based on a comparison of our total shareholder return over the three year period starting on the grant date to the total shareholder return over that period for an index of our banking peers.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90%of the current value and vest immediately. During the six month periods ended June 30, 2020 and 2019 we issued 0.011 million and 0.005 million shares, respectively and expensed their value during those same periods.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compensation expense recognized for grants pursuant to our long-term incentive plan was $0.4 million and $0.8 million during the three and six month periods ended June 30, 2020, respectively, and was $0.4 million and $0.8 million during the same periods in 2019, respectively. The corresponding tax benefit relating to this expense was $0.1 million and $0.2 million for the three and six month periods ended June 30, 2020, respectively and $0.1 million and $0.2 million for the same periods in 2019. Total expense recognized for non-employee director share based payments was $0.09 million and $0.17 million during the three and six month periods ended June 30, 2020, respectively, and was $0.06 million and $0.11 million during the same periods in 2019, respectively. The corresponding tax benefit relating to this expense was $0.02 million and $0.04 million for the three and six month periods ended June 30, 2020, respectively and $0.01 million and $0.02 million during the same periods in 2019.</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the total expected compensation cost related to non-vested restricted stock and PSUs not yet recognized was $2.5 million. The weighted-average period over which this amount will be recognized is 2.0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stock option grants and related transactions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Aggregated</w:t>
            </w: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r>
      <w:tr>
        <w:trPr>
          <w:trHeight w:val="237"/>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Term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138,506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Granted</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2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(11,917)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Outstanding at June 30, 2020</w:t>
            </w:r>
          </w:p>
        </w:tc>
        <w:tc>
          <w:tcPr>
            <w:tcW w:w="16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126,589</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4.72</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r>
      <w:tr>
        <w:trPr>
          <w:trHeight w:val="20"/>
        </w:trPr>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Vested and expected to vest at June 30, 2020</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auto"/>
              </w:rPr>
              <w:t>126,589</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4.72</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r>
      <w:tr>
        <w:trPr>
          <w:trHeight w:val="20"/>
        </w:trPr>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2020</w:t>
            </w:r>
          </w:p>
        </w:tc>
        <w:tc>
          <w:tcPr>
            <w:tcW w:w="1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126,589</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2.6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41"/>
        </w:trPr>
        <w:tc>
          <w:tcPr>
            <w:tcW w:w="4380" w:type="dxa"/>
            <w:vAlign w:val="bottom"/>
          </w:tcPr>
          <w:p>
            <w:pPr>
              <w:spacing w:after="0"/>
              <w:rPr>
                <w:sz w:val="24"/>
                <w:szCs w:val="24"/>
                <w:color w:val="auto"/>
              </w:rPr>
            </w:pP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39</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3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non-vested restricted stock and PSUs and related transactions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Grant Date</w:t>
            </w:r>
          </w:p>
        </w:tc>
      </w:tr>
      <w:tr>
        <w:trPr>
          <w:trHeight w:val="237"/>
        </w:trPr>
        <w:tc>
          <w:tcPr>
            <w:tcW w:w="868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of Shares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Fair 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245,726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73,893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22.80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(64,263)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(18,840)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22.62</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236,516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w w:val="92"/>
              </w:rPr>
              <w:t>Certain information regarding options exercised during the periods follows: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gridSpan w:val="4"/>
          </w:tcPr>
          <w:p>
            <w:pPr>
              <w:jc w:val="right"/>
              <w:ind w:right="183"/>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right"/>
              <w:ind w:right="150"/>
              <w:spacing w:after="0"/>
              <w:rPr>
                <w:sz w:val="20"/>
                <w:szCs w:val="20"/>
                <w:color w:val="auto"/>
              </w:rPr>
            </w:pPr>
            <w:r>
              <w:rPr>
                <w:rFonts w:ascii="Arial" w:cs="Arial" w:eastAsia="Arial" w:hAnsi="Arial"/>
                <w:sz w:val="18"/>
                <w:szCs w:val="18"/>
                <w:color w:val="auto"/>
              </w:rPr>
              <w:t>Six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8"/>
                <w:szCs w:val="18"/>
                <w:color w:val="auto"/>
              </w:rPr>
              <w:t>June 30,</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June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(In</w:t>
            </w:r>
          </w:p>
        </w:tc>
        <w:tc>
          <w:tcPr>
            <w:tcW w:w="1140" w:type="dxa"/>
            <w:vAlign w:val="bottom"/>
            <w:tcBorders>
              <w:bottom w:val="single" w:sz="8" w:color="auto"/>
            </w:tcBorders>
            <w:gridSpan w:val="2"/>
          </w:tcPr>
          <w:p>
            <w:pPr>
              <w:jc w:val="right"/>
              <w:ind w:right="443"/>
              <w:spacing w:after="0"/>
              <w:rPr>
                <w:sz w:val="20"/>
                <w:szCs w:val="20"/>
                <w:color w:val="auto"/>
              </w:rPr>
            </w:pPr>
            <w:r>
              <w:rPr>
                <w:rFonts w:ascii="Arial" w:cs="Arial" w:eastAsia="Arial" w:hAnsi="Arial"/>
                <w:sz w:val="17"/>
                <w:szCs w:val="17"/>
                <w:color w:val="auto"/>
                <w:w w:val="71"/>
              </w:rPr>
              <w:t>thousands)</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rPr>
              <w:t>(In</w:t>
            </w:r>
          </w:p>
        </w:tc>
        <w:tc>
          <w:tcPr>
            <w:tcW w:w="10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7"/>
                <w:szCs w:val="17"/>
                <w:color w:val="auto"/>
                <w:w w:val="73"/>
              </w:rPr>
              <w:t>thousands)</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5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w w:val="99"/>
              </w:rPr>
              <w:t>213</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836</w:t>
            </w:r>
          </w:p>
        </w:tc>
        <w:tc>
          <w:tcPr>
            <w:tcW w:w="100" w:type="dxa"/>
            <w:vAlign w:val="bottom"/>
            <w:shd w:val="clear" w:color="auto" w:fill="CCEEFF"/>
          </w:tcPr>
          <w:p>
            <w:pPr>
              <w:spacing w:after="0"/>
              <w:rPr>
                <w:sz w:val="20"/>
                <w:szCs w:val="20"/>
                <w:color w:val="auto"/>
              </w:rPr>
            </w:pPr>
          </w:p>
        </w:tc>
      </w:tr>
      <w:tr>
        <w:trPr>
          <w:trHeight w:val="20"/>
        </w:trPr>
        <w:tc>
          <w:tcPr>
            <w:tcW w:w="5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500" w:type="dxa"/>
            <w:vAlign w:val="bottom"/>
          </w:tcPr>
          <w:p>
            <w:pPr>
              <w:spacing w:after="0"/>
              <w:rPr>
                <w:sz w:val="20"/>
                <w:szCs w:val="20"/>
                <w:color w:val="auto"/>
              </w:rPr>
            </w:pPr>
            <w:r>
              <w:rPr>
                <w:rFonts w:ascii="Arial" w:cs="Arial" w:eastAsia="Arial" w:hAnsi="Arial"/>
                <w:sz w:val="18"/>
                <w:szCs w:val="18"/>
                <w:color w:val="auto"/>
              </w:rPr>
              <w:t>Cash proceeds received</w:t>
            </w:r>
          </w:p>
        </w:tc>
        <w:tc>
          <w:tcPr>
            <w:tcW w:w="1320" w:type="dxa"/>
            <w:vAlign w:val="bottom"/>
            <w:gridSpan w:val="2"/>
          </w:tcPr>
          <w:p>
            <w:pPr>
              <w:jc w:val="right"/>
              <w:ind w:right="67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36"/>
              <w:spacing w:after="0"/>
              <w:rPr>
                <w:sz w:val="20"/>
                <w:szCs w:val="20"/>
                <w:color w:val="auto"/>
              </w:rPr>
            </w:pPr>
            <w:r>
              <w:rPr>
                <w:rFonts w:ascii="Arial" w:cs="Arial" w:eastAsia="Arial" w:hAnsi="Arial"/>
                <w:sz w:val="18"/>
                <w:szCs w:val="18"/>
                <w:color w:val="auto"/>
              </w:rPr>
              <w:t>42</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695</w:t>
            </w:r>
          </w:p>
        </w:tc>
      </w:tr>
      <w:tr>
        <w:trPr>
          <w:trHeight w:val="21"/>
        </w:trPr>
        <w:tc>
          <w:tcPr>
            <w:tcW w:w="5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45</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42"/>
        </w:trPr>
        <w:tc>
          <w:tcPr>
            <w:tcW w:w="5500" w:type="dxa"/>
            <w:vAlign w:val="bottom"/>
          </w:tcPr>
          <w:p>
            <w:pPr>
              <w:spacing w:after="0"/>
              <w:rPr>
                <w:sz w:val="24"/>
                <w:szCs w:val="24"/>
                <w:color w:val="auto"/>
              </w:rPr>
            </w:pPr>
          </w:p>
        </w:tc>
        <w:tc>
          <w:tcPr>
            <w:tcW w:w="480" w:type="dxa"/>
            <w:vAlign w:val="bottom"/>
          </w:tcPr>
          <w:p>
            <w:pPr>
              <w:jc w:val="right"/>
              <w:ind w:right="170"/>
              <w:spacing w:after="0"/>
              <w:rPr>
                <w:sz w:val="20"/>
                <w:szCs w:val="20"/>
                <w:color w:val="auto"/>
              </w:rPr>
            </w:pPr>
            <w:r>
              <w:rPr>
                <w:rFonts w:ascii="Arial" w:cs="Arial" w:eastAsia="Arial" w:hAnsi="Arial"/>
                <w:sz w:val="18"/>
                <w:szCs w:val="18"/>
                <w:color w:val="auto"/>
                <w:w w:val="99"/>
              </w:rPr>
              <w:t>40</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55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Income Tax</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 expense was $3.5 million and $2.7 million during the three month periods ended June 30, 2020 and 2019, respectively and $4.5 million and $4.9 million during the six months ended June 30, 2020 and 2019,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six month periods ending June 30, 2020 include reductions of zero and $0.2 million, respectively, of income tax expense related to the impact of the excess value of stock awards that vested and stock options that were exercised as compared to the initial fair values that were expensed. These amounts during the same periods in 2019 were zero and $0.2 million, respectively.</w:t>
      </w:r>
    </w:p>
    <w:p>
      <w:pPr>
        <w:spacing w:after="0" w:line="2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2020, June 30, 2019 and December 31, 2019 that the realization of substantially all of our deferred tax assets continues to be more likely than not.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June 30, 2020 and December 31, 2019, we had approximately $0.4 million, of gross unrecognized tax benefits. We do not expect the total amount of unrecognized tax benefits to significantly increase or decrease during the balance of 2020.</w:t>
      </w:r>
    </w:p>
    <w:p>
      <w:pPr>
        <w:spacing w:after="0" w:line="19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June 30, 2020, the Bank had positive undivided profits of $48.4 million. It is not our intent to have dividends paid in amounts that would reduce the capital of our Bank to levels below those which we consider prudent and in accordance with guidelines of regulatory authorities.</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June 30, 2020 and December 31, 2019, categorized our Bank as well capitalized. Management is not aware of any conditions or events that would have changed the most recent Federal Deposit Insurance Corporation (“FDIC”) categorization.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actual capital amounts and ratios follow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center"/>
              <w:ind w:left="90"/>
              <w:spacing w:after="0"/>
              <w:rPr>
                <w:sz w:val="20"/>
                <w:szCs w:val="20"/>
                <w:color w:val="auto"/>
              </w:rPr>
            </w:pPr>
            <w:r>
              <w:rPr>
                <w:rFonts w:ascii="Arial" w:cs="Arial" w:eastAsia="Arial" w:hAnsi="Arial"/>
                <w:sz w:val="18"/>
                <w:szCs w:val="18"/>
                <w:color w:val="auto"/>
                <w:w w:val="98"/>
              </w:rPr>
              <w:t>Minimum for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color w:val="auto"/>
                <w:w w:val="98"/>
              </w:rPr>
              <w:t>Minimum for</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Adequately Capitalized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color w:val="auto"/>
                <w:w w:val="93"/>
              </w:rPr>
              <w:t>Well-Capitalized</w:t>
            </w:r>
          </w:p>
        </w:tc>
      </w:tr>
      <w:tr>
        <w:trPr>
          <w:trHeight w:val="237"/>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color w:val="auto"/>
              </w:rPr>
              <w:t>Actual</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2"/>
              </w:rPr>
              <w:t>Institutions</w:t>
            </w: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2"/>
              </w:rPr>
              <w:t>Institutions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Ratio</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5"/>
              </w:rPr>
              <w:t>Ratio</w:t>
            </w:r>
          </w:p>
        </w:tc>
        <w:tc>
          <w:tcPr>
            <w:tcW w:w="160" w:type="dxa"/>
            <w:vAlign w:val="bottom"/>
          </w:tcPr>
          <w:p>
            <w:pPr>
              <w:spacing w:after="0"/>
              <w:rPr>
                <w:sz w:val="19"/>
                <w:szCs w:val="19"/>
                <w:color w:val="auto"/>
              </w:rPr>
            </w:pPr>
          </w:p>
        </w:tc>
      </w:tr>
      <w:tr>
        <w:trPr>
          <w:trHeight w:val="230"/>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3"/>
        </w:trPr>
        <w:tc>
          <w:tcPr>
            <w:tcW w:w="3240" w:type="dxa"/>
            <w:vAlign w:val="bottom"/>
          </w:tcPr>
          <w:p>
            <w:pPr>
              <w:spacing w:after="0"/>
              <w:rPr>
                <w:sz w:val="20"/>
                <w:szCs w:val="20"/>
                <w:color w:val="auto"/>
              </w:rPr>
            </w:pPr>
            <w:r>
              <w:rPr>
                <w:rFonts w:ascii="Arial" w:cs="Arial" w:eastAsia="Arial" w:hAnsi="Arial"/>
                <w:sz w:val="18"/>
                <w:szCs w:val="18"/>
                <w:color w:val="auto"/>
              </w:rPr>
              <w:t>June 30, 2020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425,443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222,368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370,222</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13.32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222,275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277,843</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350,680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166,776</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335,473</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12.07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166,706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222,275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312,414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125,082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335,473</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12.07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125,029</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180,598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350,680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153,244</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335,473</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153,255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191,569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December 31, 2019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380,454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221,562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358,914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221,482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276,852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352,764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166,171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331,224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166,111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221,482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314,532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124,628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331,224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124,583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179,954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352,764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139,632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331,224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139,615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174,519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1431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3200" w:firstLine="8"/>
        <w:spacing w:after="0" w:line="277"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ratios do not reflect a capital conservation buffer of 2.50% at June 30, 2020 and December 31, 2019. NA - Not applicable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The components of our regulatory capital are as follows: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Consolidated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8"/>
                <w:szCs w:val="18"/>
                <w:color w:val="auto"/>
              </w:rPr>
              <w:t>Independent Bank</w:t>
            </w:r>
          </w:p>
        </w:tc>
      </w:tr>
      <w:tr>
        <w:trPr>
          <w:trHeight w:val="202"/>
        </w:trPr>
        <w:tc>
          <w:tcPr>
            <w:tcW w:w="5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w w:val="95"/>
              </w:rPr>
              <w:t>June 30,</w:t>
            </w:r>
          </w:p>
        </w:tc>
        <w:tc>
          <w:tcPr>
            <w:tcW w:w="11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w w:val="95"/>
              </w:rPr>
              <w:t>June 30,</w:t>
            </w:r>
          </w:p>
        </w:tc>
        <w:tc>
          <w:tcPr>
            <w:tcW w:w="11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355,123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350,169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378,182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366,861</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Add (deduct)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for regulatory purposes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(9,593)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Goodwill and other intangibles</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(33,116)</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(33,626)</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(33,116)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(33,626)</w:t>
            </w: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Common equity tier 1 capital</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312,414</w:t>
            </w: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314,532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335,473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331,224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Qualifying trust preferred securities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38,266</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38,232</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Tier 1 capital</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350,680</w:t>
            </w: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352,764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335,473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331,224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40,000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Allowance for loan losses and allowance for unfunded lending</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commitments limited to 1.25% of total risk-weighted assets</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34,763</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27,690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34,749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27,690</w:t>
            </w: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460"/>
              <w:spacing w:after="0"/>
              <w:rPr>
                <w:sz w:val="20"/>
                <w:szCs w:val="20"/>
                <w:color w:val="auto"/>
              </w:rPr>
            </w:pPr>
            <w:r>
              <w:rPr>
                <w:rFonts w:ascii="Arial" w:cs="Arial" w:eastAsia="Arial" w:hAnsi="Arial"/>
                <w:sz w:val="18"/>
                <w:szCs w:val="18"/>
                <w:color w:val="auto"/>
              </w:rPr>
              <w:t>Total risk-based capital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425,443</w:t>
            </w:r>
          </w:p>
        </w:tc>
        <w:tc>
          <w:tcPr>
            <w:tcW w:w="26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380,454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370,222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358,914</w:t>
            </w: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Fair Value Disclosures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11"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Where quoted market prices are available in an active market, securities available for sale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The fair value of mortgage loans held for sale, carried at fair value is based on agency cash window loan pricing for comparable assets (recurring Level 2).</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Impaired loans with specific loss allocations based on collateral value</w:t>
      </w:r>
      <w:r>
        <w:rPr>
          <w:rFonts w:ascii="Arial" w:cs="Arial" w:eastAsia="Arial" w:hAnsi="Arial"/>
          <w:sz w:val="18"/>
          <w:szCs w:val="18"/>
          <w:color w:val="auto"/>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Other real estate</w:t>
      </w:r>
      <w:r>
        <w:rPr>
          <w:rFonts w:ascii="Arial" w:cs="Arial" w:eastAsia="Arial" w:hAnsi="Arial"/>
          <w:sz w:val="16"/>
          <w:szCs w:val="16"/>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Capitalized mortgage loan servicing rights</w:t>
      </w:r>
      <w:r>
        <w:rPr>
          <w:rFonts w:ascii="Arial" w:cs="Arial" w:eastAsia="Arial" w:hAnsi="Arial"/>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The fair value of rate-lock mortgage loan commitments is based on agency cash window loan pricing for comparable assets and the fair value of mandatory commitments to sell mortgage loans is based on mortgage backed security pricing for comparable assets (recurring Level 2). The fair value of interest rate swap and interest rate cap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5"/>
          </w:tcPr>
          <w:p>
            <w:pPr>
              <w:jc w:val="center"/>
              <w:ind w:right="19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9"/>
              </w:rPr>
              <w:t>in Active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2"/>
              </w:rPr>
              <w:t>Fair Value</w:t>
            </w: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Measure-</w:t>
            </w: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ments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7"/>
              </w:rPr>
              <w:t>(Level 1)</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4"/>
              </w:rPr>
              <w:t>(Level 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3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June 30, 2020:</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right"/>
              <w:ind w:right="75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6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U.S. agency residential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292,930</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292,930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9,368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9,368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Private label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41,351</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41,351</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226,273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226,273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207,555</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207,555</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64,184</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64,184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Trust preferred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1,661</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1,661</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Loans held for sale, carried at fair value</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83,706</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83,706</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Capitalized mortgage loan servicing rights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13,773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Derivatives (1)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18,819</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18,819</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Derivatives (2)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13,563</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13,563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Measured at Fair Value on a Non-recurring Basis: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Impaired loans (3)</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Commercial and industrial</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1,753</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Commercial real estate (4)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14,256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11,640</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owner occupied - 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1-4 family owner occupied - non-jumbo</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non-owner occupied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1-4 family - 2nd lien</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Resort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Installment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Boat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Recreational vehicle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Other real estate (5)</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Commercial - commercial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Mortgage - 1-4 family owner occupied - non-jumbo</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87"/>
        </w:trPr>
        <w:tc>
          <w:tcPr>
            <w:tcW w:w="450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line="250" w:lineRule="auto"/>
        <w:tabs>
          <w:tab w:leader="none" w:pos="2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value of $2.6 million of commercial real estate property included in this table was based on an auction held prior to June 30, 2020. Auction proceeds in this amount were received on July 21, 2020.</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87"/>
              </w:rPr>
              <w:t>Quoted</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7"/>
              </w:rPr>
              <w:t>Prices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9"/>
              </w:rPr>
              <w:t>in Active</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3"/>
              </w:rPr>
              <w:t>Markets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4"/>
              </w:rPr>
              <w:t>for</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2"/>
              </w:rPr>
              <w:t>Fair Value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5"/>
              </w:rPr>
              <w:t>Identical</w:t>
            </w:r>
          </w:p>
        </w:tc>
        <w:tc>
          <w:tcPr>
            <w:tcW w:w="48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Measure-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8"/>
              </w:rPr>
              <w:t>Assets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ments</w:t>
            </w:r>
          </w:p>
        </w:tc>
        <w:tc>
          <w:tcPr>
            <w:tcW w:w="11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7"/>
              </w:rPr>
              <w:t>(Level 1)</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4"/>
              </w:rPr>
              <w:t>(Level 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3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December 31, 2019:</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80" w:type="dxa"/>
            <w:vAlign w:val="bottom"/>
            <w:gridSpan w:val="3"/>
          </w:tcPr>
          <w:p>
            <w:pPr>
              <w:jc w:val="right"/>
              <w:ind w:right="75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6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14,661</w:t>
            </w:r>
          </w:p>
        </w:tc>
        <w:tc>
          <w:tcPr>
            <w:tcW w:w="11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U.S. agency residential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227,762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227,762</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10,756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10,756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Private label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39,693</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39,693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93,886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93,886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96,102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96,102</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33,195</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33,195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Trust preferred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1,843</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1,843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502</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Loans held for sale, carried at fair value</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69,800</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69,800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Capitalized mortgage loan servicing rights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19,171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19,171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Derivatives (1)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5,464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5,464</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Derivatives (2)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4,402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4,402</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Measured at Fair Value on a Non-recurring Basis: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Impaired loans (3)</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Commercial and industrial</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655</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Commercial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owner occupied - 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987</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1-4 family owner occupied - non-jumbo</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470</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non-owner occupied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1-4 family - 2nd lien</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294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Resort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245</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Installment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Boat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Recreational vehicle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Other real estate (4)</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Mortgage - 1-4 family owner occupied - non-jumbo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Installment - other</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11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87"/>
        </w:trPr>
        <w:tc>
          <w:tcPr>
            <w:tcW w:w="450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values for financial assets which we have elected the fair value option for the periods presented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20" w:type="dxa"/>
            <w:vAlign w:val="bottom"/>
            <w:gridSpan w:val="6"/>
          </w:tcPr>
          <w:p>
            <w:pPr>
              <w:jc w:val="center"/>
              <w:ind w:right="150"/>
              <w:spacing w:after="0"/>
              <w:rPr>
                <w:sz w:val="20"/>
                <w:szCs w:val="20"/>
                <w:color w:val="auto"/>
              </w:rPr>
            </w:pPr>
            <w:r>
              <w:rPr>
                <w:rFonts w:ascii="Arial" w:cs="Arial" w:eastAsia="Arial" w:hAnsi="Arial"/>
                <w:sz w:val="18"/>
                <w:szCs w:val="18"/>
                <w:color w:val="auto"/>
                <w:w w:val="91"/>
              </w:rPr>
              <w:t>Changes in Fair Values for the Six-Month Periods</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20" w:type="dxa"/>
            <w:vAlign w:val="bottom"/>
            <w:gridSpan w:val="6"/>
          </w:tcPr>
          <w:p>
            <w:pPr>
              <w:jc w:val="center"/>
              <w:ind w:right="150"/>
              <w:spacing w:after="0"/>
              <w:rPr>
                <w:sz w:val="20"/>
                <w:szCs w:val="20"/>
                <w:color w:val="auto"/>
              </w:rPr>
            </w:pPr>
            <w:r>
              <w:rPr>
                <w:rFonts w:ascii="Arial" w:cs="Arial" w:eastAsia="Arial" w:hAnsi="Arial"/>
                <w:sz w:val="18"/>
                <w:szCs w:val="18"/>
                <w:color w:val="auto"/>
                <w:w w:val="89"/>
              </w:rPr>
              <w:t>Ended June 30 for Items Measured at Fair Value</w:t>
            </w: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5"/>
          </w:tcPr>
          <w:p>
            <w:pPr>
              <w:jc w:val="center"/>
              <w:ind w:left="690"/>
              <w:spacing w:after="0"/>
              <w:rPr>
                <w:sz w:val="20"/>
                <w:szCs w:val="20"/>
                <w:color w:val="auto"/>
              </w:rPr>
            </w:pPr>
            <w:r>
              <w:rPr>
                <w:rFonts w:ascii="Arial" w:cs="Arial" w:eastAsia="Arial" w:hAnsi="Arial"/>
                <w:sz w:val="18"/>
                <w:szCs w:val="18"/>
                <w:color w:val="auto"/>
                <w:w w:val="91"/>
              </w:rPr>
              <w:t>Pursuant to Election of the Fair Value Option</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jc w:val="center"/>
              <w:ind w:right="190"/>
              <w:spacing w:after="0" w:line="201"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color w:val="auto"/>
                <w:w w:val="95"/>
              </w:rPr>
              <w:t>in Fair</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vMerge w:val="restart"/>
          </w:tcPr>
          <w:p>
            <w:pPr>
              <w:ind w:left="740"/>
              <w:spacing w:after="0"/>
              <w:rPr>
                <w:sz w:val="20"/>
                <w:szCs w:val="20"/>
                <w:color w:val="auto"/>
              </w:rPr>
            </w:pPr>
            <w:r>
              <w:rPr>
                <w:rFonts w:ascii="Arial" w:cs="Arial" w:eastAsia="Arial" w:hAnsi="Arial"/>
                <w:sz w:val="18"/>
                <w:szCs w:val="18"/>
                <w:color w:val="auto"/>
                <w:w w:val="94"/>
              </w:rPr>
              <w:t>Net Gains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color w:val="auto"/>
                <w:w w:val="87"/>
              </w:rPr>
              <w:t>Values</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40" w:type="dxa"/>
            <w:vAlign w:val="bottom"/>
          </w:tcPr>
          <w:p>
            <w:pPr>
              <w:jc w:val="center"/>
              <w:ind w:right="190"/>
              <w:spacing w:after="0" w:line="189" w:lineRule="exact"/>
              <w:rPr>
                <w:sz w:val="20"/>
                <w:szCs w:val="20"/>
                <w:color w:val="auto"/>
              </w:rPr>
            </w:pPr>
            <w:r>
              <w:rPr>
                <w:rFonts w:ascii="Arial" w:cs="Arial" w:eastAsia="Arial" w:hAnsi="Arial"/>
                <w:sz w:val="18"/>
                <w:szCs w:val="18"/>
                <w:color w:val="auto"/>
                <w:w w:val="93"/>
              </w:rPr>
              <w:t>Included</w:t>
            </w: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w w:val="93"/>
              </w:rPr>
              <w:t>on Assets</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450"/>
              <w:spacing w:after="0"/>
              <w:rPr>
                <w:sz w:val="20"/>
                <w:szCs w:val="20"/>
                <w:color w:val="auto"/>
              </w:rPr>
            </w:pPr>
            <w:r>
              <w:rPr>
                <w:rFonts w:ascii="Arial" w:cs="Arial" w:eastAsia="Arial" w:hAnsi="Arial"/>
                <w:sz w:val="18"/>
                <w:szCs w:val="18"/>
                <w:color w:val="auto"/>
                <w:w w:val="92"/>
              </w:rPr>
              <w:t>Mortgage</w:t>
            </w:r>
          </w:p>
        </w:tc>
        <w:tc>
          <w:tcPr>
            <w:tcW w:w="1040" w:type="dxa"/>
            <w:vAlign w:val="bottom"/>
          </w:tcPr>
          <w:p>
            <w:pPr>
              <w:jc w:val="center"/>
              <w:ind w:right="190"/>
              <w:spacing w:after="0"/>
              <w:rPr>
                <w:sz w:val="20"/>
                <w:szCs w:val="20"/>
                <w:color w:val="auto"/>
              </w:rPr>
            </w:pPr>
            <w:r>
              <w:rPr>
                <w:rFonts w:ascii="Arial" w:cs="Arial" w:eastAsia="Arial" w:hAnsi="Arial"/>
                <w:sz w:val="18"/>
                <w:szCs w:val="18"/>
                <w:color w:val="auto"/>
                <w:w w:val="91"/>
              </w:rPr>
              <w:t>in Current</w:t>
            </w:r>
          </w:p>
        </w:tc>
        <w:tc>
          <w:tcPr>
            <w:tcW w:w="0" w:type="dxa"/>
            <w:vAlign w:val="bottom"/>
          </w:tcPr>
          <w:p>
            <w:pPr>
              <w:spacing w:after="0"/>
              <w:rPr>
                <w:sz w:val="1"/>
                <w:szCs w:val="1"/>
                <w:color w:val="auto"/>
              </w:rPr>
            </w:pPr>
          </w:p>
        </w:tc>
      </w:tr>
      <w:tr>
        <w:trPr>
          <w:trHeight w:val="202"/>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gridSpan w:val="2"/>
          </w:tcPr>
          <w:p>
            <w:pPr>
              <w:jc w:val="right"/>
              <w:ind w:right="250"/>
              <w:spacing w:after="0" w:line="201" w:lineRule="exact"/>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17"/>
                <w:szCs w:val="17"/>
                <w:color w:val="auto"/>
              </w:rPr>
            </w:pPr>
          </w:p>
        </w:tc>
        <w:tc>
          <w:tcPr>
            <w:tcW w:w="1360" w:type="dxa"/>
            <w:vAlign w:val="bottom"/>
          </w:tcPr>
          <w:p>
            <w:pPr>
              <w:jc w:val="center"/>
              <w:ind w:right="430"/>
              <w:spacing w:after="0" w:line="201" w:lineRule="exact"/>
              <w:rPr>
                <w:sz w:val="20"/>
                <w:szCs w:val="20"/>
                <w:color w:val="auto"/>
              </w:rPr>
            </w:pPr>
            <w:r>
              <w:rPr>
                <w:rFonts w:ascii="Arial" w:cs="Arial" w:eastAsia="Arial" w:hAnsi="Arial"/>
                <w:sz w:val="18"/>
                <w:szCs w:val="18"/>
                <w:color w:val="auto"/>
                <w:w w:val="89"/>
              </w:rPr>
              <w:t>Loan</w:t>
            </w:r>
          </w:p>
        </w:tc>
        <w:tc>
          <w:tcPr>
            <w:tcW w:w="1040" w:type="dxa"/>
            <w:vAlign w:val="bottom"/>
          </w:tcPr>
          <w:p>
            <w:pPr>
              <w:jc w:val="center"/>
              <w:ind w:right="190"/>
              <w:spacing w:after="0" w:line="201" w:lineRule="exact"/>
              <w:rPr>
                <w:sz w:val="20"/>
                <w:szCs w:val="20"/>
                <w:color w:val="auto"/>
              </w:rPr>
            </w:pPr>
            <w:r>
              <w:rPr>
                <w:rFonts w:ascii="Arial" w:cs="Arial" w:eastAsia="Arial" w:hAnsi="Arial"/>
                <w:sz w:val="18"/>
                <w:szCs w:val="18"/>
                <w:color w:val="auto"/>
                <w:w w:val="92"/>
              </w:rPr>
              <w:t>Period</w:t>
            </w: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Securities</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7"/>
              </w:rPr>
              <w:t>Loans</w:t>
            </w:r>
          </w:p>
        </w:tc>
        <w:tc>
          <w:tcPr>
            <w:tcW w:w="160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1"/>
              </w:rPr>
              <w:t>Servicing, net</w:t>
            </w: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Earnings</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gridSpan w:val="3"/>
          </w:tcPr>
          <w:p>
            <w:pPr>
              <w:jc w:val="center"/>
              <w:ind w:right="630"/>
              <w:spacing w:after="0"/>
              <w:rPr>
                <w:sz w:val="20"/>
                <w:szCs w:val="20"/>
                <w:color w:val="auto"/>
              </w:rPr>
            </w:pPr>
            <w:r>
              <w:rPr>
                <w:rFonts w:ascii="Arial" w:cs="Arial" w:eastAsia="Arial" w:hAnsi="Arial"/>
                <w:sz w:val="18"/>
                <w:szCs w:val="18"/>
                <w:color w:val="auto"/>
                <w:w w:val="90"/>
              </w:rPr>
              <w:t>(In thousands)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Arial" w:cs="Arial" w:eastAsia="Arial" w:hAnsi="Arial"/>
                <w:sz w:val="18"/>
                <w:szCs w:val="18"/>
                <w:color w:val="auto"/>
              </w:rPr>
              <w:t>Loans held for sale</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1,387</w:t>
            </w:r>
          </w:p>
        </w:tc>
        <w:tc>
          <w:tcPr>
            <w:tcW w:w="240" w:type="dxa"/>
            <w:vAlign w:val="bottom"/>
          </w:tcPr>
          <w:p>
            <w:pPr>
              <w:spacing w:after="0"/>
              <w:rPr>
                <w:sz w:val="18"/>
                <w:szCs w:val="18"/>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(11,641)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Arial" w:cs="Arial" w:eastAsia="Arial" w:hAnsi="Arial"/>
                <w:sz w:val="18"/>
                <w:szCs w:val="18"/>
                <w:color w:val="auto"/>
              </w:rPr>
              <w:t>Equity securities at fair value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sale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(6,113)</w:t>
            </w:r>
          </w:p>
        </w:tc>
        <w:tc>
          <w:tcPr>
            <w:tcW w:w="1040" w:type="dxa"/>
            <w:vAlign w:val="bottom"/>
          </w:tcPr>
          <w:p>
            <w:pPr>
              <w:jc w:val="right"/>
              <w:spacing w:after="0"/>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 impairment charges recognized during the three and six month periods ended June 30, 2020 and 2019 relating to assets measured at fair value on a non-recurring basis:</w:t>
      </w:r>
    </w:p>
    <w:p>
      <w:pPr>
        <w:spacing w:after="0" w:line="197" w:lineRule="exact"/>
        <w:rPr>
          <w:sz w:val="20"/>
          <w:szCs w:val="20"/>
          <w:color w:val="auto"/>
        </w:rPr>
      </w:pPr>
    </w:p>
    <w:p>
      <w:pPr>
        <w:jc w:val="both"/>
        <w:ind w:left="660" w:hanging="328"/>
        <w:spacing w:after="0" w:line="26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Loans which are measured for impairment using the fair value of collateral for collateral dependent loans had a carrying amount of $17.4 million, which is net of a valuation allowance of $3.4 million at June 30, 2020, and had a carrying amount of $3.4 million, which is net of a valuation allowance of $1.5 million at December 31, 2019. The provision for loan losses included in our results of operations relating to impaired loans was a net expense of $3.4 million and $0.3 million for the three month periods ending June 30, 2020 and 2019, respectively, and a net expense of $5.5 million and $0.4 million for the six month periods ending June 30, 2020 and 2019, respectively.</w:t>
      </w:r>
    </w:p>
    <w:p>
      <w:pPr>
        <w:spacing w:after="0" w:line="2" w:lineRule="exact"/>
        <w:rPr>
          <w:rFonts w:ascii="Arial" w:cs="Arial" w:eastAsia="Arial" w:hAnsi="Arial"/>
          <w:sz w:val="17"/>
          <w:szCs w:val="17"/>
          <w:color w:val="auto"/>
        </w:rPr>
      </w:pPr>
    </w:p>
    <w:p>
      <w:pPr>
        <w:jc w:val="both"/>
        <w:ind w:left="660" w:hanging="328"/>
        <w:spacing w:after="0" w:line="25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real estate, which is measured using the fair value of the property, had a carrying amount of $0.50 million which is net of a valuation allowance of $0.16 million at June 30, 2020, and a carrying amount of $0.06 million which is net of a valuation allowance of $0.09 million, at December 31, 2019. Charges included in our results of operations relating to other real estate measured at fair value were zero and $0.09 million during the three and six month periods ended June 30, 2020, and were zero and $0.01 million during the three and six month periods ended June 30, 2019.</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for all assets measured at fair value on a recurring basis using significant unobservable inputs (Level 3)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8"/>
                <w:szCs w:val="18"/>
                <w:color w:val="auto"/>
              </w:rPr>
              <w:t>Capitalized Mortgage Loan Servicing Rights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right"/>
              <w:ind w:right="700"/>
              <w:spacing w:after="0" w:line="201" w:lineRule="exact"/>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2200" w:type="dxa"/>
            <w:vAlign w:val="bottom"/>
            <w:gridSpan w:val="4"/>
          </w:tcPr>
          <w:p>
            <w:pPr>
              <w:jc w:val="right"/>
              <w:ind w:right="470"/>
              <w:spacing w:after="0" w:line="201" w:lineRule="exact"/>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80" w:type="dxa"/>
            <w:vAlign w:val="bottom"/>
            <w:gridSpan w:val="3"/>
          </w:tcPr>
          <w:p>
            <w:pPr>
              <w:jc w:val="right"/>
              <w:ind w:right="650"/>
              <w:spacing w:after="0"/>
              <w:rPr>
                <w:sz w:val="20"/>
                <w:szCs w:val="20"/>
                <w:color w:val="auto"/>
              </w:rPr>
            </w:pPr>
            <w:r>
              <w:rPr>
                <w:rFonts w:ascii="Arial" w:cs="Arial" w:eastAsia="Arial" w:hAnsi="Arial"/>
                <w:sz w:val="17"/>
                <w:szCs w:val="17"/>
                <w:color w:val="auto"/>
                <w:w w:val="73"/>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10"/>
              <w:spacing w:after="0"/>
              <w:rPr>
                <w:sz w:val="20"/>
                <w:szCs w:val="20"/>
                <w:color w:val="auto"/>
              </w:rPr>
            </w:pPr>
            <w:r>
              <w:rPr>
                <w:rFonts w:ascii="Arial" w:cs="Arial" w:eastAsia="Arial" w:hAnsi="Arial"/>
                <w:sz w:val="17"/>
                <w:szCs w:val="17"/>
                <w:color w:val="auto"/>
                <w:w w:val="73"/>
              </w:rPr>
              <w:t>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14,829</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19,171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21,400</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Total gains (losses) realized and unrealized: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Included in results of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(4,667)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(11,641)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(6,113)</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issuances, settlements, maturities and calls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3,611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6,243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Transfers in and/or out of Level 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Amount of total losses for the period included in earnings attributable to the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change in unrealized gains (losses) relating to assets and liabilities still held at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(4,667)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(11,641)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four of these assumptions in isolation would result in significant changes to the value of our capitalized mortgage loan servicing rights. Quantitative information about our Level 3 fair value measurements measured on a recurring basis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Asset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Fair</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Valuation</w:t>
            </w:r>
          </w:p>
        </w:tc>
        <w:tc>
          <w:tcPr>
            <w:tcW w:w="22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w w:val="93"/>
              </w:rPr>
              <w:t>Unobservable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Weighted</w:t>
            </w:r>
          </w:p>
        </w:tc>
      </w:tr>
      <w:tr>
        <w:trPr>
          <w:trHeight w:val="237"/>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Technique</w:t>
            </w:r>
          </w:p>
        </w:tc>
        <w:tc>
          <w:tcPr>
            <w:tcW w:w="2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Inputs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Range</w:t>
            </w:r>
          </w:p>
        </w:tc>
        <w:tc>
          <w:tcPr>
            <w:tcW w:w="14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Average</w:t>
            </w:r>
          </w:p>
        </w:tc>
      </w:tr>
      <w:tr>
        <w:trPr>
          <w:trHeight w:val="202"/>
        </w:trPr>
        <w:tc>
          <w:tcPr>
            <w:tcW w:w="46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4840" w:type="dxa"/>
            <w:vAlign w:val="bottom"/>
            <w:gridSpan w:val="2"/>
            <w:shd w:val="clear" w:color="auto" w:fill="CCEEFF"/>
          </w:tcPr>
          <w:p>
            <w:pPr>
              <w:jc w:val="right"/>
              <w:ind w:right="1550"/>
              <w:spacing w:after="0" w:line="201" w:lineRule="exact"/>
              <w:rPr>
                <w:sz w:val="20"/>
                <w:szCs w:val="20"/>
                <w:color w:val="auto"/>
              </w:rPr>
            </w:pPr>
            <w:r>
              <w:rPr>
                <w:rFonts w:ascii="Arial" w:cs="Arial" w:eastAsia="Arial" w:hAnsi="Arial"/>
                <w:sz w:val="18"/>
                <w:szCs w:val="18"/>
                <w:color w:val="auto"/>
                <w:w w:val="95"/>
              </w:rPr>
              <w:t>Capitalized mortgage loan servicing rights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Present value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10.00% to</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13,773</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of net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r>
      <w:tr>
        <w:trPr>
          <w:trHeight w:val="202"/>
        </w:trPr>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servicing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revenue</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90"/>
              </w:rPr>
              <w:t>Cost to service</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68 to $219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r>
      <w:tr>
        <w:trPr>
          <w:trHeight w:val="202"/>
        </w:trPr>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Ancillary</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 to 37</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Float rate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r>
      <w:tr>
        <w:trPr>
          <w:trHeight w:val="202"/>
        </w:trPr>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Prepayment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7.19% to</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rate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57.51%</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22.89%</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4840" w:type="dxa"/>
            <w:vAlign w:val="bottom"/>
            <w:gridSpan w:val="2"/>
            <w:shd w:val="clear" w:color="auto" w:fill="CCEEFF"/>
          </w:tcPr>
          <w:p>
            <w:pPr>
              <w:jc w:val="right"/>
              <w:ind w:right="1550"/>
              <w:spacing w:after="0" w:line="201" w:lineRule="exact"/>
              <w:rPr>
                <w:sz w:val="20"/>
                <w:szCs w:val="20"/>
                <w:color w:val="auto"/>
              </w:rPr>
            </w:pPr>
            <w:r>
              <w:rPr>
                <w:rFonts w:ascii="Arial" w:cs="Arial" w:eastAsia="Arial" w:hAnsi="Arial"/>
                <w:sz w:val="18"/>
                <w:szCs w:val="18"/>
                <w:color w:val="auto"/>
                <w:w w:val="95"/>
              </w:rPr>
              <w:t>Capitalized mortgage loan servicing rights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Present value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10.00% to</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19,171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of net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w:t>
            </w:r>
          </w:p>
        </w:tc>
      </w:tr>
      <w:tr>
        <w:trPr>
          <w:trHeight w:val="202"/>
        </w:trPr>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servicing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revenue</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90"/>
              </w:rPr>
              <w:t>Cost to service</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66 to $316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r>
      <w:tr>
        <w:trPr>
          <w:trHeight w:val="202"/>
        </w:trPr>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Ancillary</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 to 37</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Float rate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r>
        <w:trPr>
          <w:trHeight w:val="202"/>
        </w:trPr>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Prepayment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7.01% to</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rate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69.34%</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14.96%</w:t>
            </w:r>
          </w:p>
        </w:tc>
      </w:tr>
      <w:tr>
        <w:trPr>
          <w:trHeight w:val="648"/>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Asset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Fair</w:t>
            </w:r>
          </w:p>
        </w:tc>
        <w:tc>
          <w:tcPr>
            <w:tcW w:w="1100" w:type="dxa"/>
            <w:vAlign w:val="bottom"/>
          </w:tcPr>
          <w:p>
            <w:pPr>
              <w:ind w:left="200"/>
              <w:spacing w:after="0"/>
              <w:rPr>
                <w:sz w:val="20"/>
                <w:szCs w:val="20"/>
                <w:color w:val="auto"/>
              </w:rPr>
            </w:pPr>
            <w:r>
              <w:rPr>
                <w:rFonts w:ascii="Arial" w:cs="Arial" w:eastAsia="Arial" w:hAnsi="Arial"/>
                <w:sz w:val="18"/>
                <w:szCs w:val="18"/>
                <w:color w:val="auto"/>
              </w:rPr>
              <w:t>Valuation</w:t>
            </w: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91"/>
              </w:rPr>
              <w:t>Unobservable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Weighted</w:t>
            </w:r>
          </w:p>
        </w:tc>
      </w:tr>
      <w:tr>
        <w:trPr>
          <w:trHeight w:val="237"/>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Value</w:t>
            </w:r>
          </w:p>
        </w:tc>
        <w:tc>
          <w:tcPr>
            <w:tcW w:w="1100" w:type="dxa"/>
            <w:vAlign w:val="bottom"/>
          </w:tcPr>
          <w:p>
            <w:pPr>
              <w:ind w:left="180"/>
              <w:spacing w:after="0"/>
              <w:rPr>
                <w:sz w:val="20"/>
                <w:szCs w:val="20"/>
                <w:color w:val="auto"/>
              </w:rPr>
            </w:pPr>
            <w:r>
              <w:rPr>
                <w:rFonts w:ascii="Arial" w:cs="Arial" w:eastAsia="Arial" w:hAnsi="Arial"/>
                <w:sz w:val="18"/>
                <w:szCs w:val="18"/>
                <w:color w:val="auto"/>
              </w:rPr>
              <w:t>Technique</w:t>
            </w:r>
          </w:p>
        </w:tc>
        <w:tc>
          <w:tcPr>
            <w:tcW w:w="2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Inputs</w:t>
            </w:r>
          </w:p>
        </w:tc>
        <w:tc>
          <w:tcPr>
            <w:tcW w:w="22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Range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Average</w:t>
            </w:r>
          </w:p>
        </w:tc>
      </w:tr>
      <w:tr>
        <w:trPr>
          <w:trHeight w:val="202"/>
        </w:trPr>
        <w:tc>
          <w:tcPr>
            <w:tcW w:w="458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800" w:type="dxa"/>
            <w:vAlign w:val="bottom"/>
            <w:gridSpan w:val="2"/>
          </w:tcPr>
          <w:p>
            <w:pPr>
              <w:jc w:val="center"/>
              <w:ind w:right="3290"/>
              <w:spacing w:after="0"/>
              <w:rPr>
                <w:sz w:val="20"/>
                <w:szCs w:val="20"/>
                <w:color w:val="auto"/>
              </w:rPr>
            </w:pPr>
            <w:r>
              <w:rPr>
                <w:rFonts w:ascii="Arial" w:cs="Arial" w:eastAsia="Arial" w:hAnsi="Arial"/>
                <w:sz w:val="18"/>
                <w:szCs w:val="18"/>
                <w:color w:val="auto"/>
                <w:w w:val="89"/>
              </w:rPr>
              <w:t>Impaired loans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48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Commercial</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between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comparable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 to</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800" w:type="dxa"/>
            <w:vAlign w:val="bottom"/>
            <w:gridSpan w:val="2"/>
            <w:shd w:val="clear" w:color="auto" w:fill="CCEEFF"/>
          </w:tcPr>
          <w:p>
            <w:pPr>
              <w:ind w:left="4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13,393</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02"/>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Income</w:t>
            </w: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w w:val="99"/>
              </w:rPr>
              <w:t>Capitalization</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rate</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9.5%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r>
      <w:tr>
        <w:trPr>
          <w:trHeight w:val="216"/>
        </w:trPr>
        <w:tc>
          <w:tcPr>
            <w:tcW w:w="480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48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Mortgage and Installment(1)</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differences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between</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comparison</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comparable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1,384</w:t>
            </w:r>
          </w:p>
        </w:tc>
        <w:tc>
          <w:tcPr>
            <w:tcW w:w="1100" w:type="dxa"/>
            <w:vAlign w:val="bottom"/>
          </w:tcPr>
          <w:p>
            <w:pPr>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(40.2) to 408.2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r>
      <w:tr>
        <w:trPr>
          <w:trHeight w:val="216"/>
        </w:trPr>
        <w:tc>
          <w:tcPr>
            <w:tcW w:w="480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ind w:left="200"/>
              <w:spacing w:after="0"/>
              <w:rPr>
                <w:sz w:val="20"/>
                <w:szCs w:val="20"/>
                <w:color w:val="auto"/>
              </w:rPr>
            </w:pPr>
            <w:r>
              <w:rPr>
                <w:rFonts w:ascii="Arial" w:cs="Arial" w:eastAsia="Arial" w:hAnsi="Arial"/>
                <w:sz w:val="18"/>
                <w:szCs w:val="18"/>
                <w:color w:val="auto"/>
              </w:rPr>
              <w:t>Other real estate(2)</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4800" w:type="dxa"/>
            <w:vAlign w:val="bottom"/>
            <w:gridSpan w:val="2"/>
            <w:shd w:val="clear" w:color="auto" w:fill="CCEEFF"/>
          </w:tcPr>
          <w:p>
            <w:pPr>
              <w:jc w:val="center"/>
              <w:ind w:right="3290"/>
              <w:spacing w:after="0" w:line="201" w:lineRule="exact"/>
              <w:rPr>
                <w:sz w:val="20"/>
                <w:szCs w:val="20"/>
                <w:color w:val="auto"/>
              </w:rPr>
            </w:pPr>
            <w:r>
              <w:rPr>
                <w:rFonts w:ascii="Arial" w:cs="Arial" w:eastAsia="Arial" w:hAnsi="Arial"/>
                <w:sz w:val="18"/>
                <w:szCs w:val="18"/>
                <w:color w:val="auto"/>
                <w:w w:val="92"/>
              </w:rPr>
              <w:t>Mortgage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between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comparable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 to 10.6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48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jc w:val="center"/>
              <w:ind w:right="3290"/>
              <w:spacing w:after="0"/>
              <w:rPr>
                <w:sz w:val="20"/>
                <w:szCs w:val="20"/>
                <w:color w:val="auto"/>
              </w:rPr>
            </w:pPr>
            <w:r>
              <w:rPr>
                <w:rFonts w:ascii="Arial" w:cs="Arial" w:eastAsia="Arial" w:hAnsi="Arial"/>
                <w:sz w:val="18"/>
                <w:szCs w:val="18"/>
                <w:color w:val="auto"/>
                <w:w w:val="89"/>
              </w:rPr>
              <w:t>December 31, 2019</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jc w:val="center"/>
              <w:ind w:right="3290"/>
              <w:spacing w:after="0"/>
              <w:rPr>
                <w:sz w:val="20"/>
                <w:szCs w:val="20"/>
                <w:color w:val="auto"/>
              </w:rPr>
            </w:pPr>
            <w:r>
              <w:rPr>
                <w:rFonts w:ascii="Arial" w:cs="Arial" w:eastAsia="Arial" w:hAnsi="Arial"/>
                <w:sz w:val="18"/>
                <w:szCs w:val="18"/>
                <w:color w:val="auto"/>
                <w:w w:val="89"/>
              </w:rPr>
              <w:t>Impaired loans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48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Commercial</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between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comparable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 to</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800" w:type="dxa"/>
            <w:vAlign w:val="bottom"/>
            <w:gridSpan w:val="2"/>
            <w:shd w:val="clear" w:color="auto" w:fill="CCEEFF"/>
          </w:tcPr>
          <w:p>
            <w:pPr>
              <w:ind w:left="4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8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48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Mortgage and Installment(1)</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between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comparable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 to</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2,467</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r>
      <w:tr>
        <w:trPr>
          <w:trHeight w:val="216"/>
        </w:trPr>
        <w:tc>
          <w:tcPr>
            <w:tcW w:w="48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real estate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48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Mortgage and Installment</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differences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between</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comparison</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comparable</w:t>
            </w:r>
          </w:p>
        </w:tc>
        <w:tc>
          <w:tcPr>
            <w:tcW w:w="2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(11.6)%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100" w:type="dxa"/>
            <w:vAlign w:val="bottom"/>
          </w:tcPr>
          <w:p>
            <w:pPr>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w:t>
            </w:r>
          </w:p>
        </w:tc>
      </w:tr>
    </w:tbl>
    <w:p>
      <w:pPr>
        <w:spacing w:after="0" w:line="229" w:lineRule="exact"/>
        <w:rPr>
          <w:sz w:val="20"/>
          <w:szCs w:val="20"/>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addition to the valuation techniques and unobservable inputs discussed above, at June 30, 2020 and December 31, 2019 certain impaired collateral dependent installment loans totaling approximately $0.21 million and $0.14 million, respectively are secured by collateral other than real estate. For the majority of these loans, we apply internal discount rates to industry valuation guides.</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$0.47 million of commercial real estate other real estate was based on a broker price opinion and is not included in this table.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Contractual</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Difference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0" w:type="dxa"/>
            <w:vAlign w:val="bottom"/>
          </w:tcPr>
          <w:p>
            <w:pPr>
              <w:spacing w:after="0"/>
              <w:rPr>
                <w:sz w:val="1"/>
                <w:szCs w:val="1"/>
                <w:color w:val="auto"/>
              </w:rPr>
            </w:pPr>
          </w:p>
        </w:tc>
      </w:tr>
      <w:tr>
        <w:trPr>
          <w:trHeight w:val="230"/>
        </w:trPr>
        <w:tc>
          <w:tcPr>
            <w:tcW w:w="406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25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June 30, 2020</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83,706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80,425</w:t>
            </w:r>
          </w:p>
        </w:tc>
        <w:tc>
          <w:tcPr>
            <w:tcW w:w="0" w:type="dxa"/>
            <w:vAlign w:val="bottom"/>
          </w:tcPr>
          <w:p>
            <w:pPr>
              <w:spacing w:after="0"/>
              <w:rPr>
                <w:sz w:val="1"/>
                <w:szCs w:val="1"/>
                <w:color w:val="auto"/>
              </w:rPr>
            </w:pPr>
          </w:p>
        </w:tc>
      </w:tr>
      <w:tr>
        <w:trPr>
          <w:trHeight w:val="230"/>
        </w:trPr>
        <w:tc>
          <w:tcPr>
            <w:tcW w:w="4060" w:type="dxa"/>
            <w:vAlign w:val="bottom"/>
          </w:tcPr>
          <w:p>
            <w:pPr>
              <w:ind w:left="120"/>
              <w:spacing w:after="0"/>
              <w:rPr>
                <w:sz w:val="20"/>
                <w:szCs w:val="20"/>
                <w:color w:val="auto"/>
              </w:rPr>
            </w:pPr>
            <w:r>
              <w:rPr>
                <w:rFonts w:ascii="Arial" w:cs="Arial" w:eastAsia="Arial" w:hAnsi="Arial"/>
                <w:sz w:val="18"/>
                <w:szCs w:val="18"/>
                <w:color w:val="auto"/>
              </w:rPr>
              <w:t>December 31, 2019</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69,800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67,906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237"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237"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Fair Values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w w:val="94"/>
              </w:rPr>
              <w:t>The estimated recorded book balances and fair values follow:</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1"/>
              </w:rPr>
              <w:t>Fair Value Using</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Quoted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Markets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rPr>
              <w:t>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Observable</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Book</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Inputs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Balance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7"/>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vMerge w:val="restart"/>
          </w:tcPr>
          <w:p>
            <w:pPr>
              <w:spacing w:after="0"/>
              <w:rPr>
                <w:sz w:val="20"/>
                <w:szCs w:val="20"/>
                <w:color w:val="auto"/>
              </w:rPr>
            </w:pPr>
            <w:r>
              <w:rPr>
                <w:rFonts w:ascii="Arial" w:cs="Arial" w:eastAsia="Arial" w:hAnsi="Arial"/>
                <w:sz w:val="18"/>
                <w:szCs w:val="18"/>
                <w:color w:val="auto"/>
              </w:rPr>
              <w:t>June 30, 2020</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w w:val="95"/>
              </w:rPr>
              <w:t>(In thousands)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due from banks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47,369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47,369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Interest bearing 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8,447</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8,447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8,447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856,280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856,280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856,280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Federal Home Loan Bank and Federal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Reserve Bank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Net loans and loans held for sale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2,915,869</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2,873,095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83,706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2,789,389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11,087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18,819</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18,819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18,819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with no stated maturity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2,993,331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2,993,331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2,993,331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Deposits with stated maturity (1)</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491,794</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495,251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495,251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Subordinated debt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39,283</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40,414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40,414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27,217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13,563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due from banks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53,295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53,295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Interest bearing 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12,009</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12,009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12,009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bearing deposits - time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Securities available for sale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518,400</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518,400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518,400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Home Loan Bank and Federal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Reserve Bank Stock</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18,359</w:t>
            </w:r>
          </w:p>
        </w:tc>
        <w:tc>
          <w:tcPr>
            <w:tcW w:w="14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loans and loans held for sale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2,768,675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2,768,817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2,699,017</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10,108</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10,108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Deposits with no stated maturity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2,427,190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2,427,190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2,427,190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with stated maturity (1)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609,537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610,235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610,235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Other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88,646</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88,680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88,680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39,456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1,296</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Deposits with no stated maturity include reciprocal deposits with a recorded book balance of $499.384 million and $388.369 million at June 30, 2020 and December 31, 2019, respectively. Deposits with a stated maturity include reciprocal deposits with a recorded book balance of $36.014 million and $42.658 million at June 30, 2020 and December 31, 2019, respectively.</w:t>
      </w:r>
    </w:p>
    <w:p>
      <w:pPr>
        <w:sectPr>
          <w:pgSz w:w="11900" w:h="16838" w:orient="portrait"/>
          <w:cols w:equalWidth="0" w:num="1">
            <w:col w:w="11240"/>
          </w:cols>
          <w:pgMar w:left="320" w:top="125"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11, 2020, the World Health Organization declared COVID-19, the disease caused by the novel coronavirus, a pandemic as a result of the global spread of the coronavirus illness. In response to the outbreak, federal and state authorities in the U.S. introduced various measures to try to limit or slow the spread of the virus, including travel restrictions, nonessential business closures, stay-at-home orders, and strict social distancing. The Governor of Michigan issued her first "stay home, stay safe" executive order effective March 24, 2020. In general that order and subsequent modifications required individuals in Michigan to stay at home or their place of residence, except for certain specified activities that were deemed necessary to sustain or protect life. That original executive order was amended several times, and has since been rescinded and replaced entirely by a series of “Safer at Home” executive orders, which generally extended certain social distancing restrictions, but lifted the requirement that individuals remain in their homes. Under the current order, certain retail operations, restaurants and bars, and other business are permitted to resume in-person operations, subject to capacity limitations and other workplace safety requirements. The degree to which business may resume operations varies based on the region of the state in which they are located, pursuant to the Governor’s “MI Safe Start Plan.”. As a result of these actions, Michigan has experienced a significant increase in unemployment. It is possible that Michigan's Governor may continue some form of executive order throughout the Company's third quarter and beyond.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and related executive orders and federal government pandemic response guidance has had and continues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21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activity and high levels of unemployment may cause increases in loan delinquencies, foreclosures and defaults;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allowance for loan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 party disruptions,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cyber and payment fraud risk, as cybercriminals attempt to profit from the disruption, given increased online and remote activity;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operational failures due to changes in our normal business practices necessitated by the pandemic and related governmental actions; and/or</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key personnel or significant numbers of our employees being unable to work effectively, including because of illness or restrictions in connection with COVID-19.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continue for a significant period of time.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asset valuations, financial condition and results of operations. Material adverse impacts may include all or a combination of valuation impairments on our intangible assets, securities available for sale, loans, capitalized mortgage loan servicing rights or deferred tax assets.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industries (such as hotels and restaurants) have been more adversely impacted by the COVID-19 pandemic and related periodic shut downs of our economy. We believe that the following industry concentrations within our commercial loan portfolio represent greater potential risk in the current economic environment. The balances below are as of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Commercial and industrial portfolio segment:</w:t>
      </w:r>
    </w:p>
    <w:p>
      <w:pPr>
        <w:spacing w:after="0" w:line="25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Retail - $101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Food service - $58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Hotel - $47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Commercial real estate portfolio segment:</w:t>
      </w:r>
    </w:p>
    <w:p>
      <w:pPr>
        <w:spacing w:after="0" w:line="25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Retail - $83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Office - $66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Multifamily - $60 million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closely monitoring these industry concentrations and at present do not foresee any significant losses relative to this portion of our loan portfolio given the current economic conditions in Michigan and the fact that many businesses have reopened. However, a high degree of uncertainty still exists with respect to the impact of the COVID-19 pandemic and the related economic disruptions on the future performance of our loan portfolio, including these concentrations.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provision for loss reimbursement on sold loans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provision for loss reimbursement on sold loans was an expense of $0.08 million and $0.03 million for the three month periods ended June 30, 2020 and 2019 and an expense of $0.11 million and $0.15 million for the six month periods ended June 30, 2020 and 2019, respectively. The reserve for loss reimbursements on sold mortgage loans totaled $0.99 million and $0.88 million at June 30, 2020 and December 31, 2019,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1.6228 to Class A shares and the closing price of VISA Class A shares on July 17, 2020 of $195.09 per share, our 12,566 Class B shares would have a current “value” of approximately $4.0 million. We continue to monitor Class B trading activity and the status of the resolution of certain litigation matters at VISA that would trigger the conversion of Class B common shares into Class A common shares that would have no trading restrictions.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6360" w:firstLine="8"/>
        <w:spacing w:after="0" w:line="532"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 xml:space="preserve">Accumulated Other Comprehensive Income (Loss) (“AOCIL”) </w:t>
      </w:r>
      <w:r>
        <w:rPr>
          <w:rFonts w:ascii="Arial" w:cs="Arial" w:eastAsia="Arial" w:hAnsi="Arial"/>
          <w:sz w:val="18"/>
          <w:szCs w:val="18"/>
          <w:color w:val="auto"/>
        </w:rPr>
        <w:t>A summary of changes in AOCIL follows:</w:t>
      </w: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Dispropor-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tionate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Gains</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Tax Effects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on</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from</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Losses 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Available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Cash Flow</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for Sale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for Sale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Hedges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30"/>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3"/>
        </w:trPr>
        <w:tc>
          <w:tcPr>
            <w:tcW w:w="5980" w:type="dxa"/>
            <w:vAlign w:val="bottom"/>
          </w:tcPr>
          <w:p>
            <w:pPr>
              <w:spacing w:after="0"/>
              <w:rPr>
                <w:sz w:val="20"/>
                <w:szCs w:val="20"/>
                <w:color w:val="auto"/>
              </w:rPr>
            </w:pPr>
            <w:r>
              <w:rPr>
                <w:rFonts w:ascii="Arial" w:cs="Arial" w:eastAsia="Arial" w:hAnsi="Arial"/>
                <w:sz w:val="18"/>
                <w:szCs w:val="18"/>
                <w:color w:val="auto"/>
              </w:rPr>
              <w:t>For the three months ended June 30,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(4,854)</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8,444</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AOCIL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8,650</w:t>
            </w: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11,315</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(6,817)</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Amounts reclassified from AOCIL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3,040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(4,431)</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 the six months ended June 30,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(3,786)</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7,517</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Amounts reclassified from AOCIL</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11,315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3,796</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(10,108)</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6,015</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AOCIL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(1,548)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5,677</w:t>
            </w: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available for sale.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AOCIL for the three months ended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Amount</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Reclassified</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From</w:t>
            </w:r>
          </w:p>
        </w:tc>
        <w:tc>
          <w:tcPr>
            <w:tcW w:w="4940" w:type="dxa"/>
            <w:vAlign w:val="bottom"/>
          </w:tcPr>
          <w:p>
            <w:pPr>
              <w:ind w:left="1280"/>
              <w:spacing w:after="0"/>
              <w:rPr>
                <w:sz w:val="20"/>
                <w:szCs w:val="20"/>
                <w:color w:val="auto"/>
              </w:rPr>
            </w:pPr>
            <w:r>
              <w:rPr>
                <w:rFonts w:ascii="Arial" w:cs="Arial" w:eastAsia="Arial" w:hAnsi="Arial"/>
                <w:sz w:val="18"/>
                <w:szCs w:val="18"/>
                <w:color w:val="auto"/>
              </w:rPr>
              <w:t>Affected Line Item in Condensed</w:t>
            </w:r>
          </w:p>
        </w:tc>
        <w:tc>
          <w:tcPr>
            <w:tcW w:w="0" w:type="dxa"/>
            <w:vAlign w:val="bottom"/>
          </w:tcPr>
          <w:p>
            <w:pPr>
              <w:spacing w:after="0"/>
              <w:rPr>
                <w:sz w:val="1"/>
                <w:szCs w:val="1"/>
                <w:color w:val="auto"/>
              </w:rPr>
            </w:pPr>
          </w:p>
        </w:tc>
      </w:tr>
      <w:tr>
        <w:trPr>
          <w:trHeight w:val="237"/>
        </w:trPr>
        <w:tc>
          <w:tcPr>
            <w:tcW w:w="5180" w:type="dxa"/>
            <w:vAlign w:val="bottom"/>
            <w:gridSpan w:val="3"/>
          </w:tcPr>
          <w:p>
            <w:pPr>
              <w:spacing w:after="0"/>
              <w:rPr>
                <w:sz w:val="20"/>
                <w:szCs w:val="20"/>
                <w:color w:val="auto"/>
              </w:rPr>
            </w:pPr>
            <w:r>
              <w:rPr>
                <w:rFonts w:ascii="Arial" w:cs="Arial" w:eastAsia="Arial" w:hAnsi="Arial"/>
                <w:sz w:val="18"/>
                <w:szCs w:val="18"/>
                <w:color w:val="auto"/>
              </w:rPr>
              <w:t>AOCIL Component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rPr>
              <w:t>AOCIL</w:t>
            </w:r>
          </w:p>
        </w:tc>
        <w:tc>
          <w:tcPr>
            <w:tcW w:w="4940" w:type="dxa"/>
            <w:vAlign w:val="bottom"/>
          </w:tcPr>
          <w:p>
            <w:pPr>
              <w:ind w:left="1080"/>
              <w:spacing w:after="0"/>
              <w:rPr>
                <w:sz w:val="20"/>
                <w:szCs w:val="20"/>
                <w:color w:val="auto"/>
              </w:rPr>
            </w:pPr>
            <w:r>
              <w:rPr>
                <w:rFonts w:ascii="Arial" w:cs="Arial" w:eastAsia="Arial" w:hAnsi="Arial"/>
                <w:sz w:val="18"/>
                <w:szCs w:val="18"/>
                <w:color w:val="auto"/>
              </w:rPr>
              <w:t>Consolidated Statements of Operations</w:t>
            </w:r>
          </w:p>
        </w:tc>
        <w:tc>
          <w:tcPr>
            <w:tcW w:w="0" w:type="dxa"/>
            <w:vAlign w:val="bottom"/>
          </w:tcPr>
          <w:p>
            <w:pPr>
              <w:spacing w:after="0"/>
              <w:rPr>
                <w:sz w:val="1"/>
                <w:szCs w:val="1"/>
                <w:color w:val="auto"/>
              </w:rPr>
            </w:pPr>
          </w:p>
        </w:tc>
      </w:tr>
      <w:tr>
        <w:trPr>
          <w:trHeight w:val="230"/>
        </w:trPr>
        <w:tc>
          <w:tcPr>
            <w:tcW w:w="49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4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80" w:type="dxa"/>
            <w:vAlign w:val="bottom"/>
            <w:gridSpan w:val="3"/>
          </w:tcPr>
          <w:p>
            <w:pPr>
              <w:ind w:left="140"/>
              <w:spacing w:after="0"/>
              <w:rPr>
                <w:sz w:val="20"/>
                <w:szCs w:val="20"/>
                <w:color w:val="auto"/>
              </w:rPr>
            </w:pPr>
            <w:r>
              <w:rPr>
                <w:rFonts w:ascii="Arial" w:cs="Arial" w:eastAsia="Arial" w:hAnsi="Arial"/>
                <w:sz w:val="18"/>
                <w:szCs w:val="18"/>
                <w:color w:val="auto"/>
              </w:rPr>
              <w:t>Unrealized gains on securities available for sale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on securities</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Pr>
          <w:p>
            <w:pPr>
              <w:ind w:left="40"/>
              <w:spacing w:after="0"/>
              <w:rPr>
                <w:sz w:val="20"/>
                <w:szCs w:val="20"/>
                <w:color w:val="auto"/>
              </w:rPr>
            </w:pPr>
            <w:r>
              <w:rPr>
                <w:rFonts w:ascii="Arial" w:cs="Arial" w:eastAsia="Arial" w:hAnsi="Arial"/>
                <w:sz w:val="18"/>
                <w:szCs w:val="18"/>
                <w:color w:val="auto"/>
              </w:rPr>
              <w:t>Net impairment loss recognized in earnings</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reclassifications before tax</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net of tax</w:t>
            </w:r>
          </w:p>
        </w:tc>
        <w:tc>
          <w:tcPr>
            <w:tcW w:w="0" w:type="dxa"/>
            <w:vAlign w:val="bottom"/>
          </w:tcPr>
          <w:p>
            <w:pPr>
              <w:spacing w:after="0"/>
              <w:rPr>
                <w:sz w:val="1"/>
                <w:szCs w:val="1"/>
                <w:color w:val="auto"/>
              </w:rPr>
            </w:pPr>
          </w:p>
        </w:tc>
      </w:tr>
      <w:tr>
        <w:trPr>
          <w:trHeight w:val="209"/>
        </w:trPr>
        <w:tc>
          <w:tcPr>
            <w:tcW w:w="518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Unrealized losses on cash flow hedges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49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206</w:t>
            </w:r>
          </w:p>
        </w:tc>
        <w:tc>
          <w:tcPr>
            <w:tcW w:w="4940" w:type="dxa"/>
            <w:vAlign w:val="bottom"/>
          </w:tcPr>
          <w:p>
            <w:pPr>
              <w:ind w:left="40"/>
              <w:spacing w:after="0"/>
              <w:rPr>
                <w:sz w:val="20"/>
                <w:szCs w:val="20"/>
                <w:color w:val="auto"/>
              </w:rPr>
            </w:pPr>
            <w:r>
              <w:rPr>
                <w:rFonts w:ascii="Arial" w:cs="Arial" w:eastAsia="Arial" w:hAnsi="Arial"/>
                <w:sz w:val="18"/>
                <w:szCs w:val="18"/>
                <w:color w:val="auto"/>
              </w:rPr>
              <w:t>Reclassification, net of tax</w:t>
            </w:r>
          </w:p>
        </w:tc>
        <w:tc>
          <w:tcPr>
            <w:tcW w:w="0" w:type="dxa"/>
            <w:vAlign w:val="bottom"/>
          </w:tcPr>
          <w:p>
            <w:pPr>
              <w:spacing w:after="0"/>
              <w:rPr>
                <w:sz w:val="1"/>
                <w:szCs w:val="1"/>
                <w:color w:val="auto"/>
              </w:rPr>
            </w:pPr>
          </w:p>
        </w:tc>
      </w:tr>
      <w:tr>
        <w:trPr>
          <w:trHeight w:val="21"/>
        </w:trPr>
        <w:tc>
          <w:tcPr>
            <w:tcW w:w="5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180" w:type="dxa"/>
            <w:vAlign w:val="bottom"/>
            <w:gridSpan w:val="3"/>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4940" w:type="dxa"/>
            <w:vAlign w:val="bottom"/>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Unrealized gains on securities available for sale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Pr>
          <w:p>
            <w:pPr>
              <w:ind w:left="40"/>
              <w:spacing w:after="0"/>
              <w:rPr>
                <w:sz w:val="20"/>
                <w:szCs w:val="20"/>
                <w:color w:val="auto"/>
              </w:rPr>
            </w:pPr>
            <w:r>
              <w:rPr>
                <w:rFonts w:ascii="Arial" w:cs="Arial" w:eastAsia="Arial" w:hAnsi="Arial"/>
                <w:sz w:val="18"/>
                <w:szCs w:val="18"/>
                <w:color w:val="auto"/>
              </w:rPr>
              <w:t>Net gains on securities</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impairment loss recognized in earnings</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ind w:left="960"/>
              <w:spacing w:after="0"/>
              <w:rPr>
                <w:sz w:val="20"/>
                <w:szCs w:val="20"/>
                <w:color w:val="auto"/>
              </w:rPr>
            </w:pPr>
            <w:r>
              <w:rPr>
                <w:rFonts w:ascii="Arial" w:cs="Arial" w:eastAsia="Arial" w:hAnsi="Arial"/>
                <w:sz w:val="18"/>
                <w:szCs w:val="18"/>
                <w:color w:val="auto"/>
              </w:rPr>
              <w:t>-  Total reclassifications before tax</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Pr>
          <w:p>
            <w:pPr>
              <w:ind w:left="40"/>
              <w:spacing w:after="0"/>
              <w:rPr>
                <w:sz w:val="20"/>
                <w:szCs w:val="20"/>
                <w:color w:val="auto"/>
              </w:rPr>
            </w:pPr>
            <w:r>
              <w:rPr>
                <w:rFonts w:ascii="Arial" w:cs="Arial" w:eastAsia="Arial" w:hAnsi="Arial"/>
                <w:sz w:val="18"/>
                <w:szCs w:val="18"/>
                <w:color w:val="auto"/>
              </w:rPr>
              <w:t>Reclassifications, net of tax</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80" w:type="dxa"/>
            <w:vAlign w:val="bottom"/>
            <w:gridSpan w:val="3"/>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ind w:left="140"/>
              <w:spacing w:after="0"/>
              <w:rPr>
                <w:sz w:val="20"/>
                <w:szCs w:val="20"/>
                <w:color w:val="auto"/>
              </w:rPr>
            </w:pPr>
            <w:r>
              <w:rPr>
                <w:rFonts w:ascii="Arial" w:cs="Arial" w:eastAsia="Arial" w:hAnsi="Arial"/>
                <w:sz w:val="18"/>
                <w:szCs w:val="18"/>
                <w:color w:val="auto"/>
              </w:rPr>
              <w:t>Unrealized losses on cash flow hedges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w:t>
            </w:r>
          </w:p>
        </w:tc>
        <w:tc>
          <w:tcPr>
            <w:tcW w:w="49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net of tax</w:t>
            </w:r>
          </w:p>
        </w:tc>
        <w:tc>
          <w:tcPr>
            <w:tcW w:w="0" w:type="dxa"/>
            <w:vAlign w:val="bottom"/>
          </w:tcPr>
          <w:p>
            <w:pPr>
              <w:spacing w:after="0"/>
              <w:rPr>
                <w:sz w:val="1"/>
                <w:szCs w:val="1"/>
                <w:color w:val="auto"/>
              </w:rPr>
            </w:pPr>
          </w:p>
        </w:tc>
      </w:tr>
      <w:tr>
        <w:trPr>
          <w:trHeight w:val="210"/>
        </w:trPr>
        <w:tc>
          <w:tcPr>
            <w:tcW w:w="5180" w:type="dxa"/>
            <w:vAlign w:val="bottom"/>
            <w:gridSpan w:val="3"/>
          </w:tcPr>
          <w:p>
            <w:pPr>
              <w:spacing w:after="0"/>
              <w:rPr>
                <w:sz w:val="18"/>
                <w:szCs w:val="18"/>
                <w:color w:val="auto"/>
              </w:rPr>
            </w:pPr>
          </w:p>
        </w:tc>
        <w:tc>
          <w:tcPr>
            <w:tcW w:w="1120" w:type="dxa"/>
            <w:vAlign w:val="bottom"/>
            <w:gridSpan w:val="2"/>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0" w:type="dxa"/>
            <w:vAlign w:val="bottom"/>
          </w:tcPr>
          <w:p>
            <w:pPr>
              <w:spacing w:after="0"/>
              <w:rPr>
                <w:sz w:val="1"/>
                <w:szCs w:val="1"/>
                <w:color w:val="auto"/>
              </w:rPr>
            </w:pPr>
          </w:p>
        </w:tc>
      </w:tr>
      <w:tr>
        <w:trPr>
          <w:trHeight w:val="641"/>
        </w:trPr>
        <w:tc>
          <w:tcPr>
            <w:tcW w:w="49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89"/>
              </w:rPr>
              <w:t>57</w:t>
            </w:r>
          </w:p>
        </w:tc>
        <w:tc>
          <w:tcPr>
            <w:tcW w:w="100" w:type="dxa"/>
            <w:vAlign w:val="bottom"/>
            <w:tcBorders>
              <w:top w:val="single" w:sz="8" w:color="auto"/>
            </w:tcBorders>
          </w:tcPr>
          <w:p>
            <w:pPr>
              <w:spacing w:after="0"/>
              <w:rPr>
                <w:sz w:val="24"/>
                <w:szCs w:val="24"/>
                <w:color w:val="auto"/>
              </w:rPr>
            </w:pPr>
          </w:p>
        </w:tc>
        <w:tc>
          <w:tcPr>
            <w:tcW w:w="49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AOCIL for the six months ended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Amount</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Reclassified</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From</w:t>
            </w:r>
          </w:p>
        </w:tc>
        <w:tc>
          <w:tcPr>
            <w:tcW w:w="4940" w:type="dxa"/>
            <w:vAlign w:val="bottom"/>
          </w:tcPr>
          <w:p>
            <w:pPr>
              <w:ind w:left="1280"/>
              <w:spacing w:after="0"/>
              <w:rPr>
                <w:sz w:val="20"/>
                <w:szCs w:val="20"/>
                <w:color w:val="auto"/>
              </w:rPr>
            </w:pPr>
            <w:r>
              <w:rPr>
                <w:rFonts w:ascii="Arial" w:cs="Arial" w:eastAsia="Arial" w:hAnsi="Arial"/>
                <w:sz w:val="18"/>
                <w:szCs w:val="18"/>
                <w:color w:val="auto"/>
              </w:rPr>
              <w:t>Affected Line Item in Condensed</w:t>
            </w:r>
          </w:p>
        </w:tc>
        <w:tc>
          <w:tcPr>
            <w:tcW w:w="0" w:type="dxa"/>
            <w:vAlign w:val="bottom"/>
          </w:tcPr>
          <w:p>
            <w:pPr>
              <w:spacing w:after="0"/>
              <w:rPr>
                <w:sz w:val="1"/>
                <w:szCs w:val="1"/>
                <w:color w:val="auto"/>
              </w:rPr>
            </w:pPr>
          </w:p>
        </w:tc>
      </w:tr>
      <w:tr>
        <w:trPr>
          <w:trHeight w:val="237"/>
        </w:trPr>
        <w:tc>
          <w:tcPr>
            <w:tcW w:w="5180" w:type="dxa"/>
            <w:vAlign w:val="bottom"/>
            <w:gridSpan w:val="3"/>
          </w:tcPr>
          <w:p>
            <w:pPr>
              <w:spacing w:after="0"/>
              <w:rPr>
                <w:sz w:val="20"/>
                <w:szCs w:val="20"/>
                <w:color w:val="auto"/>
              </w:rPr>
            </w:pPr>
            <w:r>
              <w:rPr>
                <w:rFonts w:ascii="Arial" w:cs="Arial" w:eastAsia="Arial" w:hAnsi="Arial"/>
                <w:sz w:val="18"/>
                <w:szCs w:val="18"/>
                <w:color w:val="auto"/>
              </w:rPr>
              <w:t>AOCIL Component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rPr>
              <w:t>AOCIL</w:t>
            </w:r>
          </w:p>
        </w:tc>
        <w:tc>
          <w:tcPr>
            <w:tcW w:w="4940" w:type="dxa"/>
            <w:vAlign w:val="bottom"/>
          </w:tcPr>
          <w:p>
            <w:pPr>
              <w:ind w:left="1080"/>
              <w:spacing w:after="0"/>
              <w:rPr>
                <w:sz w:val="20"/>
                <w:szCs w:val="20"/>
                <w:color w:val="auto"/>
              </w:rPr>
            </w:pPr>
            <w:r>
              <w:rPr>
                <w:rFonts w:ascii="Arial" w:cs="Arial" w:eastAsia="Arial" w:hAnsi="Arial"/>
                <w:sz w:val="18"/>
                <w:szCs w:val="18"/>
                <w:color w:val="auto"/>
              </w:rPr>
              <w:t>Consolidated Statements of Operations</w:t>
            </w:r>
          </w:p>
        </w:tc>
        <w:tc>
          <w:tcPr>
            <w:tcW w:w="0" w:type="dxa"/>
            <w:vAlign w:val="bottom"/>
          </w:tcPr>
          <w:p>
            <w:pPr>
              <w:spacing w:after="0"/>
              <w:rPr>
                <w:sz w:val="1"/>
                <w:szCs w:val="1"/>
                <w:color w:val="auto"/>
              </w:rPr>
            </w:pPr>
          </w:p>
        </w:tc>
      </w:tr>
      <w:tr>
        <w:trPr>
          <w:trHeight w:val="230"/>
        </w:trPr>
        <w:tc>
          <w:tcPr>
            <w:tcW w:w="49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4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80" w:type="dxa"/>
            <w:vAlign w:val="bottom"/>
            <w:gridSpan w:val="3"/>
          </w:tcPr>
          <w:p>
            <w:pPr>
              <w:ind w:left="140"/>
              <w:spacing w:after="0"/>
              <w:rPr>
                <w:sz w:val="20"/>
                <w:szCs w:val="20"/>
                <w:color w:val="auto"/>
              </w:rPr>
            </w:pPr>
            <w:r>
              <w:rPr>
                <w:rFonts w:ascii="Arial" w:cs="Arial" w:eastAsia="Arial" w:hAnsi="Arial"/>
                <w:sz w:val="18"/>
                <w:szCs w:val="18"/>
                <w:color w:val="auto"/>
              </w:rPr>
              <w:t>Unrealized gains on securities available for sale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on securities</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Pr>
          <w:p>
            <w:pPr>
              <w:ind w:left="40"/>
              <w:spacing w:after="0"/>
              <w:rPr>
                <w:sz w:val="20"/>
                <w:szCs w:val="20"/>
                <w:color w:val="auto"/>
              </w:rPr>
            </w:pPr>
            <w:r>
              <w:rPr>
                <w:rFonts w:ascii="Arial" w:cs="Arial" w:eastAsia="Arial" w:hAnsi="Arial"/>
                <w:sz w:val="18"/>
                <w:szCs w:val="18"/>
                <w:color w:val="auto"/>
              </w:rPr>
              <w:t>Net impairment loss recognized in earnings</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reclassifications before tax</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53</w:t>
            </w:r>
          </w:p>
        </w:tc>
        <w:tc>
          <w:tcPr>
            <w:tcW w:w="49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net of tax</w:t>
            </w:r>
          </w:p>
        </w:tc>
        <w:tc>
          <w:tcPr>
            <w:tcW w:w="0" w:type="dxa"/>
            <w:vAlign w:val="bottom"/>
          </w:tcPr>
          <w:p>
            <w:pPr>
              <w:spacing w:after="0"/>
              <w:rPr>
                <w:sz w:val="1"/>
                <w:szCs w:val="1"/>
                <w:color w:val="auto"/>
              </w:rPr>
            </w:pPr>
          </w:p>
        </w:tc>
      </w:tr>
      <w:tr>
        <w:trPr>
          <w:trHeight w:val="210"/>
        </w:trPr>
        <w:tc>
          <w:tcPr>
            <w:tcW w:w="518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Unrealized losses on cash flow hedges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49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265</w:t>
            </w:r>
          </w:p>
        </w:tc>
        <w:tc>
          <w:tcPr>
            <w:tcW w:w="4940" w:type="dxa"/>
            <w:vAlign w:val="bottom"/>
          </w:tcPr>
          <w:p>
            <w:pPr>
              <w:ind w:left="40"/>
              <w:spacing w:after="0"/>
              <w:rPr>
                <w:sz w:val="20"/>
                <w:szCs w:val="20"/>
                <w:color w:val="auto"/>
              </w:rPr>
            </w:pPr>
            <w:r>
              <w:rPr>
                <w:rFonts w:ascii="Arial" w:cs="Arial" w:eastAsia="Arial" w:hAnsi="Arial"/>
                <w:sz w:val="18"/>
                <w:szCs w:val="18"/>
                <w:color w:val="auto"/>
              </w:rPr>
              <w:t>Reclassification, net of tax</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80" w:type="dxa"/>
            <w:vAlign w:val="bottom"/>
            <w:gridSpan w:val="3"/>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4940" w:type="dxa"/>
            <w:vAlign w:val="bottom"/>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Unrealized gains on securities available for sale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4940" w:type="dxa"/>
            <w:vAlign w:val="bottom"/>
          </w:tcPr>
          <w:p>
            <w:pPr>
              <w:ind w:left="40"/>
              <w:spacing w:after="0"/>
              <w:rPr>
                <w:sz w:val="20"/>
                <w:szCs w:val="20"/>
                <w:color w:val="auto"/>
              </w:rPr>
            </w:pPr>
            <w:r>
              <w:rPr>
                <w:rFonts w:ascii="Arial" w:cs="Arial" w:eastAsia="Arial" w:hAnsi="Arial"/>
                <w:sz w:val="18"/>
                <w:szCs w:val="18"/>
                <w:color w:val="auto"/>
              </w:rPr>
              <w:t>Net gains on securities</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impairment loss recognized in earnings</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4940" w:type="dxa"/>
            <w:vAlign w:val="bottom"/>
          </w:tcPr>
          <w:p>
            <w:pPr>
              <w:ind w:left="40"/>
              <w:spacing w:after="0"/>
              <w:rPr>
                <w:sz w:val="20"/>
                <w:szCs w:val="20"/>
                <w:color w:val="auto"/>
              </w:rPr>
            </w:pPr>
            <w:r>
              <w:rPr>
                <w:rFonts w:ascii="Arial" w:cs="Arial" w:eastAsia="Arial" w:hAnsi="Arial"/>
                <w:sz w:val="18"/>
                <w:szCs w:val="18"/>
                <w:color w:val="auto"/>
              </w:rPr>
              <w:t>Total reclassifications before tax</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108</w:t>
            </w:r>
          </w:p>
        </w:tc>
        <w:tc>
          <w:tcPr>
            <w:tcW w:w="4940" w:type="dxa"/>
            <w:vAlign w:val="bottom"/>
          </w:tcPr>
          <w:p>
            <w:pPr>
              <w:ind w:left="40"/>
              <w:spacing w:after="0"/>
              <w:rPr>
                <w:sz w:val="20"/>
                <w:szCs w:val="20"/>
                <w:color w:val="auto"/>
              </w:rPr>
            </w:pPr>
            <w:r>
              <w:rPr>
                <w:rFonts w:ascii="Arial" w:cs="Arial" w:eastAsia="Arial" w:hAnsi="Arial"/>
                <w:sz w:val="18"/>
                <w:szCs w:val="18"/>
                <w:color w:val="auto"/>
              </w:rPr>
              <w:t>Reclassifications, net of tax</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80" w:type="dxa"/>
            <w:vAlign w:val="bottom"/>
            <w:gridSpan w:val="3"/>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ind w:left="140"/>
              <w:spacing w:after="0"/>
              <w:rPr>
                <w:sz w:val="20"/>
                <w:szCs w:val="20"/>
                <w:color w:val="auto"/>
              </w:rPr>
            </w:pPr>
            <w:r>
              <w:rPr>
                <w:rFonts w:ascii="Arial" w:cs="Arial" w:eastAsia="Arial" w:hAnsi="Arial"/>
                <w:sz w:val="18"/>
                <w:szCs w:val="18"/>
                <w:color w:val="auto"/>
              </w:rPr>
              <w:t>Unrealized losses on cash flow hedges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(61)</w:t>
            </w:r>
          </w:p>
        </w:tc>
        <w:tc>
          <w:tcPr>
            <w:tcW w:w="49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net of tax</w:t>
            </w:r>
          </w:p>
        </w:tc>
        <w:tc>
          <w:tcPr>
            <w:tcW w:w="0" w:type="dxa"/>
            <w:vAlign w:val="bottom"/>
          </w:tcPr>
          <w:p>
            <w:pPr>
              <w:spacing w:after="0"/>
              <w:rPr>
                <w:sz w:val="1"/>
                <w:szCs w:val="1"/>
                <w:color w:val="auto"/>
              </w:rPr>
            </w:pPr>
          </w:p>
        </w:tc>
      </w:tr>
      <w:tr>
        <w:trPr>
          <w:trHeight w:val="210"/>
        </w:trPr>
        <w:tc>
          <w:tcPr>
            <w:tcW w:w="5180" w:type="dxa"/>
            <w:vAlign w:val="bottom"/>
            <w:gridSpan w:val="3"/>
          </w:tcPr>
          <w:p>
            <w:pPr>
              <w:spacing w:after="0"/>
              <w:rPr>
                <w:sz w:val="18"/>
                <w:szCs w:val="18"/>
                <w:color w:val="auto"/>
              </w:rPr>
            </w:pPr>
          </w:p>
        </w:tc>
        <w:tc>
          <w:tcPr>
            <w:tcW w:w="1120" w:type="dxa"/>
            <w:vAlign w:val="bottom"/>
            <w:gridSpan w:val="2"/>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0" w:type="dxa"/>
            <w:vAlign w:val="bottom"/>
          </w:tcPr>
          <w:p>
            <w:pPr>
              <w:spacing w:after="0"/>
              <w:rPr>
                <w:sz w:val="1"/>
                <w:szCs w:val="1"/>
                <w:color w:val="auto"/>
              </w:rPr>
            </w:pPr>
          </w:p>
        </w:tc>
      </w:tr>
      <w:tr>
        <w:trPr>
          <w:trHeight w:val="642"/>
        </w:trPr>
        <w:tc>
          <w:tcPr>
            <w:tcW w:w="49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89"/>
              </w:rPr>
              <w:t>58</w:t>
            </w:r>
          </w:p>
        </w:tc>
        <w:tc>
          <w:tcPr>
            <w:tcW w:w="100" w:type="dxa"/>
            <w:vAlign w:val="bottom"/>
            <w:tcBorders>
              <w:top w:val="single" w:sz="8" w:color="auto"/>
            </w:tcBorders>
          </w:tcPr>
          <w:p>
            <w:pPr>
              <w:spacing w:after="0"/>
              <w:rPr>
                <w:sz w:val="24"/>
                <w:szCs w:val="24"/>
                <w:color w:val="auto"/>
              </w:rPr>
            </w:pPr>
          </w:p>
        </w:tc>
        <w:tc>
          <w:tcPr>
            <w:tcW w:w="49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Revenue from Contracts with Customers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on securities, mortgage loan servicing, net and bank owned life insurance and were approximately 87.7% and 84.6% of total revenues for the three month periods ending June 30, 2020 and 2019, respectively.</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June 30, 2020 and December 31, 2019.</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u w:val="single" w:color="auto"/>
          <w:color w:val="auto"/>
        </w:rPr>
        <w:t>Service charges on deposit accounts and other deposit related income</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Interchange income:</w:t>
      </w:r>
      <w:r>
        <w:rPr>
          <w:rFonts w:ascii="Arial" w:cs="Arial" w:eastAsia="Arial" w:hAnsi="Arial"/>
          <w:sz w:val="18"/>
          <w:szCs w:val="18"/>
          <w:color w:val="auto"/>
        </w:rPr>
        <w:t xml:space="preserve"> Interchange income primarily includes debit card interchange and network revenues. Debit card interchange and network revenues are earned on debit card transactions conducted through payment networks such as MasterCard and NYCE. Interchange income is recognized concurrently with the delivery of services on a daily basis. Interchange and network revenues are presented gross of interchange expenses, which are presented separately as a component of non-interest expense.</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Investment and insurance commissions:</w:t>
      </w:r>
      <w:r>
        <w:rPr>
          <w:rFonts w:ascii="Arial" w:cs="Arial" w:eastAsia="Arial" w:hAnsi="Arial"/>
          <w:sz w:val="16"/>
          <w:szCs w:val="16"/>
          <w:color w:val="auto"/>
        </w:rPr>
        <w:t xml:space="preserve"> Investment and insurance commissions include fees and commissions from asset management, custody, recordkeeping, investment advisory and other services provided to our customers. Revenue is recognized on an accrual basis at the time the services are performed and is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u w:val="single" w:color="auto"/>
          <w:color w:val="auto"/>
        </w:rPr>
        <w:t>Net (gains) losses on other real estate and repossessed assets:</w:t>
      </w:r>
      <w:r>
        <w:rPr>
          <w:rFonts w:ascii="Arial" w:cs="Arial" w:eastAsia="Arial" w:hAnsi="Arial"/>
          <w:sz w:val="16"/>
          <w:szCs w:val="16"/>
          <w:color w:val="auto"/>
        </w:rPr>
        <w:t xml:space="preserve">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six month periods ending June 30, 2020 and 2019 that were financed by us.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w w:val="98"/>
              </w:rPr>
              <w:t>Disaggregation of our revenue sources by attribute follows: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20" w:type="dxa"/>
            <w:vAlign w:val="bottom"/>
          </w:tcPr>
          <w:p>
            <w:pPr>
              <w:spacing w:after="0"/>
              <w:rPr>
                <w:sz w:val="20"/>
                <w:szCs w:val="20"/>
                <w:color w:val="auto"/>
              </w:rPr>
            </w:pPr>
            <w:r>
              <w:rPr>
                <w:rFonts w:ascii="Arial" w:cs="Arial" w:eastAsia="Arial" w:hAnsi="Arial"/>
                <w:sz w:val="18"/>
                <w:szCs w:val="18"/>
                <w:color w:val="auto"/>
              </w:rPr>
              <w:t>Three months ending June 30, 2020</w:t>
            </w:r>
          </w:p>
        </w:tc>
        <w:tc>
          <w:tcPr>
            <w:tcW w:w="140" w:type="dxa"/>
            <w:vAlign w:val="bottom"/>
          </w:tcPr>
          <w:p>
            <w:pPr>
              <w:spacing w:after="0"/>
              <w:rPr>
                <w:sz w:val="24"/>
                <w:szCs w:val="24"/>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Service</w:t>
            </w:r>
          </w:p>
        </w:tc>
        <w:tc>
          <w:tcPr>
            <w:tcW w:w="200" w:type="dxa"/>
            <w:vAlign w:val="bottom"/>
          </w:tcPr>
          <w:p>
            <w:pPr>
              <w:spacing w:after="0"/>
              <w:rPr>
                <w:sz w:val="24"/>
                <w:szCs w:val="2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1" w:name="page62"/>
    <w:bookmarkEnd w:id="61"/>
    <w:p>
      <w:pPr>
        <w:ind w:left="100"/>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Three months ending June 30, 2019</w:t>
            </w:r>
          </w:p>
        </w:tc>
        <w:tc>
          <w:tcPr>
            <w:tcW w:w="180" w:type="dxa"/>
            <w:vAlign w:val="bottom"/>
          </w:tcPr>
          <w:p>
            <w:pPr>
              <w:spacing w:after="0"/>
              <w:rPr>
                <w:sz w:val="20"/>
                <w:szCs w:val="20"/>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w w:val="89"/>
              </w:rPr>
              <w:t>Service</w:t>
            </w:r>
          </w:p>
        </w:tc>
        <w:tc>
          <w:tcPr>
            <w:tcW w:w="200" w:type="dxa"/>
            <w:vAlign w:val="bottom"/>
          </w:tcPr>
          <w:p>
            <w:pPr>
              <w:spacing w:after="0"/>
              <w:rPr>
                <w:sz w:val="20"/>
                <w:szCs w:val="2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0" w:type="dxa"/>
            <w:vAlign w:val="bottom"/>
            <w:vMerge w:val="restart"/>
          </w:tcPr>
          <w:p>
            <w:pPr>
              <w:spacing w:after="0"/>
              <w:rPr>
                <w:sz w:val="18"/>
                <w:szCs w:val="18"/>
                <w:color w:val="auto"/>
              </w:rPr>
            </w:pPr>
          </w:p>
        </w:tc>
        <w:tc>
          <w:tcPr>
            <w:tcW w:w="48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Reconciliation to Condensed Consolidated Statement of Operations: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8"/>
        </w:trPr>
        <w:tc>
          <w:tcPr>
            <w:tcW w:w="1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46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Six months ending June 30, 2020</w:t>
            </w:r>
          </w:p>
        </w:tc>
        <w:tc>
          <w:tcPr>
            <w:tcW w:w="140" w:type="dxa"/>
            <w:vAlign w:val="bottom"/>
          </w:tcPr>
          <w:p>
            <w:pPr>
              <w:spacing w:after="0"/>
              <w:rPr>
                <w:sz w:val="20"/>
                <w:szCs w:val="20"/>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Service</w:t>
            </w:r>
          </w:p>
        </w:tc>
        <w:tc>
          <w:tcPr>
            <w:tcW w:w="200" w:type="dxa"/>
            <w:vAlign w:val="bottom"/>
          </w:tcPr>
          <w:p>
            <w:pPr>
              <w:spacing w:after="0"/>
              <w:rPr>
                <w:sz w:val="20"/>
                <w:szCs w:val="2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8"/>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Six months ending June 30, 2019</w:t>
            </w:r>
          </w:p>
        </w:tc>
        <w:tc>
          <w:tcPr>
            <w:tcW w:w="140" w:type="dxa"/>
            <w:vAlign w:val="bottom"/>
          </w:tcPr>
          <w:p>
            <w:pPr>
              <w:spacing w:after="0"/>
              <w:rPr>
                <w:sz w:val="20"/>
                <w:szCs w:val="20"/>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Service</w:t>
            </w:r>
          </w:p>
        </w:tc>
        <w:tc>
          <w:tcPr>
            <w:tcW w:w="200" w:type="dxa"/>
            <w:vAlign w:val="bottom"/>
          </w:tcPr>
          <w:p>
            <w:pPr>
              <w:spacing w:after="0"/>
              <w:rPr>
                <w:sz w:val="20"/>
                <w:szCs w:val="2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1,066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762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Leases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Leases are classified as operating or finance leases at the lease commencement date (we did not have any finance leases as of June 30, 2020).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The cost components of our operating leases follows: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180" w:type="dxa"/>
            <w:vAlign w:val="bottom"/>
            <w:gridSpan w:val="4"/>
          </w:tcPr>
          <w:p>
            <w:pPr>
              <w:jc w:val="center"/>
              <w:ind w:left="257"/>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3"/>
          </w:tcPr>
          <w:p>
            <w:pPr>
              <w:jc w:val="center"/>
              <w:ind w:right="370"/>
              <w:spacing w:after="0"/>
              <w:rPr>
                <w:sz w:val="20"/>
                <w:szCs w:val="20"/>
                <w:color w:val="auto"/>
              </w:rPr>
            </w:pPr>
            <w:r>
              <w:rPr>
                <w:rFonts w:ascii="Arial" w:cs="Arial" w:eastAsia="Arial" w:hAnsi="Arial"/>
                <w:sz w:val="18"/>
                <w:szCs w:val="18"/>
                <w:color w:val="auto"/>
                <w:w w:val="86"/>
              </w:rPr>
              <w:t>June 30,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ind w:left="60"/>
              <w:spacing w:after="0"/>
              <w:rPr>
                <w:sz w:val="20"/>
                <w:szCs w:val="20"/>
                <w:color w:val="auto"/>
              </w:rPr>
            </w:pPr>
            <w:r>
              <w:rPr>
                <w:rFonts w:ascii="Arial" w:cs="Arial" w:eastAsia="Arial" w:hAnsi="Arial"/>
                <w:sz w:val="18"/>
                <w:szCs w:val="18"/>
                <w:color w:val="auto"/>
              </w:rPr>
              <w:t>Six Months Ended June 30,</w:t>
            </w:r>
          </w:p>
        </w:tc>
      </w:tr>
      <w:tr>
        <w:trPr>
          <w:trHeight w:val="237"/>
        </w:trPr>
        <w:tc>
          <w:tcPr>
            <w:tcW w:w="59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(In</w:t>
            </w:r>
          </w:p>
        </w:tc>
        <w:tc>
          <w:tcPr>
            <w:tcW w:w="1060" w:type="dxa"/>
            <w:vAlign w:val="bottom"/>
            <w:gridSpan w:val="2"/>
          </w:tcPr>
          <w:p>
            <w:pPr>
              <w:jc w:val="center"/>
              <w:ind w:right="330"/>
              <w:spacing w:after="0"/>
              <w:rPr>
                <w:sz w:val="20"/>
                <w:szCs w:val="20"/>
                <w:color w:val="auto"/>
              </w:rPr>
            </w:pPr>
            <w:r>
              <w:rPr>
                <w:rFonts w:ascii="Arial" w:cs="Arial" w:eastAsia="Arial" w:hAnsi="Arial"/>
                <w:sz w:val="18"/>
                <w:szCs w:val="18"/>
                <w:color w:val="auto"/>
                <w:w w:val="71"/>
              </w:rPr>
              <w:t>thousands)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10"/>
              <w:spacing w:after="0"/>
              <w:rPr>
                <w:sz w:val="20"/>
                <w:szCs w:val="20"/>
                <w:color w:val="auto"/>
              </w:rPr>
            </w:pPr>
            <w:r>
              <w:rPr>
                <w:rFonts w:ascii="Arial" w:cs="Arial" w:eastAsia="Arial" w:hAnsi="Arial"/>
                <w:sz w:val="17"/>
                <w:szCs w:val="17"/>
                <w:color w:val="auto"/>
                <w:w w:val="73"/>
              </w:rPr>
              <w:t>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962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Variable lease cost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160" w:type="dxa"/>
            <w:vAlign w:val="bottom"/>
            <w:gridSpan w:val="2"/>
          </w:tcPr>
          <w:p>
            <w:pPr>
              <w:jc w:val="right"/>
              <w:ind w:right="136"/>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7"/>
        </w:trPr>
        <w:tc>
          <w:tcPr>
            <w:tcW w:w="59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26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506</w:t>
            </w:r>
          </w:p>
        </w:tc>
        <w:tc>
          <w:tcPr>
            <w:tcW w:w="260" w:type="dxa"/>
            <w:vAlign w:val="bottom"/>
          </w:tcPr>
          <w:p>
            <w:pPr>
              <w:spacing w:after="0"/>
              <w:rPr>
                <w:sz w:val="18"/>
                <w:szCs w:val="18"/>
                <w:color w:val="auto"/>
              </w:rPr>
            </w:pPr>
          </w:p>
        </w:tc>
        <w:tc>
          <w:tcPr>
            <w:tcW w:w="800" w:type="dxa"/>
            <w:vAlign w:val="bottom"/>
          </w:tcPr>
          <w:p>
            <w:pPr>
              <w:jc w:val="center"/>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36"/>
              <w:spacing w:after="0"/>
              <w:rPr>
                <w:sz w:val="20"/>
                <w:szCs w:val="20"/>
                <w:color w:val="auto"/>
              </w:rPr>
            </w:pPr>
            <w:r>
              <w:rPr>
                <w:rFonts w:ascii="Arial" w:cs="Arial" w:eastAsia="Arial" w:hAnsi="Arial"/>
                <w:sz w:val="18"/>
                <w:szCs w:val="18"/>
                <w:color w:val="auto"/>
              </w:rPr>
              <w:t>1,014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r>
      <w:tr>
        <w:trPr>
          <w:trHeight w:val="21"/>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costs consist primarily of taxes, insurance, and common area or other maintenance costs for our leased facilities.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Supplemental balance sheet information related to our operating leases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8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473"/>
              <w:spacing w:after="0"/>
              <w:rPr>
                <w:sz w:val="20"/>
                <w:szCs w:val="20"/>
                <w:color w:val="auto"/>
              </w:rPr>
            </w:pPr>
            <w:r>
              <w:rPr>
                <w:rFonts w:ascii="Arial" w:cs="Arial" w:eastAsia="Arial" w:hAnsi="Arial"/>
                <w:sz w:val="18"/>
                <w:szCs w:val="18"/>
                <w:color w:val="auto"/>
                <w:w w:val="95"/>
              </w:rPr>
              <w:t>June 30,</w:t>
            </w: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r>
      <w:tr>
        <w:trPr>
          <w:trHeight w:val="237"/>
        </w:trPr>
        <w:tc>
          <w:tcPr>
            <w:tcW w:w="8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w w:val="78"/>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r>
      <w:tr>
        <w:trPr>
          <w:trHeight w:val="257"/>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right of use asset (1)</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spacing w:after="0"/>
              <w:rPr>
                <w:sz w:val="20"/>
                <w:szCs w:val="20"/>
                <w:color w:val="auto"/>
              </w:rPr>
            </w:pPr>
            <w:r>
              <w:rPr>
                <w:rFonts w:ascii="Arial" w:cs="Arial" w:eastAsia="Arial" w:hAnsi="Arial"/>
                <w:sz w:val="18"/>
                <w:szCs w:val="18"/>
                <w:color w:val="auto"/>
              </w:rPr>
              <w:t>Lease liabilities (2)</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160" w:type="dxa"/>
            <w:vAlign w:val="bottom"/>
          </w:tcPr>
          <w:p>
            <w:pPr>
              <w:spacing w:after="0"/>
              <w:rPr>
                <w:sz w:val="18"/>
                <w:szCs w:val="18"/>
                <w:color w:val="auto"/>
              </w:rPr>
            </w:pPr>
          </w:p>
        </w:tc>
      </w:tr>
      <w:tr>
        <w:trPr>
          <w:trHeight w:val="21"/>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8"/>
                <w:szCs w:val="18"/>
                <w:color w:val="auto"/>
              </w:rPr>
            </w:pPr>
          </w:p>
        </w:tc>
      </w:tr>
      <w:tr>
        <w:trPr>
          <w:trHeight w:val="21"/>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Accrued income and other assets in our Condensed Consolidated Statements of Financial Condition.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 in our Condensed Consolidated Statements of Financial Condition.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Maturity analysis of our lease liabilities at June 30, 2020 based on required contractual payments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w:t>
            </w:r>
          </w:p>
        </w:tc>
      </w:tr>
      <w:tr>
        <w:trPr>
          <w:trHeight w:val="234"/>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thousands)</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ending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2025 and thereafter</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(787)</w:t>
            </w:r>
          </w:p>
        </w:tc>
      </w:tr>
      <w:tr>
        <w:trPr>
          <w:trHeight w:val="257"/>
        </w:trPr>
        <w:tc>
          <w:tcPr>
            <w:tcW w:w="10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38"/>
        </w:trPr>
        <w:tc>
          <w:tcPr>
            <w:tcW w:w="10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OF </w:t>
      </w:r>
      <w:r>
        <w:rPr>
          <w:rFonts w:ascii="Arial" w:cs="Arial" w:eastAsia="Arial" w:hAnsi="Arial"/>
          <w:sz w:val="17"/>
          <w:szCs w:val="17"/>
          <w:b w:val="1"/>
          <w:bCs w:val="1"/>
          <w:color w:val="auto"/>
        </w:rPr>
        <w:t>F</w:t>
      </w:r>
      <w:r>
        <w:rPr>
          <w:rFonts w:ascii="Arial" w:cs="Arial" w:eastAsia="Arial" w:hAnsi="Arial"/>
          <w:sz w:val="12"/>
          <w:szCs w:val="12"/>
          <w:b w:val="1"/>
          <w:bCs w:val="1"/>
          <w:color w:val="auto"/>
        </w:rPr>
        <w:t xml:space="preserve">INANCIAL </w:t>
      </w:r>
      <w:r>
        <w:rPr>
          <w:rFonts w:ascii="Arial" w:cs="Arial" w:eastAsia="Arial" w:hAnsi="Arial"/>
          <w:sz w:val="17"/>
          <w:szCs w:val="17"/>
          <w:b w:val="1"/>
          <w:bCs w:val="1"/>
          <w:color w:val="auto"/>
        </w:rPr>
        <w:t>C</w:t>
      </w:r>
      <w:r>
        <w:rPr>
          <w:rFonts w:ascii="Arial" w:cs="Arial" w:eastAsia="Arial" w:hAnsi="Arial"/>
          <w:sz w:val="12"/>
          <w:szCs w:val="12"/>
          <w:b w:val="1"/>
          <w:bCs w:val="1"/>
          <w:color w:val="auto"/>
        </w:rPr>
        <w:t xml:space="preserve">ONDITION AND </w:t>
      </w:r>
      <w:r>
        <w:rPr>
          <w:rFonts w:ascii="Arial" w:cs="Arial" w:eastAsia="Arial" w:hAnsi="Arial"/>
          <w:sz w:val="17"/>
          <w:szCs w:val="17"/>
          <w:b w:val="1"/>
          <w:bCs w:val="1"/>
          <w:color w:val="auto"/>
        </w:rPr>
        <w:t>R</w:t>
      </w:r>
      <w:r>
        <w:rPr>
          <w:rFonts w:ascii="Arial" w:cs="Arial" w:eastAsia="Arial" w:hAnsi="Arial"/>
          <w:sz w:val="12"/>
          <w:szCs w:val="12"/>
          <w:b w:val="1"/>
          <w:bCs w:val="1"/>
          <w:color w:val="auto"/>
        </w:rPr>
        <w:t xml:space="preserve">ESULTS OF </w:t>
      </w:r>
      <w:r>
        <w:rPr>
          <w:rFonts w:ascii="Arial" w:cs="Arial" w:eastAsia="Arial" w:hAnsi="Arial"/>
          <w:sz w:val="17"/>
          <w:szCs w:val="17"/>
          <w:b w:val="1"/>
          <w:bCs w:val="1"/>
          <w:color w:val="auto"/>
        </w:rPr>
        <w:t>O</w:t>
      </w:r>
      <w:r>
        <w:rPr>
          <w:rFonts w:ascii="Arial" w:cs="Arial" w:eastAsia="Arial" w:hAnsi="Arial"/>
          <w:sz w:val="12"/>
          <w:szCs w:val="12"/>
          <w:b w:val="1"/>
          <w:bCs w:val="1"/>
          <w:color w:val="auto"/>
        </w:rPr>
        <w:t>PERATIONS</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Introduction</w:t>
      </w:r>
      <w:r>
        <w:rPr>
          <w:rFonts w:ascii="Arial" w:cs="Arial" w:eastAsia="Arial" w:hAnsi="Arial"/>
          <w:sz w:val="18"/>
          <w:szCs w:val="18"/>
          <w:color w:val="auto"/>
        </w:rPr>
        <w:t>. The following section presents additional information to assess the financial condition and results of operations of Independent Bank</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(“IBCP”), its wholly-owned bank, Independent Bank (the "Bank"), and their subsidiaries. This section should be read in conjunction with the Condensed Consolidated Financial Statements. We also encourage you to read our 2019 Annual Report on Form 10-K filed with the U.S. Securities and Exchange Commission ("SEC"). That report includes a list of risk factors that you should consider in connection with any decision to buy or sell our securities.</w:t>
      </w: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Overview</w:t>
      </w:r>
      <w:r>
        <w:rPr>
          <w:rFonts w:ascii="Arial" w:cs="Arial" w:eastAsia="Arial" w:hAnsi="Arial"/>
          <w:sz w:val="17"/>
          <w:szCs w:val="17"/>
          <w:color w:val="auto"/>
        </w:rPr>
        <w:t>. We provide banking services to customers located primarily in Michigan’s Lower Peninsula. We also have two loan production offices in Ohio</w:t>
      </w:r>
      <w:r>
        <w:rPr>
          <w:rFonts w:ascii="Arial" w:cs="Arial" w:eastAsia="Arial" w:hAnsi="Arial"/>
          <w:sz w:val="17"/>
          <w:szCs w:val="17"/>
          <w:b w:val="1"/>
          <w:bCs w:val="1"/>
          <w:color w:val="auto"/>
        </w:rPr>
        <w:t xml:space="preserve"> </w:t>
      </w:r>
      <w:r>
        <w:rPr>
          <w:rFonts w:ascii="Arial" w:cs="Arial" w:eastAsia="Arial" w:hAnsi="Arial"/>
          <w:sz w:val="17"/>
          <w:szCs w:val="17"/>
          <w:color w:val="auto"/>
        </w:rPr>
        <w:t>(Columbus and Fairlawn). As a result, our success depends to a great extent upon the economic conditions in Michigan’s Lower Peninsula.</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Recent Developments. </w:t>
      </w:r>
      <w:r>
        <w:rPr>
          <w:rFonts w:ascii="Arial" w:cs="Arial" w:eastAsia="Arial" w:hAnsi="Arial"/>
          <w:sz w:val="16"/>
          <w:szCs w:val="16"/>
          <w:color w:val="auto"/>
        </w:rPr>
        <w:t>On March 11, 2020, the World Health Organization declared COVID-19, the disease caused by the novel coronavirus, a pandemic</w:t>
      </w:r>
      <w:r>
        <w:rPr>
          <w:rFonts w:ascii="Arial" w:cs="Arial" w:eastAsia="Arial" w:hAnsi="Arial"/>
          <w:sz w:val="16"/>
          <w:szCs w:val="16"/>
          <w:b w:val="1"/>
          <w:bCs w:val="1"/>
          <w:color w:val="auto"/>
        </w:rPr>
        <w:t xml:space="preserve"> </w:t>
      </w:r>
      <w:r>
        <w:rPr>
          <w:rFonts w:ascii="Arial" w:cs="Arial" w:eastAsia="Arial" w:hAnsi="Arial"/>
          <w:sz w:val="16"/>
          <w:szCs w:val="16"/>
          <w:color w:val="auto"/>
        </w:rPr>
        <w:t>as a result of the global spread of the coronavirus illness. In response to the outbreak, federal and state authorities in the U.S. introduced various measures to try to limit or slow the spread of the virus, including travel restrictions, nonessential business closures, stay-at-home orders, and strict social distancing. The Governor of Michigan issued her first "stay home, stay safe" executive order effective March 24, 2020. In general that order and subsequent modifications required individuals in Michigan to stay at home or their place of residence, except for certain specified activities that were deemed necessary to sustain or protect life. That original executive order was amended several times, and has since been rescinded and replaced entirely by a series of “Safer at Home” executive orders, which generally extended certain social distancing restrictions, but lifted the requirement that individuals remain in their homes. Under the current order, certain retail operations, restaurants and bars, and other business are permitted to resume in-person operations, subject to capacity limitations and other workplace safety requirements. The degree to which business may resume operations varies based on the region of the state in which they are located, pursuant to the Governor’s “MI Safe Start Plan.”. As a result of these actions, Michigan has experienced a significant increase in unemployment. It is possible that Michigan's Governor may continue some form of executive order throughout our third quarter and beyond.</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and related executive orders and federal government pandemic response guidance has had and continues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activity and high levels of unemployment may cause increases in loan delinquencies, foreclosures and defaults;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allowance for loan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party disruptions,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cyber and payment fraud risk, as cybercriminals attempt to profit from the disruption, given increased online and remote activity;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operational failures due to changes in our normal business practices necessitated by the pandemic and related governmental actions; and/or</w:t>
      </w:r>
    </w:p>
    <w:p>
      <w:pPr>
        <w:spacing w:after="0" w:line="34"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key personnel or significant numbers of our employees being unable to work effectively, including because of illness or restrictions in connection with COVID-19.</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These factors may continue for a significant period of time. See note #13 to the Condensed Consolidated Financial Statements included within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 spread of COVID-19 has caused us to modify many of our business practices. Currently, approximately 40% of our total employees work remotely.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have also expanded sick and vacation time for certain employees. We may take further actions as may be required or as we determine to be prudent.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 is no certainty that such measures will be sufficient to mitigate the risks posed by COVID-19.</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financial condition and results of operations.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against this backdrop that we discuss our results of operations and financial condition in the second quarter and first six months of 2020 as compared to 2019.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We recorded net income of $14.8 million and $10.7 million during the three months ended June 30, 2020 and 2019, respectively. The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in 2020 second quarter results as compared to 2019 primarily reflects an increase in non-interest income that was partially offset by a decrease in net interest income and increases in the provision for loan losses, non-interest expense and income tax expense.</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net income of $19.6 million and $20.1 million during the six months ended June 30, 2020 and 2019, respectively. The decrease in 2020 year-to-date results as compared to 2019 is primarily due to a decline in net interest income and increases in the provision for loan losses and non-interest expense that were partially offset by an increase in non-interest income and a decline in income tax expense.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Key performance ratios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4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520"/>
              <w:spacing w:after="0"/>
              <w:rPr>
                <w:sz w:val="20"/>
                <w:szCs w:val="20"/>
                <w:color w:val="auto"/>
              </w:rPr>
            </w:pPr>
            <w:r>
              <w:rPr>
                <w:rFonts w:ascii="Arial" w:cs="Arial" w:eastAsia="Arial" w:hAnsi="Arial"/>
                <w:sz w:val="18"/>
                <w:szCs w:val="18"/>
                <w:color w:val="auto"/>
                <w:w w:val="89"/>
              </w:rPr>
              <w:t>Three months ended</w:t>
            </w:r>
          </w:p>
        </w:tc>
        <w:tc>
          <w:tcPr>
            <w:tcW w:w="22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Six months ended</w:t>
            </w:r>
          </w:p>
        </w:tc>
      </w:tr>
      <w:tr>
        <w:trPr>
          <w:trHeight w:val="237"/>
        </w:trPr>
        <w:tc>
          <w:tcPr>
            <w:tcW w:w="4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0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Net income (annualized) to</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Average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Average shareholders’ equity</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17.39</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12.72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11.41</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11.93</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0.67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0.47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0.89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r>
      <w:tr>
        <w:trPr>
          <w:trHeight w:val="216"/>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0.85</w:t>
            </w:r>
          </w:p>
        </w:tc>
      </w:tr>
    </w:tbl>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w:t>
      </w:r>
      <w:r>
        <w:rPr>
          <w:rFonts w:ascii="Arial" w:cs="Arial" w:eastAsia="Arial" w:hAnsi="Arial"/>
          <w:sz w:val="17"/>
          <w:szCs w:val="17"/>
          <w:b w:val="1"/>
          <w:bCs w:val="1"/>
          <w:color w:val="auto"/>
        </w:rPr>
        <w:t xml:space="preserve"> </w:t>
      </w:r>
      <w:r>
        <w:rPr>
          <w:rFonts w:ascii="Arial" w:cs="Arial" w:eastAsia="Arial" w:hAnsi="Arial"/>
          <w:sz w:val="17"/>
          <w:szCs w:val="17"/>
          <w:color w:val="auto"/>
        </w:rPr>
        <w:t>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interest income totaled $30.5 million during the second quarter of 2020, a decrease of $0.3 million, or 1.0% from the year-ago period. This decrease primarily reflects a 51 basis point decrease in our tax equivalent net interest income as a percent of average interest-earning assets (the “net interest margin”) that was partially offset by a $468.4 million increase in average interest-earning assets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first six months of 2020, net interest income totaled $60.7 million, a decrease of $0.3 million, or 0.6% from 2019. This decrease primarily reflects a 39 basis point decrease in our net interest margin that was partially offset by a $333.5 million increase in average interest-earning assets.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Due to the economic impact of COVID-19, the Federal Reserve Bank has taken a variety of actions to stimulate the economy, including lowering short-term interest rates. These actions, along with lower long-term interest rates as well, have placed pressure on our net interest margin.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average interest-earning assets in 2020 as compared to 2019 primarily reflects growth in securities available for sale and in loans funded from an increase in deposits.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and fees on loans include $1.0 million for the second quarter and first six months of 2020, of accretion of net loan fees on PPP loans. No such accretion is included in the comparable prior year periods. Interest and fees on loans also include $0.2 million and $0.5 million for the second quarter and first six months of 2020, respectively, and include $0.4 million and $0.8 million for the second quarter and first six months of 2019, respectively, of accretion of the discount recorded on loans acquired in the April 2018 acquisition of Traverse City State Bank (“TCSB”).</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interest income is also adversely impacted by our level of non-accrual loans. In the second quarter and first six months of 2020, non-accrual loans averaged $15.6 million and $13.3 million, respectively. In the second quarter and first six months of 2019, non-accrual loans averaged $8.4 million and $8.8 million, respectively. In addition, in the second quarter and first six months of 2020, we had net recoveries of $0.25 million and $0.41 million, respectively, of unpaid interest on loans placed on or taken off non-accrual during each period or on loans previously charged-off compared to net recoveries of $0.20 million and $0.43 million, respectively, during the same periods in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3280" w:type="dxa"/>
            <w:vAlign w:val="bottom"/>
            <w:gridSpan w:val="3"/>
          </w:tcPr>
          <w:p>
            <w:pPr>
              <w:spacing w:after="0"/>
              <w:rPr>
                <w:sz w:val="20"/>
                <w:szCs w:val="20"/>
                <w:color w:val="auto"/>
              </w:rPr>
            </w:pPr>
            <w:r>
              <w:rPr>
                <w:rFonts w:ascii="Arial" w:cs="Arial" w:eastAsia="Arial" w:hAnsi="Arial"/>
                <w:sz w:val="18"/>
                <w:szCs w:val="18"/>
                <w:i w:val="1"/>
                <w:iCs w:val="1"/>
                <w:color w:val="0000EE"/>
              </w:rPr>
              <w:t>Index</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60" w:type="dxa"/>
            <w:vAlign w:val="bottom"/>
            <w:gridSpan w:val="4"/>
          </w:tcPr>
          <w:p>
            <w:pPr>
              <w:spacing w:after="0"/>
              <w:rPr>
                <w:sz w:val="20"/>
                <w:szCs w:val="20"/>
                <w:color w:val="auto"/>
              </w:rPr>
            </w:pPr>
            <w:r>
              <w:rPr>
                <w:rFonts w:ascii="Arial" w:cs="Arial" w:eastAsia="Arial" w:hAnsi="Arial"/>
                <w:sz w:val="18"/>
                <w:szCs w:val="18"/>
                <w:b w:val="1"/>
                <w:bCs w:val="1"/>
                <w:color w:val="auto"/>
                <w:w w:val="90"/>
              </w:rPr>
              <w:t>Average Balances and Tax Equivalent Rates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580" w:type="dxa"/>
            <w:vAlign w:val="bottom"/>
            <w:gridSpan w:val="3"/>
          </w:tcPr>
          <w:p>
            <w:pPr>
              <w:jc w:val="center"/>
              <w:ind w:left="81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w w:val="98"/>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Balance</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Interest</w:t>
            </w:r>
          </w:p>
        </w:tc>
        <w:tc>
          <w:tcPr>
            <w:tcW w:w="200" w:type="dxa"/>
            <w:vAlign w:val="bottom"/>
          </w:tcPr>
          <w:p>
            <w:pPr>
              <w:spacing w:after="0"/>
              <w:rPr>
                <w:sz w:val="24"/>
                <w:szCs w:val="24"/>
                <w:color w:val="auto"/>
              </w:rPr>
            </w:pPr>
          </w:p>
        </w:tc>
        <w:tc>
          <w:tcPr>
            <w:tcW w:w="1120" w:type="dxa"/>
            <w:vAlign w:val="bottom"/>
            <w:tcBorders>
              <w:bottom w:val="single" w:sz="8" w:color="auto"/>
            </w:tcBorders>
          </w:tcPr>
          <w:p>
            <w:pPr>
              <w:ind w:left="280"/>
              <w:spacing w:after="0" w:line="270" w:lineRule="exact"/>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Balance</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4"/>
                <w:szCs w:val="24"/>
                <w:color w:val="auto"/>
              </w:rPr>
            </w:pPr>
          </w:p>
        </w:tc>
        <w:tc>
          <w:tcPr>
            <w:tcW w:w="1100" w:type="dxa"/>
            <w:vAlign w:val="bottom"/>
            <w:tcBorders>
              <w:bottom w:val="single" w:sz="8" w:color="auto"/>
            </w:tcBorders>
          </w:tcPr>
          <w:p>
            <w:pPr>
              <w:ind w:left="260"/>
              <w:spacing w:after="0" w:line="270" w:lineRule="exact"/>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2,906,843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29,793</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2,692,168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33,762</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5.02%</w:t>
            </w:r>
          </w:p>
        </w:tc>
        <w:tc>
          <w:tcPr>
            <w:tcW w:w="0" w:type="dxa"/>
            <w:vAlign w:val="bottom"/>
          </w:tcPr>
          <w:p>
            <w:pPr>
              <w:spacing w:after="0"/>
              <w:rPr>
                <w:sz w:val="1"/>
                <w:szCs w:val="1"/>
                <w:color w:val="auto"/>
              </w:rPr>
            </w:pPr>
          </w:p>
        </w:tc>
      </w:tr>
      <w:tr>
        <w:trPr>
          <w:trHeight w:val="257"/>
        </w:trPr>
        <w:tc>
          <w:tcPr>
            <w:tcW w:w="328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Tax-exempt loans </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7,014</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7,480</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2,847</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392,075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3,034</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57"/>
        </w:trPr>
        <w:tc>
          <w:tcPr>
            <w:tcW w:w="328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124,781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998</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49,448</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67,204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31,734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18,427</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18,359</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4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3,659,614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3.72</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3,191,264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37,675</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45,714</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33,252</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163,080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163,882</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3,868,408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3,388,398</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Savings and interest-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00"/>
              <w:spacing w:after="0"/>
              <w:rPr>
                <w:sz w:val="20"/>
                <w:szCs w:val="20"/>
                <w:color w:val="auto"/>
              </w:rPr>
            </w:pPr>
            <w:r>
              <w:rPr>
                <w:rFonts w:ascii="Arial" w:cs="Arial" w:eastAsia="Arial" w:hAnsi="Arial"/>
                <w:sz w:val="18"/>
                <w:szCs w:val="18"/>
                <w:color w:val="auto"/>
              </w:rPr>
              <w:t>bearing checking</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1,754,503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505</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1,413,073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2,647</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494,411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1,883</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664,909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3,374</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Other borrowings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153,447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904</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77,678</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3"/>
        </w:trPr>
        <w:tc>
          <w:tcPr>
            <w:tcW w:w="4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Interest Bearing Liabilities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2,402,361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0.55</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2,155,660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1,054,388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851,903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70,053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42,581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341,606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338,254</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Total liabilities and</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3,868,408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3,388,398</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30,685</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30,858</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6"/>
              </w:rPr>
              <w:t>Net Interest Income as a Percent of</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Average Interest Earning Assets</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3.87%</w:t>
            </w:r>
          </w:p>
        </w:tc>
        <w:tc>
          <w:tcPr>
            <w:tcW w:w="0" w:type="dxa"/>
            <w:vAlign w:val="bottom"/>
          </w:tcPr>
          <w:p>
            <w:pPr>
              <w:spacing w:after="0"/>
              <w:rPr>
                <w:sz w:val="1"/>
                <w:szCs w:val="1"/>
                <w:color w:val="auto"/>
              </w:rPr>
            </w:pPr>
          </w:p>
        </w:tc>
      </w:tr>
      <w:tr>
        <w:trPr>
          <w:trHeight w:val="338"/>
        </w:trPr>
        <w:tc>
          <w:tcPr>
            <w:tcW w:w="40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21%.</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w w:val="90"/>
              </w:rPr>
              <w:t>Average Balances and Tax Equivalent Rates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Six Months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580" w:type="dxa"/>
            <w:vAlign w:val="bottom"/>
            <w:gridSpan w:val="3"/>
          </w:tcPr>
          <w:p>
            <w:pPr>
              <w:jc w:val="center"/>
              <w:ind w:left="81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8"/>
              </w:rPr>
              <w:t>Average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restart"/>
          </w:tcPr>
          <w:p>
            <w:pPr>
              <w:ind w:left="28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26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w w:val="95"/>
              </w:rPr>
              <w:t>Average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Balance</w:t>
            </w:r>
          </w:p>
        </w:tc>
        <w:tc>
          <w:tcPr>
            <w:tcW w:w="220" w:type="dxa"/>
            <w:vAlign w:val="bottom"/>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Interest</w:t>
            </w:r>
          </w:p>
        </w:tc>
        <w:tc>
          <w:tcPr>
            <w:tcW w:w="200" w:type="dxa"/>
            <w:vAlign w:val="bottom"/>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Balance</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2,832,876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61,481</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2,652,893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66,362</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5.03%</w:t>
            </w:r>
          </w:p>
        </w:tc>
        <w:tc>
          <w:tcPr>
            <w:tcW w:w="0" w:type="dxa"/>
            <w:vAlign w:val="bottom"/>
          </w:tcPr>
          <w:p>
            <w:pPr>
              <w:spacing w:after="0"/>
              <w:rPr>
                <w:sz w:val="1"/>
                <w:szCs w:val="1"/>
                <w:color w:val="auto"/>
              </w:rPr>
            </w:pPr>
          </w:p>
        </w:tc>
      </w:tr>
      <w:tr>
        <w:trPr>
          <w:trHeight w:val="256"/>
        </w:trPr>
        <w:tc>
          <w:tcPr>
            <w:tcW w:w="32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Tax-exempt loans </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7,438</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8,081</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501,720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5,906</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390,966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6,040</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57"/>
        </w:trPr>
        <w:tc>
          <w:tcPr>
            <w:tcW w:w="32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92,040</w:t>
            </w:r>
          </w:p>
        </w:tc>
        <w:tc>
          <w:tcPr>
            <w:tcW w:w="2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1,488</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53,148</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52,814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48,381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18,393</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471</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18,359</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528</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3"/>
        </w:trPr>
        <w:tc>
          <w:tcPr>
            <w:tcW w:w="40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3,505,281</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69,677</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3.99</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3,171,828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74,428</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47,663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33,744</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164,167</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167,270</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3,717,111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3,372,842</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Savings and interest-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bearing checking</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1,685,046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2,435</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1,387,208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4,969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544,642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4,653</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676,606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6,733</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126,491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1,592</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71,901</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1,508</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40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Interest Bearing Liabilities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2,356,179</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0.74</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2,135,715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13,210</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955,114</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855,732</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60,540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41,481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345,278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Total liabilities and shareholders’ equity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3,717,111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3,372,842</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0" w:type="dxa"/>
            <w:vAlign w:val="bottom"/>
            <w:shd w:val="clear" w:color="auto" w:fill="CCEEFF"/>
          </w:tcPr>
          <w:p>
            <w:pPr>
              <w:spacing w:after="0"/>
              <w:rPr>
                <w:sz w:val="21"/>
                <w:szCs w:val="21"/>
                <w:color w:val="auto"/>
              </w:rPr>
            </w:pPr>
          </w:p>
        </w:tc>
        <w:tc>
          <w:tcPr>
            <w:tcW w:w="2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60,997</w:t>
            </w: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61,218</w:t>
            </w: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 as a Percent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of Average Interest Earning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3.88%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120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21%.</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Non-GAAP Financial Measures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right"/>
              <w:ind w:right="673"/>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Interest Margin, Fully Taxable Equivalent ("FTE")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w w:val="78"/>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30,462</w:t>
            </w: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30,756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60,653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60,999</w:t>
            </w:r>
          </w:p>
        </w:tc>
        <w:tc>
          <w:tcPr>
            <w:tcW w:w="0" w:type="dxa"/>
            <w:vAlign w:val="bottom"/>
          </w:tcPr>
          <w:p>
            <w:pPr>
              <w:spacing w:after="0"/>
              <w:rPr>
                <w:sz w:val="1"/>
                <w:szCs w:val="1"/>
                <w:color w:val="auto"/>
              </w:rPr>
            </w:pPr>
          </w:p>
        </w:tc>
      </w:tr>
      <w:tr>
        <w:trPr>
          <w:trHeight w:val="223"/>
        </w:trPr>
        <w:tc>
          <w:tcPr>
            <w:tcW w:w="5900" w:type="dxa"/>
            <w:vAlign w:val="bottom"/>
            <w:gridSpan w:val="2"/>
          </w:tcPr>
          <w:p>
            <w:pPr>
              <w:ind w:left="140"/>
              <w:spacing w:after="0"/>
              <w:rPr>
                <w:sz w:val="20"/>
                <w:szCs w:val="20"/>
                <w:color w:val="auto"/>
              </w:rPr>
            </w:pPr>
            <w:r>
              <w:rPr>
                <w:rFonts w:ascii="Arial" w:cs="Arial" w:eastAsia="Arial" w:hAnsi="Arial"/>
                <w:sz w:val="18"/>
                <w:szCs w:val="18"/>
                <w:color w:val="auto"/>
              </w:rPr>
              <w:t>Add: taxable equivalent adjustment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93"/>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57"/>
        </w:trPr>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30,685</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30,858</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60,997</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00" w:type="dxa"/>
            <w:vAlign w:val="bottom"/>
            <w:gridSpan w:val="2"/>
          </w:tcPr>
          <w:p>
            <w:pPr>
              <w:spacing w:after="0" w:line="250" w:lineRule="exact"/>
              <w:rPr>
                <w:sz w:val="20"/>
                <w:szCs w:val="20"/>
                <w:color w:val="auto"/>
              </w:rPr>
            </w:pPr>
            <w:r>
              <w:rPr>
                <w:rFonts w:ascii="Arial" w:cs="Arial" w:eastAsia="Arial" w:hAnsi="Arial"/>
                <w:sz w:val="17"/>
                <w:szCs w:val="17"/>
                <w:color w:val="auto"/>
              </w:rPr>
              <w:t xml:space="preserve">Net interest margin (GAAP) </w:t>
            </w:r>
            <w:r>
              <w:rPr>
                <w:rFonts w:ascii="Arial" w:cs="Arial" w:eastAsia="Arial" w:hAnsi="Arial"/>
                <w:sz w:val="28"/>
                <w:szCs w:val="28"/>
                <w:color w:val="auto"/>
                <w:vertAlign w:val="superscript"/>
              </w:rPr>
              <w:t>(1)</w:t>
            </w: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21"/>
                <w:szCs w:val="21"/>
                <w:color w:val="auto"/>
              </w:rPr>
            </w:pPr>
          </w:p>
        </w:tc>
        <w:tc>
          <w:tcPr>
            <w:tcW w:w="1100" w:type="dxa"/>
            <w:vAlign w:val="bottom"/>
            <w:gridSpan w:val="2"/>
          </w:tcPr>
          <w:p>
            <w:pPr>
              <w:jc w:val="right"/>
              <w:ind w:right="53"/>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590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 xml:space="preserve">Net interest margin (FTE) </w:t>
            </w:r>
            <w:r>
              <w:rPr>
                <w:rFonts w:ascii="Arial" w:cs="Arial" w:eastAsia="Arial" w:hAnsi="Arial"/>
                <w:sz w:val="28"/>
                <w:szCs w:val="28"/>
                <w:color w:val="auto"/>
                <w:vertAlign w:val="superscript"/>
              </w:rPr>
              <w:t>(1)</w:t>
            </w:r>
          </w:p>
        </w:tc>
        <w:tc>
          <w:tcPr>
            <w:tcW w:w="22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Provision for loan losses. </w:t>
      </w:r>
      <w:r>
        <w:rPr>
          <w:rFonts w:ascii="Arial" w:cs="Arial" w:eastAsia="Arial" w:hAnsi="Arial"/>
          <w:sz w:val="18"/>
          <w:szCs w:val="18"/>
          <w:color w:val="auto"/>
        </w:rPr>
        <w:t>We have elected to delay the adoption of the Current Expected Credit Losses (“CECL”) accounting standard as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4014 of the CARES Act and continue to utilize the existing incurred loss impairment methodology to calculate our allowance for loan losses (“AFLL”) and our provision for loan losses. See note #2 to the Condensed Consolidated Financial Statements included within this report for our discussion on CECL implementation.</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provision for loan losses was an expense of $5.2 million and $0.7 million for the three months ended June 30, 2020 and 2019, respectively. During the six-month periods ended June 30, 2020 and 2019, the provision was an expense of $11.9 million and $1.3 million, respectively. The provision reflects our assessment of the AFLL taking into consideration factors such as loan growth,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In particular, the credit impact of the COVID-19 pandemic, and more specifically the periodic closing of various segments of the economy in order to contain it, may have a negative impact on our level of non-performing loans and assets in the future, but as of yet, the magnitude of that impact is undeterminable. As a result of this potential adverse impact, we have increased the subjective portion of our AFLL by $8.6 million (or 98.2%) during the first six months of 2020. See “Portfolio Loans and asset quality” for a discussion of the various components of the AFLL and their impact on the provision for loan losses in 2020. See note #13 to the Condensed Consolidated Financial Statements included within this report for a discussion on industry concentrations.</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Non-interest income. </w:t>
      </w:r>
      <w:r>
        <w:rPr>
          <w:rFonts w:ascii="Arial" w:cs="Arial" w:eastAsia="Arial" w:hAnsi="Arial"/>
          <w:sz w:val="18"/>
          <w:szCs w:val="18"/>
          <w:color w:val="auto"/>
        </w:rPr>
        <w:t>Non-interest income is a significant element in assessing our results of operations. Non-interest income totaled $20.4 million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2020 compared to $9.9 million in the second quarter of 2019. For the first six months of 2020, non-interest income totaled $31.4 million compared to $19.9 million for the first six months of 2019.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80" w:type="dxa"/>
            <w:vAlign w:val="bottom"/>
            <w:gridSpan w:val="2"/>
          </w:tcPr>
          <w:p>
            <w:pPr>
              <w:spacing w:after="0"/>
              <w:rPr>
                <w:sz w:val="20"/>
                <w:szCs w:val="20"/>
                <w:color w:val="auto"/>
              </w:rPr>
            </w:pPr>
            <w:r>
              <w:rPr>
                <w:rFonts w:ascii="Arial" w:cs="Arial" w:eastAsia="Arial" w:hAnsi="Arial"/>
                <w:sz w:val="18"/>
                <w:szCs w:val="18"/>
                <w:color w:val="auto"/>
              </w:rPr>
              <w:t>The components of non-interest income are as follows:</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80" w:type="dxa"/>
            <w:vAlign w:val="bottom"/>
            <w:gridSpan w:val="2"/>
          </w:tcPr>
          <w:p>
            <w:pPr>
              <w:ind w:left="60"/>
              <w:spacing w:after="0"/>
              <w:rPr>
                <w:sz w:val="20"/>
                <w:szCs w:val="20"/>
                <w:color w:val="auto"/>
              </w:rPr>
            </w:pPr>
            <w:r>
              <w:rPr>
                <w:rFonts w:ascii="Arial" w:cs="Arial" w:eastAsia="Arial" w:hAnsi="Arial"/>
                <w:sz w:val="18"/>
                <w:szCs w:val="18"/>
                <w:b w:val="1"/>
                <w:bCs w:val="1"/>
                <w:color w:val="auto"/>
              </w:rPr>
              <w:t>Non-Interest Income</w:t>
            </w:r>
          </w:p>
        </w:tc>
        <w:tc>
          <w:tcPr>
            <w:tcW w:w="2720" w:type="dxa"/>
            <w:vAlign w:val="bottom"/>
            <w:gridSpan w:val="6"/>
            <w:vMerge w:val="restart"/>
          </w:tcPr>
          <w:p>
            <w:pPr>
              <w:jc w:val="right"/>
              <w:ind w:right="90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2320" w:type="dxa"/>
            <w:vAlign w:val="bottom"/>
            <w:gridSpan w:val="5"/>
            <w:vMerge w:val="restart"/>
          </w:tcPr>
          <w:p>
            <w:pPr>
              <w:jc w:val="right"/>
              <w:ind w:right="8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720" w:type="dxa"/>
            <w:vAlign w:val="bottom"/>
            <w:gridSpan w:val="6"/>
            <w:vMerge w:val="continue"/>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3"/>
          </w:tcPr>
          <w:p>
            <w:pPr>
              <w:jc w:val="right"/>
              <w:ind w:right="67"/>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600" w:type="dxa"/>
            <w:vAlign w:val="bottom"/>
            <w:shd w:val="clear" w:color="auto" w:fill="CCEEFF"/>
          </w:tcPr>
          <w:p>
            <w:pPr>
              <w:jc w:val="right"/>
              <w:ind w:right="43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Interchange income</w:t>
            </w: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2,604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4,983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assets:</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Mortgage loans</w:t>
            </w: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17,642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4,302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26,482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Mortgage loan servicing, net</w:t>
            </w:r>
          </w:p>
        </w:tc>
        <w:tc>
          <w:tcPr>
            <w:tcW w:w="6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(3,022)</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(1,907)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(8,322)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Bank owned life insurance</w:t>
            </w: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7"/>
        </w:trPr>
        <w:tc>
          <w:tcPr>
            <w:tcW w:w="40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Total non-interest income</w:t>
            </w:r>
          </w:p>
        </w:tc>
        <w:tc>
          <w:tcPr>
            <w:tcW w:w="600" w:type="dxa"/>
            <w:vAlign w:val="bottom"/>
          </w:tcPr>
          <w:p>
            <w:pPr>
              <w:jc w:val="right"/>
              <w:ind w:right="43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20,367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31,371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19,864</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Service charges on deposit accounts decreased on both a comparative quarterly and year-to-date basis in 2020 as compared to 2019. These decreases were principally due to a decrease in non-sufficient funds occurrences (and related fees) caused in part by the COVID-19 pandemic and reduced checking account activity.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Interchange income decreased slightly on a comparative quarterly basis and increased slightly on a year-to-date basis in 2020 as compared to 2019, as debit card transaction volume was relatively consistent for each period.</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gains on mortgage loans increased substantially in 2020 from 2019 on both a quarterly and a year to date basis. Mortgage loan activity is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Mortgage Loan Activity</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430"/>
              <w:spacing w:after="0"/>
              <w:rPr>
                <w:sz w:val="20"/>
                <w:szCs w:val="20"/>
                <w:color w:val="auto"/>
              </w:rPr>
            </w:pPr>
            <w:r>
              <w:rPr>
                <w:rFonts w:ascii="Arial" w:cs="Arial" w:eastAsia="Arial" w:hAnsi="Arial"/>
                <w:sz w:val="18"/>
                <w:szCs w:val="18"/>
                <w:color w:val="auto"/>
                <w:w w:val="89"/>
              </w:rPr>
              <w:t>Three months ended</w:t>
            </w:r>
          </w:p>
        </w:tc>
        <w:tc>
          <w:tcPr>
            <w:tcW w:w="22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Six months ended</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71"/>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470,626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241,402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781,704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379,160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Mortgage loans sold</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379,048</w:t>
            </w:r>
          </w:p>
        </w:tc>
        <w:tc>
          <w:tcPr>
            <w:tcW w:w="26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131,636</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641,308</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286,161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17,642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4,302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26,482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7,913</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gains as a percent of mortgage loans sold (“Loan Sales Margin”)</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4.13%</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0.74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0.66</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comparative increase in mortgage loans originated is due primarily to lower interest rates in 2020 that have spurred a significant increase in refinance volumes. Mortgage loans sold increased due to a higher mix of salable loans in our origination volumes and some portfolio mortgage loan sales that were completed during the first quarter of 2020. Net gains on mortgage loans also increased in 2020 as compared to 2019 due to fair value adjustments as discussed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3.51% and 2.53% in the second quarters of 2020 and 2019, respectively and 3.14% and 2.11% for the comparative 2020 and 2019 year-to-date periods, respectively. The increase in the Loan Sales Margin (excluding fair value adjustments) in 2020 was generally due to a substantial widening of primary-to-secondary market pricing spreads as market interest rates fell during this period and mortgage loan refinance volumes dramatically increased. Once mortgage loan refinance volumes abate, we would expect our Loan Sales Margin to decline to more normal levels. The changes in the fair value accounting adjustments are primarily due to changes in the amount of commitments to originate mortgage loans for sale.</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no net gains (losses) on securities in the comparative quarterly periods. We recorded a net gain of $0.25 million and $0.30 million on securities for the first six months of 2020 and 2019, respectively. We recorded no net impairment losses in either 2020 or 2019 for other than temporary impairment of securities available for sale. See “Securities” below and note #3 to the Condensed Consolidated Financial Statements.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Mortgage loan servicing, net, generated a loss of $3.0 million and $1.9 million in the second quarters of 2020 and 2019, respectively. For the first six months of 2020 and 2019, mortgage loan servicing, net, generated a loss of $8.3 million and $3.1 million, respectively. The significant variances in mortgage loan servicing, net are primarily due to changes in the fair value of capitalized mortgage loan servicing rights associated with changes in mortgage loan interest rates and expected future prepayment levels. Mortgage loan servicing, net activity is summarized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2160" w:type="dxa"/>
            <w:vAlign w:val="bottom"/>
            <w:gridSpan w:val="5"/>
          </w:tcPr>
          <w:p>
            <w:pPr>
              <w:jc w:val="right"/>
              <w:ind w:right="660"/>
              <w:spacing w:after="0"/>
              <w:rPr>
                <w:sz w:val="20"/>
                <w:szCs w:val="20"/>
                <w:color w:val="auto"/>
              </w:rPr>
            </w:pPr>
            <w:r>
              <w:rPr>
                <w:rFonts w:ascii="Arial" w:cs="Arial" w:eastAsia="Arial" w:hAnsi="Arial"/>
                <w:sz w:val="18"/>
                <w:szCs w:val="18"/>
                <w:color w:val="auto"/>
              </w:rPr>
              <w:t>Six Months Ended</w:t>
            </w:r>
          </w:p>
        </w:tc>
      </w:tr>
      <w:tr>
        <w:trPr>
          <w:trHeight w:val="237"/>
        </w:trPr>
        <w:tc>
          <w:tcPr>
            <w:tcW w:w="4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2020</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19"/>
                <w:szCs w:val="19"/>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Mortgage loan servicing, net: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net</w:t>
            </w:r>
          </w:p>
        </w:tc>
        <w:tc>
          <w:tcPr>
            <w:tcW w:w="2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w:t>
            </w:r>
          </w:p>
        </w:tc>
      </w:tr>
      <w:tr>
        <w:trPr>
          <w:trHeight w:val="216"/>
        </w:trPr>
        <w:tc>
          <w:tcPr>
            <w:tcW w:w="4140" w:type="dxa"/>
            <w:vAlign w:val="bottom"/>
          </w:tcPr>
          <w:p>
            <w:pPr>
              <w:ind w:left="140"/>
              <w:spacing w:after="0"/>
              <w:rPr>
                <w:sz w:val="20"/>
                <w:szCs w:val="20"/>
                <w:color w:val="auto"/>
              </w:rPr>
            </w:pPr>
            <w:r>
              <w:rPr>
                <w:rFonts w:ascii="Arial" w:cs="Arial" w:eastAsia="Arial" w:hAnsi="Arial"/>
                <w:sz w:val="18"/>
                <w:szCs w:val="18"/>
                <w:color w:val="auto"/>
              </w:rPr>
              <w:t>Fair value change due to price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(2,921)</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(2,670)</w:t>
            </w:r>
          </w:p>
        </w:tc>
        <w:tc>
          <w:tcPr>
            <w:tcW w:w="3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(8,852)</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(4,873)</w:t>
            </w:r>
          </w:p>
        </w:tc>
      </w:tr>
      <w:tr>
        <w:trPr>
          <w:trHeight w:val="216"/>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change due to pay-downs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r>
      <w:tr>
        <w:trPr>
          <w:trHeight w:val="27"/>
        </w:trPr>
        <w:tc>
          <w:tcPr>
            <w:tcW w:w="41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(3,022)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(1,907)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(8,322)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(3,122)</w:t>
            </w:r>
          </w:p>
        </w:tc>
      </w:tr>
      <w:tr>
        <w:trPr>
          <w:trHeight w:val="891"/>
        </w:trPr>
        <w:tc>
          <w:tcPr>
            <w:tcW w:w="4140" w:type="dxa"/>
            <w:vAlign w:val="bottom"/>
          </w:tcPr>
          <w:p>
            <w:pPr>
              <w:spacing w:after="0"/>
              <w:rPr>
                <w:sz w:val="24"/>
                <w:szCs w:val="24"/>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1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80" w:type="dxa"/>
            <w:vAlign w:val="bottom"/>
            <w:gridSpan w:val="2"/>
          </w:tcPr>
          <w:p>
            <w:pPr>
              <w:spacing w:after="0"/>
              <w:rPr>
                <w:sz w:val="20"/>
                <w:szCs w:val="20"/>
                <w:color w:val="auto"/>
              </w:rPr>
            </w:pPr>
            <w:r>
              <w:rPr>
                <w:rFonts w:ascii="Arial" w:cs="Arial" w:eastAsia="Arial" w:hAnsi="Arial"/>
                <w:sz w:val="18"/>
                <w:szCs w:val="18"/>
                <w:color w:val="auto"/>
              </w:rPr>
              <w:t>Activity related to capitalized mortgage loan servicing rights is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Capitalized Mortgage Loan Servicing Rights</w:t>
            </w:r>
          </w:p>
        </w:tc>
        <w:tc>
          <w:tcPr>
            <w:tcW w:w="240" w:type="dxa"/>
            <w:vAlign w:val="bottom"/>
          </w:tcPr>
          <w:p>
            <w:pPr>
              <w:spacing w:after="0"/>
              <w:rPr>
                <w:sz w:val="24"/>
                <w:szCs w:val="24"/>
                <w:color w:val="auto"/>
              </w:rPr>
            </w:pPr>
          </w:p>
        </w:tc>
        <w:tc>
          <w:tcPr>
            <w:tcW w:w="2480" w:type="dxa"/>
            <w:vAlign w:val="bottom"/>
            <w:gridSpan w:val="5"/>
            <w:vMerge w:val="restart"/>
          </w:tcPr>
          <w:p>
            <w:pPr>
              <w:jc w:val="right"/>
              <w:ind w:right="74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vMerge w:val="restart"/>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vMerge w:val="continue"/>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19,909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21,400</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Servicing rights acquired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Originated servicing rights capitalized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23"/>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Change in fair value</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(4,667)</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(3,422)</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(11,641)</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2020 we were servicing approximately $2.74 billion in mortgage loans for others on which servicing rights have been capitalized. This servicing portfolio had a weighted average coupon rate of 4.05% and a weighted average service fee of approximately 25.7 basis points. Capitalized mortgage loan servicing rights at June 30, 2020 totaled $13.8 million, representing approximately 50.3 basis points on the related amount of mortgage loans serviced for others.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 and insurance commissions represent revenues generated on the sale or management of investments and insurance for our customers. These revenues were relatively comparable on a quarterly basis, and increased on a year-to-date basis in 2020 as compared to 2019. The year-to-date comparative increase in 2020 was primarily due to slower sales in the first quarter of 2019.</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bank owned life insurance (“BOLI”) was relatively stable on both a comparative quarterly and year-to-date basis in 2020 compared to 2019 reflecting a consistent crediting rate on our cash surrender value. Our BOLI separate account is primarily invested in agency mortgage-backed securities. The crediting rate (on which the earnings are based) reflects the performance of the separate account. The total cash surrender value of our BOLI was $55.3 million and $55.7 million at June 30, 2020 and December 31, 2019, respectively.</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non-interest income decreased significantly on both a comparative quarterly and year-to-date basis in 2020 as compared to 2019. Several categories of fees have been reduced in 2020 due to the impact of the COVID-19 pandemic on transaction volumes, including ATM fees and merchant credit card processing fees. In addition, we have elected to suspend certain electronic banking fees because of the COVID-19 pandemic and the increased need for our customers to access these channels. Commercial loan swap fee income is also lower in 2020 as customers have not felt the need to execute such transactions given the low interest rate environment. Finally, the first quarter of 2019 included $0.4 million of recoveries on TCSB loans that had been charged-off prior to the Merger.</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Non-interest expense. </w:t>
      </w:r>
      <w:r>
        <w:rPr>
          <w:rFonts w:ascii="Arial" w:cs="Arial" w:eastAsia="Arial" w:hAnsi="Arial"/>
          <w:sz w:val="16"/>
          <w:szCs w:val="16"/>
          <w:color w:val="auto"/>
        </w:rPr>
        <w:t>Non-interest expense is an important component of our results of operations. We strive to efficiently manage our cost structure.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expense increased by $0.8 million to $27.3 million and increased by $1.5 million to $56.1 million during the three- and six-month periods ended June 30, 2020, respectively, compared to the same periods in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980" w:type="dxa"/>
            <w:vAlign w:val="bottom"/>
            <w:gridSpan w:val="2"/>
          </w:tcPr>
          <w:p>
            <w:pPr>
              <w:spacing w:after="0"/>
              <w:rPr>
                <w:sz w:val="20"/>
                <w:szCs w:val="20"/>
                <w:color w:val="auto"/>
              </w:rPr>
            </w:pPr>
            <w:r>
              <w:rPr>
                <w:rFonts w:ascii="Arial" w:cs="Arial" w:eastAsia="Arial" w:hAnsi="Arial"/>
                <w:sz w:val="18"/>
                <w:szCs w:val="18"/>
                <w:color w:val="auto"/>
              </w:rPr>
              <w:t>The components of non-interest expense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r>
      <w:tr>
        <w:trPr>
          <w:trHeight w:val="216"/>
        </w:trPr>
        <w:tc>
          <w:tcPr>
            <w:tcW w:w="4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4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20,371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Performance-based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2,296</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5,930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4,516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w:t>
            </w:r>
          </w:p>
        </w:tc>
      </w:tr>
      <w:tr>
        <w:trPr>
          <w:trHeight w:val="27"/>
        </w:trPr>
        <w:tc>
          <w:tcPr>
            <w:tcW w:w="40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16,279</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15,931</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32,788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32,282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2,171</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3,945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4,315</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1,603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Interchange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Loan and collection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756</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1,561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Legal and professional</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861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FDIC deposit insurance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Branch closure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Conversion related expenses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Costs related to unfunded lending commitments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card and bank service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Provision for loss reimbursement on sold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losses on other real estate and repossessed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1,528</w:t>
            </w:r>
          </w:p>
        </w:tc>
        <w:tc>
          <w:tcPr>
            <w:tcW w:w="3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2,777</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3,066</w:t>
            </w:r>
          </w:p>
        </w:tc>
      </w:tr>
      <w:tr>
        <w:trPr>
          <w:trHeight w:val="257"/>
        </w:trPr>
        <w:tc>
          <w:tcPr>
            <w:tcW w:w="40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27,346</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and employee benefits expenses, in total, increased $0.3 million on a quarterly comparative basis and increased $0.5 million for the first six months of 2020 compared to the same periods in 2019.</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Compensation expense decreased by $0.5 million and $0.3 million in the second quarter and first six months of 2020, respectively, compared to the same periods in 2019. These comparative decreases in 2020 were primarily due to an increased level of compensation that was deferred as direct loan origination costs (due to higher loan origination volumes) that was partially offset by salary increases that were predominantly effective on January 1, 2020.</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Performance-based compensation increased by $1.5 million and $1.4 million in the second quarter and first six months of 2020, respectively, versus the same periods in 2019. The increases reflect the changes in the accrual for anticipated incentive compensation based on our estimated full-year performance as compared to goals as well as $0.4 million in bonuses paid during the second quarter of 2020 to front-line personnel due to their extraordinary efforts during the COVID-19 pandemic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Payroll taxes and employee benefits decreased by $0.6 million in both the second quarter and first six months of 2020, respectively, compared to the same periods in 2019, due primarily to a decline in health care costs (due to decreased claims in 2020) as well as a $0.3 million prescription drug rebate received and recorded in the second quarter of 2020 that related to our 2019 plan year. The decrease in health care claims is due in part to the COVID-19 pandemic that resulted in the closing of many medical and dental facilities except for emergency care during Michigan’s “stay home, stay safe” period.</w:t>
      </w:r>
    </w:p>
    <w:p>
      <w:pPr>
        <w:spacing w:after="0" w:line="18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Occupancy, net, furniture, fixtures and equipment, supplies and credit card and bank service fees expenses were all relatively unchanged on a comparative quarterly and year-to-date basis in 2020 as compared to 2019. We have been incurring some additional expenses in 2020 related to the COVID-19 pandemic for more frequent cleaning of our facilities, the installation of safety related fixtures (such as plexiglass shields) and certain supplies (hand sanitizer for example).</w:t>
      </w:r>
    </w:p>
    <w:p>
      <w:pPr>
        <w:spacing w:after="0" w:line="21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Data processing expense decreased by $0.6 million and $0.4 million in the second quarter and first six months of 2020, respectively, compared to the same periods in 2019. These comparative decreases in 2020 are primarily due to a cost savings agreement related to core data processing services that was executed in the second quarter of 2020. This expense reduction was partially offset by new software product additions and increased mobile banking costs.</w:t>
      </w:r>
    </w:p>
    <w:p>
      <w:pPr>
        <w:spacing w:after="0" w:line="21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Communications expense increased by $0.1 million in both the second quarter and first six months of 2020, respectively, compared to the same periods in 2019, due primarily to mailing costs related to the issuance of new contactless debit cards.</w:t>
      </w:r>
    </w:p>
    <w:p>
      <w:pPr>
        <w:spacing w:after="0" w:line="19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Interchange expense primarily represents our third-party cost to process debit card transactions. The changes in this expense in 2020 on both a comparative quarterly and year-to-date basis as compared to 2019 are due principally to changes in transaction volume and transaction channel mix.</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and collection expense reflects costs related to new lending activity as well as the management and collection of non-performing loans and other problem credits. These costs increased in 2020 on both a comparative quarterly and year-to-date basis as compared to 2019 due primarily to higher loan origination activity.</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Advertising expense decreased by approximately $0.3 million in 2020 on both a comparative quarterly and year-to-date basis as compared to 2019 due primarily to the receipt of a $0.2 million reimbursement from our debit card provider for certain eligible marketing costs that we incurred.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Legal and professional fees increased by approximately $0.1 million in 2020 on both a comparative quarterly and year-to-date basis as compared to 2019 due primarily to an increase title search fees and bank examination fees (due to an increase in our asset size).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FDIC deposit insurance expense increased in 2020 on both a comparative quarterly and year-to-date basis as compared to 2019 due to a combination of an increase in our assessment rate and growth in our total assets.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amortization of intangible assets relates to the TCSB acquisition and prior branch acquisitions and the amortization of the deposit customer relationship value, including core deposit value, which was acquired in connection with those acquisitions. We had remaining unamortized intangible assets of $4.8 million and $5.3 million at June 30, 2020 and December 31, 2019, respectively. See note #7 to the Condensed Consolidated Financial Statements for a schedule of future amortization of intangible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Branch closure costs totaled $0.4 million for both second quarter and first six months of 2020. We have closed eight Bank branches (two on June 26, 2020 and six on July 31, 2020). These costs primarily represent write-downs of fixed assets (buildings, furniture and equipment) and lease assets.</w:t>
      </w:r>
    </w:p>
    <w:p>
      <w:pPr>
        <w:spacing w:after="0" w:line="17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Conversion related expenses totaled $0.3 million and $0.4 million for the second quarter and first six months of 2020, respectively. We are at the early stages of a process to convert our core data processing system to a new system hosted by a different vendor. These 2020 expenses represent costs incurred for assistance from our existing vendor and fees from consultants who are assisting us in this conversion. Also see Part II, Item 1A. Risk Factors below for further information on this conversion.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cost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provision for loss reimbursement on sold loans was an expense of $0.08 million and $0.11 million in the second quarter and first six months of 2020, respectively, compared to an expense of $0.04 million and $0.15 million in the second quarter and first six months of 2019, respectively. This provision represents our estimate of incurred losses related to mortgage loans that we have sold to investors (primarily Fannie Mae, Freddie Mac, Ginnie Mae and the Federal Home Loan Bank of Indianapolis). The small expense provisions in 2020 and 2019 are primarily due to growth in the balance of loans serviced for investors. Since we sell mortgage loans without recourse, loss reimbursements only occur in those instances where we have breached a representation or warranty or other contractual requirement related to the loan sale. The reserve for loss reimbursements on sold mortgage loans totaled $0.99 million and $0.88 million at June 30, 2020 and December 31, 2019, respectively. This reserve is included in accrued expenses and other liabilities in our Condensed Consolidated Statements of Financial Condition.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(gains)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non-interest expenses decreased by $0.3 million in both the second quarter and first six months of 2020, compared to the same periods in 2019. This decrease in 2020 is primarily due to a decline in travel and entertainment costs due primarily to COVID-19 pandemic related travel restrictions.</w:t>
      </w:r>
    </w:p>
    <w:p>
      <w:pPr>
        <w:spacing w:after="0" w:line="14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Income tax expense. </w:t>
      </w:r>
      <w:r>
        <w:rPr>
          <w:rFonts w:ascii="Arial" w:cs="Arial" w:eastAsia="Arial" w:hAnsi="Arial"/>
          <w:sz w:val="16"/>
          <w:szCs w:val="16"/>
          <w:color w:val="auto"/>
        </w:rPr>
        <w:t>We recorded an income tax expense of $3.5 million and $4.5 million in the second quarter and the first six months of 2020,</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This compares to an income tax expense of $2.7 million and $4.9 million in the second quarter and the first six months of 2019, respectively.</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2020 and 2019 and at December 31, 2019, that the realization of substantially all of our deferred tax assets continues to be more likely than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w:t>
      </w: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Our total assets increased by $478.6 million during the first six months of 2020. Loans, excluding loans held for sale, (“Portfolio Loans”) were</w:t>
      </w:r>
      <w:r>
        <w:rPr>
          <w:rFonts w:ascii="Arial" w:cs="Arial" w:eastAsia="Arial" w:hAnsi="Arial"/>
          <w:sz w:val="17"/>
          <w:szCs w:val="17"/>
          <w:b w:val="1"/>
          <w:bCs w:val="1"/>
          <w:color w:val="auto"/>
        </w:rPr>
        <w:t xml:space="preserve"> </w:t>
      </w:r>
      <w:r>
        <w:rPr>
          <w:rFonts w:ascii="Arial" w:cs="Arial" w:eastAsia="Arial" w:hAnsi="Arial"/>
          <w:sz w:val="17"/>
          <w:szCs w:val="17"/>
          <w:color w:val="auto"/>
        </w:rPr>
        <w:t>$2.87 billion at June 30, 2020, compared to $2.73 billion at December 31, 2019. Growth in commercial loans of $196.3 million and installment loans of $2.6 million were partially offset by a decline in mortgage loans of $57.2 million. The decline in mortgage loans was due in part to a securitization and/or sale of $28.7 million of portfolio mortgage loans during the first quarter of 2020. (See "Portfolio Loans and asset quality.")</w:t>
      </w:r>
    </w:p>
    <w:p>
      <w:pPr>
        <w:spacing w:after="0" w:line="19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Deposits totaled $3.49 billion at June 30, 2020, an increase of $448.4 million from December 31, 2019. The increase in deposits is primarily due to growth in non-interest bearing deposits, savings and interest bearing checking deposits and reciprocal deposits that were partially offset by a decline in time and brokered time deposits.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commercial loans in the first half of 2020 is due primarily to loans extended under the Paycheck Protection Program (“PPP”) administered by the U.S. Small Business Administration (“SBA”). The increase in deposits is due in part to the significant liquidity that has been injected into the economy through government programs, such as the PPP, as well as by monetary actions by the Federal Reserve Bank, all in response to the COVID-19 pandemic.</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unclear as to when these various government stimulus programs may end and when ended, what the impact will be on our levels of Portfolio Loans and deposits. However, our liquidity and funding contingency plans take into account the possibility of significant reductions in commercial loans and deposits during the second half of 2020 and into 2021.</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Securities. </w:t>
      </w:r>
      <w:r>
        <w:rPr>
          <w:rFonts w:ascii="Arial" w:cs="Arial" w:eastAsia="Arial" w:hAnsi="Arial"/>
          <w:sz w:val="16"/>
          <w:szCs w:val="16"/>
          <w:color w:val="auto"/>
        </w:rPr>
        <w:t>We maintain diversified securities portfolios, which include obligations of U.S. government-sponsored agencies, securities issued by states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Securities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6"/>
        </w:trPr>
        <w:tc>
          <w:tcPr>
            <w:tcW w:w="4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w w:val="96"/>
              </w:rPr>
              <w:t>Amortized</w:t>
            </w: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Unrealized</w:t>
            </w:r>
          </w:p>
        </w:tc>
        <w:tc>
          <w:tcPr>
            <w:tcW w:w="9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Fair</w:t>
            </w:r>
          </w:p>
        </w:tc>
      </w:tr>
      <w:tr>
        <w:trPr>
          <w:trHeight w:val="223"/>
        </w:trPr>
        <w:tc>
          <w:tcPr>
            <w:tcW w:w="4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Cost</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Gains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Losses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Value</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June 30, 2020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841,958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16,840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856,280</w:t>
            </w:r>
          </w:p>
        </w:tc>
      </w:tr>
      <w:tr>
        <w:trPr>
          <w:trHeight w:val="230"/>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December 31, 2019</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513,668</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5,782</w:t>
            </w:r>
          </w:p>
        </w:tc>
        <w:tc>
          <w:tcPr>
            <w:tcW w:w="4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1,050</w:t>
            </w: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518,400</w:t>
            </w:r>
          </w:p>
        </w:tc>
      </w:tr>
    </w:tbl>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Securities available for sale increased $337.9 million during the first six months of 2020. This significant increase reflects the deployment of funds from growth in our total deposits. 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We recorded no impairment losses related to other than temporary impairment on securities available for sale during the first six months or second quarters of 2020 or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Sales of securities were as follows (See “Non-interest income.”):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b w:val="1"/>
                <w:bCs w:val="1"/>
                <w:color w:val="auto"/>
              </w:rPr>
              <w:t>Sales of Securities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8"/>
                <w:szCs w:val="18"/>
                <w:color w:val="auto"/>
              </w:rPr>
              <w:t>Six months ended</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36,593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42,236</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gains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Gross losses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impairment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Fair value adjustments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Portfolio Loans and asset quality. </w:t>
      </w:r>
      <w:r>
        <w:rPr>
          <w:rFonts w:ascii="Arial" w:cs="Arial" w:eastAsia="Arial" w:hAnsi="Arial"/>
          <w:sz w:val="17"/>
          <w:szCs w:val="17"/>
          <w:color w:val="auto"/>
        </w:rPr>
        <w:t>In addition to the communities served by our Bank branch and loan production office network, our principal lending</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than as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continue to sell some fixed rate jumbo and other portfolio mortgage loans in the future.</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PPP, is a short-term, forgivable loan program primarily intended to help businesses impacted by COVID-19 to continue paying their employees. Also see Part II, Item 1A. Risk Factors below regarding the PPP.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short summary of the program follows:</w:t>
      </w:r>
    </w:p>
    <w:p>
      <w:pPr>
        <w:spacing w:after="0" w:line="252" w:lineRule="exact"/>
        <w:rPr>
          <w:sz w:val="20"/>
          <w:szCs w:val="20"/>
          <w:color w:val="auto"/>
        </w:rPr>
      </w:pPr>
    </w:p>
    <w:p>
      <w:pPr>
        <w:ind w:left="700" w:hanging="32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Two year (five year for loans originated after June 5,2020) term with payments deferred for six months;</w:t>
      </w:r>
    </w:p>
    <w:p>
      <w:pPr>
        <w:spacing w:after="0" w:line="23" w:lineRule="exact"/>
        <w:rPr>
          <w:rFonts w:ascii="Arial" w:cs="Arial" w:eastAsia="Arial" w:hAnsi="Arial"/>
          <w:sz w:val="18"/>
          <w:szCs w:val="18"/>
          <w:color w:val="auto"/>
        </w:rPr>
      </w:pPr>
    </w:p>
    <w:p>
      <w:pPr>
        <w:ind w:left="700" w:hanging="32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One percent interest rate;</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collateral or personal guarantees required;</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fees paid by the borrower, rather lenders are paid a fee through the SBA according to a set schedule based on loan size, and;</w:t>
      </w:r>
    </w:p>
    <w:p>
      <w:pPr>
        <w:spacing w:after="0" w:line="9" w:lineRule="exact"/>
        <w:rPr>
          <w:rFonts w:ascii="Arial" w:cs="Arial" w:eastAsia="Arial" w:hAnsi="Arial"/>
          <w:sz w:val="18"/>
          <w:szCs w:val="18"/>
          <w:color w:val="auto"/>
        </w:rPr>
      </w:pPr>
    </w:p>
    <w:p>
      <w:pPr>
        <w:ind w:left="700" w:hanging="328"/>
        <w:spacing w:after="0" w:line="260"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Loans are forgivable if at least 75% of the loan proceeds are used for payroll with the remainder being used for rent, mortgage interest and/or utilities.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 summary of our participation in the PPP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b w:val="1"/>
                <w:bCs w:val="1"/>
                <w:color w:val="auto"/>
              </w:rPr>
              <w:t>Paycheck Protection Program Volume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680" w:type="dxa"/>
            <w:vAlign w:val="bottom"/>
          </w:tcPr>
          <w:p>
            <w:pPr>
              <w:spacing w:after="0"/>
              <w:rPr>
                <w:sz w:val="24"/>
                <w:szCs w:val="24"/>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As of June 30, 2020</w:t>
            </w:r>
          </w:p>
        </w:tc>
      </w:tr>
      <w:tr>
        <w:trPr>
          <w:trHeight w:val="223"/>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Amount (#)</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Amount ($)</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(Dollars in thousands)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Approved by Independent Bank</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264,008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SBA loan # assigned(1)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264,008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Closed and outstanding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259,351</w:t>
            </w:r>
          </w:p>
        </w:tc>
      </w:tr>
    </w:tbl>
    <w:p>
      <w:pPr>
        <w:spacing w:after="0" w:line="229"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Denotes that an application has been accepted by the SBA and that PPP funds are reserved for that application.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Congress and the major bank regulatory agencies have encouraged banks to work with their borrowers to provide short-term loan payment relief during the COVID-19 national emergency. On March 22, 2020, an interagency statement was released by the Board of Governors of the Federal Reserve System, the Federal Deposit Insurance Corporation, the Office of the Comptroller of the Currency, the Consumer Financial Protection Bureau, the State Banking Regulators and the National Credit Union Administration that contained their interpretation as to which modifications would qualify for these exceptions. In general, to qualify for this exception: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modified loan must be current when the modification is made;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modification must be short term in nature (up to six months),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Modifications may include payment deferrals, fee waivers, extensions of repayment terms or other delays in payment that are insignificant.</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section 4013 of the CARES Act provides temporary relief from the accounting and reporting requirements for troubled debt restructurings (“TDRs”) regarding certain loan modifications for our customers. Section 4013 specified that COVID-19 related modifications on loans that were current as of December 31, 2019 are not TDRs.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response to our customers’ needs during this time of economic uncertainty we have initiated forbearance programs for our retail (Mortgage and Installment loans) and our commercial customers. We also have similar programs for mortgage loans that we service for others. Commercial loan accommodations are typically a three month interest-only period while retail loan (mortgage and installment) forbearances have primarily been payment suspensions for three months. To date there has not been a significant amount of requests for additional modifications.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w w:val="95"/>
              </w:rPr>
              <w:t>A summary of accommodations as of June 30, 2020 follows: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4620" w:type="dxa"/>
            <w:vAlign w:val="bottom"/>
          </w:tcPr>
          <w:p>
            <w:pPr>
              <w:spacing w:after="0"/>
              <w:rPr>
                <w:sz w:val="20"/>
                <w:szCs w:val="20"/>
                <w:color w:val="auto"/>
              </w:rPr>
            </w:pPr>
            <w:r>
              <w:rPr>
                <w:rFonts w:ascii="Arial" w:cs="Arial" w:eastAsia="Arial" w:hAnsi="Arial"/>
                <w:sz w:val="18"/>
                <w:szCs w:val="18"/>
                <w:b w:val="1"/>
                <w:bCs w:val="1"/>
                <w:color w:val="auto"/>
                <w:w w:val="97"/>
              </w:rPr>
              <w:t>Commercial and Retail Loan COVID-19 Accomodations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4620" w:type="dxa"/>
            <w:vAlign w:val="bottom"/>
          </w:tcPr>
          <w:p>
            <w:pPr>
              <w:spacing w:after="0"/>
              <w:rPr>
                <w:sz w:val="24"/>
                <w:szCs w:val="24"/>
                <w:color w:val="auto"/>
              </w:rPr>
            </w:pPr>
          </w:p>
        </w:tc>
        <w:tc>
          <w:tcPr>
            <w:tcW w:w="28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Covid-19 Accomodations</w:t>
            </w:r>
          </w:p>
        </w:tc>
        <w:tc>
          <w:tcPr>
            <w:tcW w:w="9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 of Total</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Loan Category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Customers (#)</w:t>
            </w:r>
          </w:p>
        </w:tc>
        <w:tc>
          <w:tcPr>
            <w:tcW w:w="240" w:type="dxa"/>
            <w:vAlign w:val="bottom"/>
          </w:tcPr>
          <w:p>
            <w:pPr>
              <w:spacing w:after="0"/>
              <w:rPr>
                <w:sz w:val="19"/>
                <w:szCs w:val="19"/>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Loans (#)</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Loans ($)</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16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gridSpan w:val="5"/>
          </w:tcPr>
          <w:p>
            <w:pPr>
              <w:jc w:val="right"/>
              <w:ind w:right="110"/>
              <w:spacing w:after="0"/>
              <w:rPr>
                <w:sz w:val="20"/>
                <w:szCs w:val="20"/>
                <w:color w:val="auto"/>
              </w:rPr>
            </w:pPr>
            <w:r>
              <w:rPr>
                <w:rFonts w:ascii="Arial" w:cs="Arial" w:eastAsia="Arial" w:hAnsi="Arial"/>
                <w:sz w:val="18"/>
                <w:szCs w:val="18"/>
                <w:color w:val="auto"/>
                <w:w w:val="87"/>
              </w:rPr>
              <w:t>(Dollars in 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210,486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1,362,956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Mortgage portfolio loans</w:t>
            </w:r>
          </w:p>
        </w:tc>
        <w:tc>
          <w:tcPr>
            <w:tcW w:w="1140" w:type="dxa"/>
            <w:vAlign w:val="bottom"/>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81,212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1,041,684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 &amp; Other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7,459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462,023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19"/>
                <w:szCs w:val="19"/>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1,054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299,157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2,866,663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Mortgage loans serviced for others(1)</w:t>
            </w:r>
          </w:p>
        </w:tc>
        <w:tc>
          <w:tcPr>
            <w:tcW w:w="1140" w:type="dxa"/>
            <w:vAlign w:val="bottom"/>
          </w:tcPr>
          <w:p>
            <w:pPr>
              <w:jc w:val="right"/>
              <w:spacing w:after="0"/>
              <w:rPr>
                <w:sz w:val="20"/>
                <w:szCs w:val="20"/>
                <w:color w:val="auto"/>
              </w:rPr>
            </w:pPr>
            <w:r>
              <w:rPr>
                <w:rFonts w:ascii="Arial" w:cs="Arial" w:eastAsia="Arial" w:hAnsi="Arial"/>
                <w:sz w:val="18"/>
                <w:szCs w:val="18"/>
                <w:color w:val="auto"/>
              </w:rPr>
              <w:t>773</w:t>
            </w:r>
          </w:p>
        </w:tc>
        <w:tc>
          <w:tcPr>
            <w:tcW w:w="24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773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114,839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2,739,478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29" w:lineRule="exact"/>
        <w:rPr>
          <w:sz w:val="20"/>
          <w:szCs w:val="20"/>
          <w:color w:val="auto"/>
        </w:rPr>
      </w:pPr>
    </w:p>
    <w:p>
      <w:pPr>
        <w:ind w:left="5540" w:right="4840" w:hanging="5532"/>
        <w:spacing w:after="0" w:line="838" w:lineRule="auto"/>
        <w:tabs>
          <w:tab w:leader="none" w:pos="209"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have delegated authority from all investors to grant these deferrals on their behalf.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7640" w:type="dxa"/>
            <w:vAlign w:val="bottom"/>
            <w:gridSpan w:val="3"/>
          </w:tcPr>
          <w:p>
            <w:pPr>
              <w:spacing w:after="0"/>
              <w:rPr>
                <w:sz w:val="20"/>
                <w:szCs w:val="20"/>
                <w:color w:val="auto"/>
              </w:rPr>
            </w:pPr>
            <w:r>
              <w:rPr>
                <w:rFonts w:ascii="Arial" w:cs="Arial" w:eastAsia="Arial" w:hAnsi="Arial"/>
                <w:sz w:val="18"/>
                <w:szCs w:val="18"/>
                <w:i w:val="1"/>
                <w:iCs w:val="1"/>
                <w:color w:val="0000EE"/>
              </w:rPr>
              <w:t>Index</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40" w:type="dxa"/>
            <w:vAlign w:val="bottom"/>
            <w:gridSpan w:val="3"/>
          </w:tcPr>
          <w:p>
            <w:pPr>
              <w:spacing w:after="0"/>
              <w:rPr>
                <w:sz w:val="20"/>
                <w:szCs w:val="20"/>
                <w:color w:val="auto"/>
              </w:rPr>
            </w:pPr>
            <w:r>
              <w:rPr>
                <w:rFonts w:ascii="Arial" w:cs="Arial" w:eastAsia="Arial" w:hAnsi="Arial"/>
                <w:sz w:val="18"/>
                <w:szCs w:val="18"/>
                <w:color w:val="auto"/>
              </w:rPr>
              <w:t>A summary of our Portfolio Loans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5"/>
          </w:tcPr>
          <w:p>
            <w:pPr>
              <w:ind w:left="40"/>
              <w:spacing w:after="0"/>
              <w:rPr>
                <w:sz w:val="20"/>
                <w:szCs w:val="20"/>
                <w:color w:val="auto"/>
              </w:rPr>
            </w:pPr>
            <w:r>
              <w:rPr>
                <w:rFonts w:ascii="Arial" w:cs="Arial" w:eastAsia="Arial" w:hAnsi="Arial"/>
                <w:sz w:val="18"/>
                <w:szCs w:val="18"/>
                <w:color w:val="auto"/>
              </w:rPr>
              <w:t>June 30,</w:t>
            </w:r>
          </w:p>
        </w:tc>
        <w:tc>
          <w:tcPr>
            <w:tcW w:w="1220" w:type="dxa"/>
            <w:vAlign w:val="bottom"/>
            <w:gridSpan w:val="4"/>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40" w:type="dxa"/>
            <w:vAlign w:val="bottom"/>
            <w:gridSpan w:val="3"/>
            <w:vMerge w:val="restart"/>
          </w:tcPr>
          <w:p>
            <w:pPr>
              <w:spacing w:after="0"/>
              <w:rPr>
                <w:sz w:val="20"/>
                <w:szCs w:val="20"/>
                <w:color w:val="auto"/>
              </w:rPr>
            </w:pPr>
            <w:r>
              <w:rPr>
                <w:rFonts w:ascii="Arial" w:cs="Arial" w:eastAsia="Arial" w:hAnsi="Arial"/>
                <w:sz w:val="18"/>
                <w:szCs w:val="18"/>
                <w:color w:val="auto"/>
              </w:rPr>
              <w:t>Real estate(1)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5"/>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6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Residential first mortgages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810,191</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843,746</w:t>
            </w:r>
          </w:p>
        </w:tc>
        <w:tc>
          <w:tcPr>
            <w:tcW w:w="0" w:type="dxa"/>
            <w:vAlign w:val="bottom"/>
          </w:tcPr>
          <w:p>
            <w:pPr>
              <w:spacing w:after="0"/>
              <w:rPr>
                <w:sz w:val="1"/>
                <w:szCs w:val="1"/>
                <w:color w:val="auto"/>
              </w:rPr>
            </w:pPr>
          </w:p>
        </w:tc>
      </w:tr>
      <w:tr>
        <w:trPr>
          <w:trHeight w:val="216"/>
        </w:trPr>
        <w:tc>
          <w:tcPr>
            <w:tcW w:w="7640" w:type="dxa"/>
            <w:vAlign w:val="bottom"/>
            <w:gridSpan w:val="3"/>
          </w:tcPr>
          <w:p>
            <w:pPr>
              <w:ind w:left="140"/>
              <w:spacing w:after="0"/>
              <w:rPr>
                <w:sz w:val="20"/>
                <w:szCs w:val="20"/>
                <w:color w:val="auto"/>
              </w:rPr>
            </w:pPr>
            <w:r>
              <w:rPr>
                <w:rFonts w:ascii="Arial" w:cs="Arial" w:eastAsia="Arial" w:hAnsi="Arial"/>
                <w:sz w:val="18"/>
                <w:szCs w:val="18"/>
                <w:color w:val="auto"/>
              </w:rPr>
              <w:t>Residential home equity and other junior mortgages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155,916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166,735</w:t>
            </w: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Construction and land development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251,185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249,747</w:t>
            </w:r>
          </w:p>
        </w:tc>
        <w:tc>
          <w:tcPr>
            <w:tcW w:w="0" w:type="dxa"/>
            <w:vAlign w:val="bottom"/>
          </w:tcPr>
          <w:p>
            <w:pPr>
              <w:spacing w:after="0"/>
              <w:rPr>
                <w:sz w:val="1"/>
                <w:szCs w:val="1"/>
                <w:color w:val="auto"/>
              </w:rPr>
            </w:pPr>
          </w:p>
        </w:tc>
      </w:tr>
      <w:tr>
        <w:trPr>
          <w:trHeight w:val="216"/>
        </w:trPr>
        <w:tc>
          <w:tcPr>
            <w:tcW w:w="7640" w:type="dxa"/>
            <w:vAlign w:val="bottom"/>
            <w:gridSpan w:val="3"/>
          </w:tcPr>
          <w:p>
            <w:pPr>
              <w:ind w:left="140"/>
              <w:spacing w:after="0"/>
              <w:rPr>
                <w:sz w:val="20"/>
                <w:szCs w:val="20"/>
                <w:color w:val="auto"/>
              </w:rPr>
            </w:pPr>
            <w:r>
              <w:rPr>
                <w:rFonts w:ascii="Arial" w:cs="Arial" w:eastAsia="Arial" w:hAnsi="Arial"/>
                <w:sz w:val="18"/>
                <w:szCs w:val="18"/>
                <w:color w:val="auto"/>
              </w:rPr>
              <w:t>Other(2)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662,386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693,580</w:t>
            </w: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452,737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448,297</w:t>
            </w:r>
          </w:p>
        </w:tc>
        <w:tc>
          <w:tcPr>
            <w:tcW w:w="0" w:type="dxa"/>
            <w:vAlign w:val="bottom"/>
          </w:tcPr>
          <w:p>
            <w:pPr>
              <w:spacing w:after="0"/>
              <w:rPr>
                <w:sz w:val="1"/>
                <w:szCs w:val="1"/>
                <w:color w:val="auto"/>
              </w:rPr>
            </w:pPr>
          </w:p>
        </w:tc>
      </w:tr>
      <w:tr>
        <w:trPr>
          <w:trHeight w:val="216"/>
        </w:trPr>
        <w:tc>
          <w:tcPr>
            <w:tcW w:w="7640" w:type="dxa"/>
            <w:vAlign w:val="bottom"/>
            <w:gridSpan w:val="3"/>
          </w:tcPr>
          <w:p>
            <w:pPr>
              <w:spacing w:after="0"/>
              <w:rPr>
                <w:sz w:val="20"/>
                <w:szCs w:val="20"/>
                <w:color w:val="auto"/>
              </w:rPr>
            </w:pPr>
            <w:r>
              <w:rPr>
                <w:rFonts w:ascii="Arial" w:cs="Arial" w:eastAsia="Arial" w:hAnsi="Arial"/>
                <w:sz w:val="18"/>
                <w:szCs w:val="18"/>
                <w:color w:val="auto"/>
              </w:rPr>
              <w:t>Commercial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529,808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318,504</w:t>
            </w: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Agricultural</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7"/>
        </w:trPr>
        <w:tc>
          <w:tcPr>
            <w:tcW w:w="4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3"/>
          </w:tcPr>
          <w:p>
            <w:pPr>
              <w:ind w:left="140"/>
              <w:spacing w:after="0"/>
              <w:rPr>
                <w:sz w:val="20"/>
                <w:szCs w:val="20"/>
                <w:color w:val="auto"/>
              </w:rPr>
            </w:pPr>
            <w:r>
              <w:rPr>
                <w:rFonts w:ascii="Arial" w:cs="Arial" w:eastAsia="Arial" w:hAnsi="Arial"/>
                <w:sz w:val="18"/>
                <w:szCs w:val="18"/>
                <w:color w:val="auto"/>
              </w:rPr>
              <w:t>Total loans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w w:val="92"/>
              </w:rPr>
              <w:t>2,866,663</w:t>
            </w:r>
          </w:p>
        </w:tc>
        <w:tc>
          <w:tcPr>
            <w:tcW w:w="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2,725,023</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
        </w:trPr>
        <w:tc>
          <w:tcPr>
            <w:tcW w:w="4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9"/>
        </w:trPr>
        <w:tc>
          <w:tcPr>
            <w:tcW w:w="7640" w:type="dxa"/>
            <w:vAlign w:val="bottom"/>
            <w:gridSpan w:val="3"/>
          </w:tcPr>
          <w:p>
            <w:pPr>
              <w:spacing w:after="0"/>
              <w:rPr>
                <w:sz w:val="20"/>
                <w:szCs w:val="20"/>
                <w:color w:val="auto"/>
              </w:rPr>
            </w:pPr>
            <w:r>
              <w:rPr>
                <w:rFonts w:ascii="Arial" w:cs="Arial" w:eastAsia="Arial" w:hAnsi="Arial"/>
                <w:sz w:val="18"/>
                <w:szCs w:val="18"/>
                <w:color w:val="auto"/>
              </w:rPr>
              <w:t>(1) Includes both residential and non-residential commercial loans secured by real estate.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40" w:type="dxa"/>
            <w:vAlign w:val="bottom"/>
            <w:gridSpan w:val="3"/>
          </w:tcPr>
          <w:p>
            <w:pPr>
              <w:spacing w:after="0"/>
              <w:rPr>
                <w:sz w:val="20"/>
                <w:szCs w:val="20"/>
                <w:color w:val="auto"/>
              </w:rPr>
            </w:pPr>
            <w:r>
              <w:rPr>
                <w:rFonts w:ascii="Arial" w:cs="Arial" w:eastAsia="Arial" w:hAnsi="Arial"/>
                <w:sz w:val="18"/>
                <w:szCs w:val="18"/>
                <w:color w:val="auto"/>
              </w:rPr>
              <w:t>(2) Includes loans secured by multi-family residential and non-farm, non-residential property.</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40" w:type="dxa"/>
            <w:vAlign w:val="bottom"/>
            <w:gridSpan w:val="3"/>
          </w:tcPr>
          <w:p>
            <w:pPr>
              <w:spacing w:after="0"/>
              <w:rPr>
                <w:sz w:val="20"/>
                <w:szCs w:val="20"/>
                <w:color w:val="auto"/>
              </w:rPr>
            </w:pPr>
            <w:r>
              <w:rPr>
                <w:rFonts w:ascii="Arial" w:cs="Arial" w:eastAsia="Arial" w:hAnsi="Arial"/>
                <w:sz w:val="18"/>
                <w:szCs w:val="18"/>
                <w:color w:val="auto"/>
              </w:rPr>
              <w:t>A summary of our non-performing assets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2"/>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Non-performing assets </w:t>
            </w:r>
            <w:r>
              <w:rPr>
                <w:rFonts w:ascii="Arial" w:cs="Arial" w:eastAsia="Arial" w:hAnsi="Arial"/>
                <w:sz w:val="29"/>
                <w:szCs w:val="29"/>
                <w:b w:val="1"/>
                <w:bCs w:val="1"/>
                <w:color w:val="auto"/>
                <w:vertAlign w:val="superscript"/>
              </w:rPr>
              <w:t>(1)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w w:val="91"/>
              </w:rPr>
              <w:t>December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June 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7"/>
          </w:tcPr>
          <w:p>
            <w:pPr>
              <w:jc w:val="right"/>
              <w:ind w:right="40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10,178</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gridSpan w:val="3"/>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Subtotal</w:t>
            </w: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gridSpan w:val="3"/>
          </w:tcPr>
          <w:p>
            <w:pPr>
              <w:spacing w:after="0"/>
              <w:rPr>
                <w:sz w:val="20"/>
                <w:szCs w:val="20"/>
                <w:color w:val="auto"/>
              </w:rPr>
            </w:pPr>
            <w:r>
              <w:rPr>
                <w:rFonts w:ascii="Arial" w:cs="Arial" w:eastAsia="Arial" w:hAnsi="Arial"/>
                <w:sz w:val="18"/>
                <w:szCs w:val="18"/>
                <w:color w:val="auto"/>
              </w:rPr>
              <w:t>Less: Government guaranteed loans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non-performing loans</w:t>
            </w: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gridSpan w:val="3"/>
          </w:tcPr>
          <w:p>
            <w:pPr>
              <w:spacing w:after="0"/>
              <w:rPr>
                <w:sz w:val="20"/>
                <w:szCs w:val="20"/>
                <w:color w:val="auto"/>
              </w:rPr>
            </w:pPr>
            <w:r>
              <w:rPr>
                <w:rFonts w:ascii="Arial" w:cs="Arial" w:eastAsia="Arial" w:hAnsi="Arial"/>
                <w:sz w:val="18"/>
                <w:szCs w:val="18"/>
                <w:color w:val="auto"/>
              </w:rPr>
              <w:t>Other real estate and repossessed assets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1,865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 non-performing assets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13,908</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 percent of Portfolio Loans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3"/>
          </w:tcPr>
          <w:p>
            <w:pPr>
              <w:ind w:left="140"/>
              <w:spacing w:after="0"/>
              <w:rPr>
                <w:sz w:val="20"/>
                <w:szCs w:val="20"/>
                <w:color w:val="auto"/>
              </w:rPr>
            </w:pPr>
            <w:r>
              <w:rPr>
                <w:rFonts w:ascii="Arial" w:cs="Arial" w:eastAsia="Arial" w:hAnsi="Arial"/>
                <w:sz w:val="18"/>
                <w:szCs w:val="18"/>
                <w:color w:val="auto"/>
              </w:rPr>
              <w:t>Non-performing loans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Allowance for loan losses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0.96</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3"/>
          </w:tcPr>
          <w:p>
            <w:pPr>
              <w:spacing w:after="0"/>
              <w:rPr>
                <w:sz w:val="20"/>
                <w:szCs w:val="20"/>
                <w:color w:val="auto"/>
              </w:rPr>
            </w:pPr>
            <w:r>
              <w:rPr>
                <w:rFonts w:ascii="Arial" w:cs="Arial" w:eastAsia="Arial" w:hAnsi="Arial"/>
                <w:sz w:val="18"/>
                <w:szCs w:val="18"/>
                <w:color w:val="auto"/>
              </w:rPr>
              <w:t>Non-performing assets to total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274.32</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Excludes loans classified as "trouble debt restructured" that are not past due.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troubled debt restructurings follows: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Troubled debt restructurings ("TDR")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Performing TDR's</w:t>
      </w:r>
    </w:p>
    <w:p>
      <w:pPr>
        <w:spacing w:after="0" w:line="202" w:lineRule="auto"/>
        <w:rPr>
          <w:sz w:val="20"/>
          <w:szCs w:val="20"/>
          <w:color w:val="auto"/>
        </w:rPr>
      </w:pPr>
      <w:r>
        <w:rPr>
          <w:rFonts w:ascii="Arial" w:cs="Arial" w:eastAsia="Arial" w:hAnsi="Arial"/>
          <w:sz w:val="18"/>
          <w:szCs w:val="18"/>
          <w:color w:val="auto"/>
        </w:rPr>
        <w:t xml:space="preserve">Non-performing TDR's </w:t>
      </w:r>
      <w:r>
        <w:rPr>
          <w:rFonts w:ascii="Arial" w:cs="Arial" w:eastAsia="Arial" w:hAnsi="Arial"/>
          <w:sz w:val="29"/>
          <w:szCs w:val="29"/>
          <w:color w:val="auto"/>
          <w:vertAlign w:val="superscript"/>
        </w:rPr>
        <w:t>(2)</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Performing TDR's</w:t>
      </w:r>
    </w:p>
    <w:p>
      <w:pPr>
        <w:spacing w:after="0" w:line="202" w:lineRule="auto"/>
        <w:rPr>
          <w:sz w:val="20"/>
          <w:szCs w:val="20"/>
          <w:color w:val="auto"/>
        </w:rPr>
      </w:pPr>
      <w:r>
        <w:rPr>
          <w:rFonts w:ascii="Arial" w:cs="Arial" w:eastAsia="Arial" w:hAnsi="Arial"/>
          <w:sz w:val="18"/>
          <w:szCs w:val="18"/>
          <w:color w:val="auto"/>
        </w:rPr>
        <w:t xml:space="preserve">Non-performing TDR's </w:t>
      </w:r>
      <w:r>
        <w:rPr>
          <w:rFonts w:ascii="Arial" w:cs="Arial" w:eastAsia="Arial" w:hAnsi="Arial"/>
          <w:sz w:val="29"/>
          <w:szCs w:val="29"/>
          <w:color w:val="auto"/>
          <w:vertAlign w:val="superscript"/>
        </w:rPr>
        <w:t>(2)</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June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1780" w:type="dxa"/>
            <w:vAlign w:val="bottom"/>
            <w:tcBorders>
              <w:top w:val="single" w:sz="8" w:color="auto"/>
            </w:tcBorders>
            <w:gridSpan w:val="4"/>
          </w:tcPr>
          <w:p>
            <w:pPr>
              <w:ind w:left="400"/>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940" w:type="dxa"/>
            <w:vAlign w:val="bottom"/>
            <w:tcBorders>
              <w:top w:val="single" w:sz="8" w:color="auto"/>
            </w:tcBorders>
            <w:gridSpan w:val="3"/>
          </w:tcPr>
          <w:p>
            <w:pPr>
              <w:jc w:val="right"/>
              <w:ind w:right="1080"/>
              <w:spacing w:after="0" w:line="263" w:lineRule="exact"/>
              <w:rPr>
                <w:sz w:val="20"/>
                <w:szCs w:val="20"/>
                <w:color w:val="auto"/>
              </w:rPr>
            </w:pPr>
            <w:r>
              <w:rPr>
                <w:rFonts w:ascii="Arial" w:cs="Arial" w:eastAsia="Arial" w:hAnsi="Arial"/>
                <w:sz w:val="18"/>
                <w:szCs w:val="18"/>
                <w:color w:val="auto"/>
              </w:rPr>
              <w:t xml:space="preserve">Retail </w:t>
            </w:r>
            <w:r>
              <w:rPr>
                <w:rFonts w:ascii="Arial" w:cs="Arial" w:eastAsia="Arial" w:hAnsi="Arial"/>
                <w:sz w:val="29"/>
                <w:szCs w:val="29"/>
                <w:color w:val="auto"/>
                <w:vertAlign w:val="superscript"/>
              </w:rPr>
              <w:t>(1)</w:t>
            </w:r>
          </w:p>
        </w:tc>
        <w:tc>
          <w:tcPr>
            <w:tcW w:w="1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40" w:type="dxa"/>
            <w:vAlign w:val="bottom"/>
            <w:gridSpan w:val="2"/>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371"/>
              <w:spacing w:after="0" w:line="201" w:lineRule="exact"/>
              <w:rPr>
                <w:sz w:val="20"/>
                <w:szCs w:val="20"/>
                <w:color w:val="auto"/>
              </w:rPr>
            </w:pPr>
            <w:r>
              <w:rPr>
                <w:rFonts w:ascii="Arial" w:cs="Arial" w:eastAsia="Arial" w:hAnsi="Arial"/>
                <w:sz w:val="18"/>
                <w:szCs w:val="18"/>
                <w:color w:val="auto"/>
                <w:w w:val="90"/>
              </w:rPr>
              <w:t>(In thousands)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0"/>
        </w:trPr>
        <w:tc>
          <w:tcPr>
            <w:tcW w:w="56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13,973</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38,554</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52,527</w:t>
            </w:r>
          </w:p>
        </w:tc>
        <w:tc>
          <w:tcPr>
            <w:tcW w:w="20" w:type="dxa"/>
            <w:vAlign w:val="bottom"/>
          </w:tcPr>
          <w:p>
            <w:pPr>
              <w:spacing w:after="0"/>
              <w:rPr>
                <w:sz w:val="19"/>
                <w:szCs w:val="19"/>
                <w:color w:val="auto"/>
              </w:rPr>
            </w:pPr>
          </w:p>
        </w:tc>
      </w:t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3"/>
          </w:tcPr>
          <w:p>
            <w:pPr>
              <w:jc w:val="right"/>
              <w:ind w:right="240"/>
              <w:spacing w:after="0" w:line="240" w:lineRule="exact"/>
              <w:rPr>
                <w:sz w:val="20"/>
                <w:szCs w:val="20"/>
                <w:color w:val="auto"/>
              </w:rPr>
            </w:pPr>
            <w:r>
              <w:rPr>
                <w:rFonts w:ascii="Arial" w:cs="Arial" w:eastAsia="Arial" w:hAnsi="Arial"/>
                <w:sz w:val="17"/>
                <w:szCs w:val="17"/>
                <w:color w:val="auto"/>
              </w:rPr>
              <w:t>2,022</w:t>
            </w:r>
            <w:r>
              <w:rPr>
                <w:rFonts w:ascii="Arial" w:cs="Arial" w:eastAsia="Arial" w:hAnsi="Arial"/>
                <w:sz w:val="27"/>
                <w:szCs w:val="27"/>
                <w:color w:val="auto"/>
                <w:vertAlign w:val="superscript"/>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3,256</w:t>
            </w: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December 31, 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w w:val="93"/>
              </w:rPr>
              <w:t>Commercial</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gridSpan w:val="3"/>
          </w:tcPr>
          <w:p>
            <w:pPr>
              <w:jc w:val="right"/>
              <w:ind w:right="820"/>
              <w:spacing w:after="0" w:line="256" w:lineRule="exact"/>
              <w:rPr>
                <w:sz w:val="20"/>
                <w:szCs w:val="20"/>
                <w:color w:val="auto"/>
              </w:rPr>
            </w:pPr>
            <w:r>
              <w:rPr>
                <w:rFonts w:ascii="Arial" w:cs="Arial" w:eastAsia="Arial" w:hAnsi="Arial"/>
                <w:sz w:val="18"/>
                <w:szCs w:val="18"/>
                <w:color w:val="auto"/>
              </w:rPr>
              <w:t xml:space="preserve">Retail </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3"/>
          </w:tcPr>
          <w:p>
            <w:pPr>
              <w:ind w:left="140"/>
              <w:spacing w:after="0"/>
              <w:rPr>
                <w:sz w:val="20"/>
                <w:szCs w:val="20"/>
                <w:color w:val="auto"/>
              </w:rPr>
            </w:pPr>
            <w:r>
              <w:rPr>
                <w:rFonts w:ascii="Arial" w:cs="Arial" w:eastAsia="Arial" w:hAnsi="Arial"/>
                <w:sz w:val="18"/>
                <w:szCs w:val="18"/>
                <w:color w:val="auto"/>
              </w:rPr>
              <w:t>Total</w:t>
            </w: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0"/>
        </w:trPr>
        <w:tc>
          <w:tcPr>
            <w:tcW w:w="76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7,974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940" w:type="dxa"/>
            <w:vAlign w:val="bottom"/>
            <w:gridSpan w:val="3"/>
          </w:tcPr>
          <w:p>
            <w:pPr>
              <w:jc w:val="right"/>
              <w:ind w:right="260"/>
              <w:spacing w:after="0"/>
              <w:rPr>
                <w:sz w:val="20"/>
                <w:szCs w:val="20"/>
                <w:color w:val="auto"/>
              </w:rPr>
            </w:pPr>
            <w:r>
              <w:rPr>
                <w:rFonts w:ascii="Arial" w:cs="Arial" w:eastAsia="Arial" w:hAnsi="Arial"/>
                <w:sz w:val="18"/>
                <w:szCs w:val="18"/>
                <w:color w:val="auto"/>
              </w:rPr>
              <w:t>39,601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47,575</w:t>
            </w:r>
          </w:p>
        </w:tc>
      </w:t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540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3"/>
          </w:tcPr>
          <w:p>
            <w:pPr>
              <w:jc w:val="right"/>
              <w:ind w:right="80"/>
              <w:spacing w:after="0" w:line="240" w:lineRule="exact"/>
              <w:rPr>
                <w:sz w:val="20"/>
                <w:szCs w:val="20"/>
                <w:color w:val="auto"/>
              </w:rPr>
            </w:pPr>
            <w:r>
              <w:rPr>
                <w:rFonts w:ascii="Arial" w:cs="Arial" w:eastAsia="Arial" w:hAnsi="Arial"/>
                <w:sz w:val="17"/>
                <w:szCs w:val="17"/>
                <w:color w:val="auto"/>
              </w:rPr>
              <w:t>2,607</w:t>
            </w:r>
            <w:r>
              <w:rPr>
                <w:rFonts w:ascii="Arial" w:cs="Arial" w:eastAsia="Arial" w:hAnsi="Arial"/>
                <w:sz w:val="27"/>
                <w:szCs w:val="27"/>
                <w:color w:val="auto"/>
                <w:vertAlign w:val="superscript"/>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3,147</w:t>
            </w:r>
          </w:p>
        </w:tc>
      </w:tr>
      <w:tr>
        <w:trPr>
          <w:trHeight w:val="216"/>
        </w:trPr>
        <w:tc>
          <w:tcPr>
            <w:tcW w:w="56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8,514</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42,208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50,722</w:t>
            </w: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-1568450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-1268095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-471170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-170815</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520"/>
          </w:cols>
          <w:pgMar w:left="320" w:top="125" w:right="339" w:bottom="1440" w:gutter="0" w:footer="0" w:header="0"/>
        </w:sectPr>
      </w:pPr>
    </w:p>
    <w:p>
      <w:pPr>
        <w:spacing w:after="0" w:line="29"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portfolio segments.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Included in non-performing assets table above.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Non-performing loans increased by $2.8 million since year-end 2019 due to an increase in non-performing commercial loans. This increase principally reflects one loan relationship. This loan relationship was in watch credit status at December 31, 2019, moved into non-accrual in the first quarter of 2020 and was charged down by $4.0 million in the second quarter of 2020 to a remaining balance of $2.9 million. Approximately $2.6 million of this remaining loan balance was paid-off on July 21, 2020 with funds from the auction of assets securing the loan, and $0.3 million is fully reserved with collection efforts continuing. Excluding this specific loan relationship, previously stable economic conditions in our market areas, as well as our collection and resolution efforts, had resulted in a downward trend in non-performing loans. However, we are still experiencing some loan defaults, particularly related to commercial loans secured by income-producing property and mortgage loans secured by resort/vacation property. Further, the credit impact of the COVID-19 pandemic, and more specifically the periodic, government-mandated closing of various segments of the economy in order to contain it, may have a negative impact on the level of non-performing loans and assets in the future, but as yet, the magnitude of that impact is undeterminable. As a result of this potential adverse impact, we have increased the subjective portion of our allowance for loan losses (“AFLL”) by $8.6 million (or 98.2%) during the first six months of 2020. (See the further discussion of our AFLL below.)</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Non-performing loans exclude performing loans that are classified as TDRs. Performing TDRs totaled $52.5 million, or 1.8% of total Portfolio Loans, and $47.6 million, or 1.7% of total Portfolio Loans, at June 30, 2020 and December 31, 2019, respectively. The increase in the amount of performing TDRs in the first half of 2020 primarily reflects an increase in commercial performing TDRs.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real estate and repossessed assets totaled $1.6 million and $1.9 million at June 30, 2020 and December 31, 2019,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activity in and the allocation of the AFLL.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loan losses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7"/>
          </w:tcPr>
          <w:p>
            <w:pPr>
              <w:jc w:val="center"/>
              <w:ind w:right="400"/>
              <w:spacing w:after="0"/>
              <w:rPr>
                <w:sz w:val="20"/>
                <w:szCs w:val="20"/>
                <w:color w:val="auto"/>
              </w:rPr>
            </w:pPr>
            <w:r>
              <w:rPr>
                <w:rFonts w:ascii="Arial" w:cs="Arial" w:eastAsia="Arial" w:hAnsi="Arial"/>
                <w:sz w:val="18"/>
                <w:szCs w:val="18"/>
                <w:color w:val="auto"/>
                <w:w w:val="88"/>
              </w:rPr>
              <w:t>Six 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8"/>
                <w:szCs w:val="18"/>
                <w:color w:val="auto"/>
              </w:rPr>
              <w:t>2020</w:t>
            </w:r>
          </w:p>
        </w:tc>
        <w:tc>
          <w:tcPr>
            <w:tcW w:w="1440" w:type="dxa"/>
            <w:vAlign w:val="bottom"/>
            <w:gridSpan w:val="4"/>
          </w:tcPr>
          <w:p>
            <w:pPr>
              <w:jc w:val="center"/>
              <w:ind w:left="630"/>
              <w:spacing w:after="0"/>
              <w:rPr>
                <w:sz w:val="20"/>
                <w:szCs w:val="20"/>
                <w:color w:val="auto"/>
              </w:rPr>
            </w:pPr>
            <w:r>
              <w:rPr>
                <w:rFonts w:ascii="Arial" w:cs="Arial" w:eastAsia="Arial" w:hAnsi="Arial"/>
                <w:sz w:val="18"/>
                <w:szCs w:val="18"/>
                <w:color w:val="auto"/>
                <w:w w:val="86"/>
              </w:rPr>
              <w:t>June 30,</w:t>
            </w:r>
          </w:p>
        </w:tc>
        <w:tc>
          <w:tcPr>
            <w:tcW w:w="1260" w:type="dxa"/>
            <w:vAlign w:val="bottom"/>
            <w:gridSpan w:val="4"/>
            <w:vMerge w:val="restart"/>
          </w:tcPr>
          <w:p>
            <w:pPr>
              <w:jc w:val="right"/>
              <w:spacing w:after="0"/>
              <w:rPr>
                <w:sz w:val="20"/>
                <w:szCs w:val="20"/>
                <w:color w:val="auto"/>
              </w:rPr>
            </w:pPr>
            <w:r>
              <w:rPr>
                <w:rFonts w:ascii="Arial" w:cs="Arial" w:eastAsia="Arial" w:hAnsi="Arial"/>
                <w:sz w:val="18"/>
                <w:szCs w:val="18"/>
                <w:color w:val="auto"/>
              </w:rPr>
              <w:t>2019</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7"/>
              </w:rPr>
              <w:t>Unfunded</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2"/>
              </w:rPr>
              <w:t>Unfunded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Commitments</w:t>
            </w: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260" w:type="dxa"/>
            <w:vAlign w:val="bottom"/>
            <w:gridSpan w:val="2"/>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Commitments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7"/>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1,542</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Additions (deductions)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Recoveries credited to allowance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charged against the allowance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Additions included in non-interest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56"/>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25,903</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loans charged against the allowance to average Portfolio Loans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940" w:type="dxa"/>
            <w:vAlign w:val="bottom"/>
          </w:tcPr>
          <w:p>
            <w:pPr>
              <w:spacing w:after="0"/>
              <w:rPr>
                <w:sz w:val="20"/>
                <w:szCs w:val="20"/>
                <w:color w:val="auto"/>
              </w:rPr>
            </w:pPr>
            <w:r>
              <w:rPr>
                <w:rFonts w:ascii="Arial" w:cs="Arial" w:eastAsia="Arial" w:hAnsi="Arial"/>
                <w:sz w:val="18"/>
                <w:szCs w:val="18"/>
                <w:b w:val="1"/>
                <w:bCs w:val="1"/>
                <w:color w:val="auto"/>
              </w:rPr>
              <w:t>Allocation of the Allowance for Loan Losses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89"/>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ind w:left="20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Other adversely rated commercial loans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8,764</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Additional allocations based on subjective factors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17,291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8,727</w:t>
            </w:r>
          </w:p>
        </w:tc>
        <w:tc>
          <w:tcPr>
            <w:tcW w:w="0" w:type="dxa"/>
            <w:vAlign w:val="bottom"/>
          </w:tcPr>
          <w:p>
            <w:pPr>
              <w:spacing w:after="0"/>
              <w:rPr>
                <w:sz w:val="1"/>
                <w:szCs w:val="1"/>
                <w:color w:val="auto"/>
              </w:rPr>
            </w:pPr>
          </w:p>
        </w:tc>
      </w:tr>
      <w:tr>
        <w:trPr>
          <w:trHeight w:val="256"/>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Some loans will not be repaid in full. Therefore, an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AFLL increased $8.4 million to $34.5 million at June 30, 2020 from $26.1 million at December 31, 2019 and was equal to 1.20% and 0.96% of total Portfolio Loans at June 30, 2020 and December 31, 2019, respectively.</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Two of the four components of the AFLL outlined above increased during the first half of 2020. The AFLL related to specific loans increased $1.2 million during the first half of 2020 due primarily to a $7.3 million increase in the amount of such loans. The AFLL related to other adversely rated commercial loans decreased $0.9 million during the first half of 2020, primarily due to a decrease of $16.0 million in the balance of such loans included in this component. The AFLL related to historical losses decreased $0.5 million during the first half of 2020, and the AFLL related to subjective factors increased $8.6 million during the first half of 2020. The significant increase in the AFLL related to subjective factors is due principally to the economic shock of COVID-19, various executive orders suspending or restricting businesses and operations that are not necessary to sustain or protect life, or involved in critical infrastructure, the significant increase in unemployment claims, especially in the State of Michigan, and elevated requests for payment relief from our borrowers.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00" w:lineRule="exact"/>
        <w:rPr>
          <w:sz w:val="20"/>
          <w:szCs w:val="20"/>
          <w:color w:val="auto"/>
        </w:rPr>
      </w:pPr>
    </w:p>
    <w:p>
      <w:pPr>
        <w:spacing w:after="0" w:line="22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Deposits and borrowings. </w:t>
      </w:r>
      <w:r>
        <w:rPr>
          <w:rFonts w:ascii="Arial" w:cs="Arial" w:eastAsia="Arial" w:hAnsi="Arial"/>
          <w:sz w:val="16"/>
          <w:szCs w:val="16"/>
          <w:color w:val="auto"/>
        </w:rPr>
        <w:t>Historically, the loyalty of our customer base has allowed us to price deposits competitively, contributing to a net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margin 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Deposits totaled $3.49 billion and $3.04 billion at June 30, 2020 and December 31, 2019, respectively. The increase in deposits is primarily due to growth in non-interest bearing deposits, savings and interest bearing checking deposits and reciprocal deposits that were partially offset by a decline in time and brokered time deposits. Reciprocal deposits totaled $535.4 million and $431.0 million at June 30, 2020 and December 31, 2019, respectively. These deposits represent demand, money market and time deposits from our customers that have been placed through Promontory Interfinancial Network’s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Insured Cash Sweep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service and Certificate of Deposit Account Registry Service</w:t>
      </w:r>
      <w:r>
        <w:rPr>
          <w:rFonts w:ascii="Arial" w:cs="Arial" w:eastAsia="Arial" w:hAnsi="Arial"/>
          <w:sz w:val="26"/>
          <w:szCs w:val="26"/>
          <w:color w:val="auto"/>
          <w:vertAlign w:val="superscript"/>
        </w:rPr>
        <w:t>®</w:t>
      </w:r>
      <w:r>
        <w:rPr>
          <w:rFonts w:ascii="Arial" w:cs="Arial" w:eastAsia="Arial" w:hAnsi="Arial"/>
          <w:sz w:val="16"/>
          <w:szCs w:val="16"/>
          <w:color w:val="auto"/>
        </w:rPr>
        <w:t>. These services allow our customers to access multi-million dollar FDIC deposit insurance on deposit balances greater than the standard FDIC insurance maximum. The continued increase in reciprocal deposits is due in part to an automated sweep product that we introduced in mid-2018 as well as the marketing and sales efforts of our treasury management team.</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June 30, 2020, we had approximately $658.0 million of uninsured deposits. A reduction in core deposits would likely increase our need to rely on wholesale funding sources.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borrowings, comprised primarily of advances from the FHLB and federal funds sold, totaled $50.0 million and $88.6 million at June 30, 2020 and December 31, 2019, respectively.</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above, we utilize wholesale funding, including federal funds purchased, FHLB and FRB borrowings and Brokered CDs to augment our core deposits and fund a portion of our assets. At June 30, 2020, our use of such wholesale funding sources (including reciprocal deposits) amounted to approximately $717.2 million, or 20.3% of total funding (deposits and all borrowings, excluding subordinated debt and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employed derivative financial instruments to manage our exposure to changes in interest rates. During the first six months of 2020 and 2019, we entered into $10.6 million and $17.6 million (aggregate notional amounts), respectively, of interest rate swaps with commercial loan customers, which were offset with interest rate swaps that the Bank entered into with a broker-dealer. We recorded $0.17 million and $0.25 million of fee income related to these transactions during the first six months of 2020 and 2019, respectively. See note #6 to the Condensed Consolidated Financial Statements included within this report for more information on our derivative financial instruments.</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and FRB, federal funds purchased borrowing facilities with other banks, and access to the capital markets (for Brokered CDs).</w:t>
      </w:r>
    </w:p>
    <w:p>
      <w:pPr>
        <w:spacing w:after="0" w:line="197" w:lineRule="exact"/>
        <w:rPr>
          <w:sz w:val="20"/>
          <w:szCs w:val="20"/>
          <w:color w:val="auto"/>
        </w:rPr>
      </w:pPr>
    </w:p>
    <w:p>
      <w:pPr>
        <w:jc w:val="both"/>
        <w:ind w:right="100"/>
        <w:spacing w:after="0" w:line="275" w:lineRule="auto"/>
        <w:rPr>
          <w:sz w:val="20"/>
          <w:szCs w:val="20"/>
          <w:color w:val="auto"/>
        </w:rPr>
      </w:pPr>
      <w:r>
        <w:rPr>
          <w:rFonts w:ascii="Arial" w:cs="Arial" w:eastAsia="Arial" w:hAnsi="Arial"/>
          <w:sz w:val="17"/>
          <w:szCs w:val="17"/>
          <w:color w:val="auto"/>
        </w:rPr>
        <w:t>At June 30, 2020, we had $408.6 million of time deposits that mature in the next 12 months. Historically, a majority of these maturing time deposits are renewed by our customers. Additionally, $2.99 billion of our deposits at June 30, 2020,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and FRB and our ability to issue Brokered CDs.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believe that the available cash on hand at the parent company (including time deposits) of approximately $52.2 million as of June 30, 2020 provides sufficient liquidity resources at the parent company to meet operating expenses, to make interest payments on the subordinated debt and the subordinated debentures, and, along with dividends from the Bank, to pay cash dividends on our common stock.</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subordinated debt (qualifies as Tier 2 capital) and cumulative trust preferred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Capitalization</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December</w:t>
            </w:r>
          </w:p>
        </w:tc>
      </w:tr>
      <w:tr>
        <w:trPr>
          <w:trHeight w:val="216"/>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w w:val="89"/>
              </w:rPr>
              <w:t>June 30,</w:t>
            </w:r>
          </w:p>
        </w:tc>
        <w:tc>
          <w:tcPr>
            <w:tcW w:w="18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37"/>
        </w:trPr>
        <w:tc>
          <w:tcPr>
            <w:tcW w:w="6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r>
      <w:tr>
        <w:trPr>
          <w:trHeight w:val="216"/>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040" w:type="dxa"/>
            <w:vAlign w:val="bottom"/>
            <w:gridSpan w:val="3"/>
          </w:tcPr>
          <w:p>
            <w:pPr>
              <w:jc w:val="right"/>
              <w:ind w:right="370"/>
              <w:spacing w:after="0"/>
              <w:rPr>
                <w:sz w:val="20"/>
                <w:szCs w:val="20"/>
                <w:color w:val="auto"/>
              </w:rPr>
            </w:pPr>
            <w:r>
              <w:rPr>
                <w:rFonts w:ascii="Arial" w:cs="Arial" w:eastAsia="Arial" w:hAnsi="Arial"/>
                <w:sz w:val="16"/>
                <w:szCs w:val="16"/>
                <w:color w:val="auto"/>
                <w:w w:val="70"/>
              </w:rPr>
              <w:t>thousands)</w:t>
            </w:r>
          </w:p>
        </w:tc>
        <w:tc>
          <w:tcPr>
            <w:tcW w:w="8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39,283</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Subordinated debentures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39,456</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Amount not qualifying as regulatory capital</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w:t>
            </w:r>
          </w:p>
        </w:tc>
      </w:tr>
      <w:tr>
        <w:trPr>
          <w:trHeight w:val="27"/>
        </w:trPr>
        <w:tc>
          <w:tcPr>
            <w:tcW w:w="69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Amount qualifying as regulatory capital</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78,266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38,232</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4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338,989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352,344</w:t>
            </w:r>
          </w:p>
        </w:tc>
      </w:tr>
      <w:tr>
        <w:trPr>
          <w:trHeight w:val="216"/>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12,338</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w:t>
            </w: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(3,786)</w:t>
            </w:r>
          </w:p>
        </w:tc>
      </w:tr>
      <w:tr>
        <w:trPr>
          <w:trHeight w:val="223"/>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355,123</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350,169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6940" w:type="dxa"/>
            <w:vAlign w:val="bottom"/>
          </w:tcPr>
          <w:p>
            <w:pPr>
              <w:ind w:left="340"/>
              <w:spacing w:after="0"/>
              <w:rPr>
                <w:sz w:val="20"/>
                <w:szCs w:val="20"/>
                <w:color w:val="auto"/>
              </w:rPr>
            </w:pPr>
            <w:r>
              <w:rPr>
                <w:rFonts w:ascii="Arial" w:cs="Arial" w:eastAsia="Arial" w:hAnsi="Arial"/>
                <w:sz w:val="18"/>
                <w:szCs w:val="18"/>
                <w:color w:val="auto"/>
              </w:rPr>
              <w:t>Total capitalization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433,389</w:t>
            </w:r>
          </w:p>
        </w:tc>
        <w:tc>
          <w:tcPr>
            <w:tcW w:w="16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388,401</w:t>
            </w:r>
          </w:p>
        </w:tc>
      </w:tr>
      <w:tr>
        <w:trPr>
          <w:trHeight w:val="27"/>
        </w:trPr>
        <w:tc>
          <w:tcPr>
            <w:tcW w:w="6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June 30, 2020 balance of $39.3 million is net of remaining unamortized deferred issuance costs of approximately $0.7 million that are being amortized through the maturity date into interest expense on Other borrowings and subordinated debt and debentures in our Condensed Consolidated Statement of Operations.</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have four special purpose entities with $39.5 million of outstanding cumulative trust preferred securities as of June 30, 2020.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June 30, 2020 and December 31, 2019.</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Common shareholders’ equity increased to $355.1 million at June 30, 2020, from $350.2 million at December 31, 2019, due primarily to our net income and an increase in accumulated other comprehensive income that was partially offset by share repurchases and cash dividend payments. Our tangible common equity (“TCE”) totaled $322.0 million and $316.5 million, respectively, at those same dates. Our ratio of TCE to tangible assets was 8.03% and 8.96% at June 30, 2020, and December 31, 2019, respectively. TCE and the ratio of TCE to tangible assets are non-GAAP measures. TCE represents total common equity less goodwill and other intangible assets.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our Board of Directors authorized a 2020 share repurchase plan. Under the terms of the 2020 share repurchase plan, we were authorized to buy back 1,120,000 shares, or approximately 5%, of our outstanding common stock. During the first three months of 2020, we repurchased 678,929 shares at a weighted average purchase price of $20.30 per share. Due primarily to the economic uncertainty brought on by the COVID-19 pandemic, we suspended share repurchase activity on March 16, 2020, and such activity remains on hold at the present time.</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pay a quarterly cash dividend on our common stock. These dividends totaled $0.20 per share and $0.18 per share in the second quarters of 2020 and 2019, respectively. We generally favor a dividend payout ratio between 30% and 50% of net income.</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2020 and December 31, 2019, our Bank (and holding company) continued to meet the requirements to be considered “well-capitalized” under federal regulatory standards (also see note #10 to the Condensed Consolidated Financial Statements included within this report).</w:t>
      </w:r>
    </w:p>
    <w:p>
      <w:pPr>
        <w:spacing w:after="0" w:line="16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financial instruments, including caps on adjustable-rate loans as well as borrowers’ rights to prepay fixed-rate loans, also create interest-rate risk.</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Market</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 of</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Net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Portfolio</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5940" w:type="dxa"/>
            <w:vAlign w:val="bottom"/>
          </w:tcPr>
          <w:p>
            <w:pPr>
              <w:spacing w:after="0"/>
              <w:rPr>
                <w:sz w:val="20"/>
                <w:szCs w:val="20"/>
                <w:color w:val="auto"/>
              </w:rPr>
            </w:pPr>
            <w:r>
              <w:rPr>
                <w:rFonts w:ascii="Arial" w:cs="Arial" w:eastAsia="Arial" w:hAnsi="Arial"/>
                <w:sz w:val="18"/>
                <w:szCs w:val="18"/>
                <w:b w:val="1"/>
                <w:bCs w:val="1"/>
                <w:color w:val="auto"/>
              </w:rPr>
              <w:t>Change in Interest Rates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Equity(1)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Income(2)</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June 30, 2020</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471,200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100 basis point rise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452,300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14.39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129,200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395,400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126,600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360,800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120,800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472,500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123,900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100 basis point rise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478,800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123,300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467,200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412,100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(11.79)</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118,100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120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340" w:hanging="332"/>
        <w:spacing w:after="0" w:line="25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2"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Accounting standards update. </w:t>
      </w:r>
      <w:r>
        <w:rPr>
          <w:rFonts w:ascii="Arial" w:cs="Arial" w:eastAsia="Arial" w:hAnsi="Arial"/>
          <w:sz w:val="18"/>
          <w:szCs w:val="18"/>
          <w:color w:val="auto"/>
        </w:rPr>
        <w:t>See note #2 to the Condensed Consolidated Financial Statements included elsewhere in this report for details on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accounting pronouncements and their impact on our financial statements.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Fair valuation of financial instruments. </w:t>
      </w:r>
      <w:r>
        <w:rPr>
          <w:rFonts w:ascii="Arial" w:cs="Arial" w:eastAsia="Arial" w:hAnsi="Arial"/>
          <w:sz w:val="18"/>
          <w:szCs w:val="18"/>
          <w:color w:val="auto"/>
        </w:rPr>
        <w:t>Financial Accounting Standards Board (“FASB”) Accounting Standards Codification (“ASC”) topic 820 -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available for sale,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ITIGATION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AFLL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2019.</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ISCLOSURES ABOUT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applicable disclosures set forth in “Management’s Discussion and Analysis of Financial Condition and Results of Operations” in Item 2 under the caption “Asset/liability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5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52"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June 30, 2020, have concluded that, as of such date, our disclosure controls and procedures were effective.</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During the quarter ended June 30, 2020,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risk factors disclosed in the Company’s Annual Report on Form 10-K for the year ended December 31, 2019, the following risk factors apply to the Company:</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ongoing COVID-19 pandemic and measures intended to prevent its spread could have a material adverse effect on our business, results of operations and financial condition, and such effects will depend on future developments, which are highly uncertain and are difficult to predict.</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Global health concerns relating to the COVID-19 pandemic and related government actions have resulted in significant disruptions and increased economic uncertainty. Government restrictions and recommendations designed to contain the virus and limit its effects have substantially limited the activities of individuals and the operations of businesses in the markets we serve.</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Governor of Michigan issued her first "stay home, stay safe" executive order effective March 24, 2020. In general that order and subsequent modifications required individuals in Michigan to stay at home or their place of residence, except for certain specified activities that were deemed necessary to sustain or protect life. That original executive order was amended several times, and has since been rescinded and replaced entirely by a series of “Safer at Home” executive orders, which generally extended certain social distancing restrictions, but lifted the requirement that individuals remain in their homes. Under the current order, certain retail operations, restaurants and bars, and other business are permitted to resume in-person operations, subject to capacity limitations and other workplace safety requirements. The degree to which business may resume operations varies based on the region of the state in which they are located, pursuant to the Governor’s “MI Safe Start Plan”. As a result of these actions, Michigan has experienced a significant increase in unemployment. It is possible that Michigan's Governor may continue some form of executive order throughout the Company's third quarter and beyond.</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and related executive orders and federal government pandemic response guidance has had and continues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activity and high levels of unemployment may cause increases in loan delinquencies, foreclosures and defaults;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increases in allowance for loan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third party disruptions,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increased cyber and payment fraud risk, as cybercriminals attempt to profit from the disruption, given increased online and remote activity;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operational failures due to changes in our normal business practices necessitated by the pandemic and related governmental actions; and/or</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key personnel or significant numbers of our employees being unable to work effectively, including because of illness or restrictions in connection with COVID-19.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continue for a significant period of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spread of COVID-19 has caused us to modify many of our business practices. Currently, approximately 40% of our total employees are working remotely. We have also expanded sick and vacation time for certain employees. We may take further actions as may be required or as we determine to be prudent. There is no certainty that such measures will be sufficient to mitigate the risks posed by COVID-19.</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financial condition and results of operations. Material adverse impacts may include all or a combination of valuation impairments on our intangible assets, securities available for sale, loans, capitalized mortgage loan servicing rights or deferred tax assets</w:t>
      </w:r>
    </w:p>
    <w:p>
      <w:pPr>
        <w:spacing w:after="0" w:line="219"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As a participating lender in the U.S. Small Business Administration (“SBA”) Paycheck Protection Program (“PPP”), the Company and the Bank are subject to additional risks regarding the Bank’s processing of loans for the PPP and risks that the SBA may not fund some or all PPP loan guaranties.</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27, 2020, President Trump signed the Coronavirus Aid, Relief, and Economic Security Act (“CARES Act”), which included a $349 billion loan program administered through the SBA referred to as the PPP. Under the PPP, small businesses and other entities and individuals can apply for loans from existing SBA lenders and other approved regulated lenders that enroll in the program, subject to numerous limitations and eligibility criteria. The Bank is participating as a lender in the PPP. The PPP opened on April 3, 2020; however, because of the short timeframe between the passing of the CARES Act and the opening of the PPP, there is some ambiguity in the laws, rules and guidance regarding the operation of the PPP, which exposes us to potential risks relating to noncompliance with the PPP. Since then, the SBA and U.S. Department of Treasury have provided additional guidance and clarity on the PPP through the issuance of over 20 interim final rules implementing the PPP. On or about April 16, 2020, the SBA notified lenders that the $349 billion earmarked for the PPP was exhausted. The PPP was then expanded by the Paycheck Protection Program and Health Care Enhancement Act in late April 2020, adding an additional $310 billion in funding while the Paycheck Protection Program Flexibility Act made certain changes to the PPP, by allowing for more time to spend the funds, and making it easier to get a loan fully forgiven. Most recently, the PPP Extension Act extended the PPP to August 8, 2020. As of June 30, 2020, we had 2,012 PPP loans outstanding with a total balance of $259.4 million. We have received approximately 35 forgiveness applications that we expect to submit to the SBA once the SBA Forgiveness portal is activated.</w:t>
      </w:r>
    </w:p>
    <w:p>
      <w:pPr>
        <w:spacing w:after="0" w:line="19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Since the initiation of the PPP, several larger banks have been subject to litigation regarding the protocols and procedures that they used in processing applications for the PPP. We may be exposed to the risk of similar litigation, from both customers and non</w:t>
      </w:r>
      <w:r>
        <w:rPr>
          <w:rFonts w:ascii="MS PGothic" w:cs="MS PGothic" w:eastAsia="MS PGothic" w:hAnsi="MS PGothic"/>
          <w:sz w:val="18"/>
          <w:szCs w:val="18"/>
          <w:color w:val="auto"/>
        </w:rPr>
        <w:t>‑</w:t>
      </w:r>
      <w:r>
        <w:rPr>
          <w:rFonts w:ascii="Arial" w:cs="Arial" w:eastAsia="Arial" w:hAnsi="Arial"/>
          <w:sz w:val="18"/>
          <w:szCs w:val="18"/>
          <w:color w:val="auto"/>
        </w:rPr>
        <w:t>customers that approached us regarding PPP loans, regarding our policies and procedures used in processing applications for the PPP. If any such litigation is filed against the Company or the Bank and is not resolved in a manner favorable to us, it could result in financial liability or adversely affect our reputation. In addition, litigation can be costly, regardless of outcome. Any financial liability, litigation costs or reputational damage caused by PPP related litigation could have an adverse impact on our business, financial condition and results of operations.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have credit risk on PPP loans if a determination is made by the SBA that there is a deficiency in the manner in which the loan was originated, funded, or serviced by the Bank, such as an issue with the eligibility of a borrower to receive a PPP loan, which may or may not be related to the ambiguity in the laws, rules and guidance regarding the operation of the PPP. In the event of a loss resulting from a default on a PPP loan and a determination by the SBA that there was a deficiency in the manner in which the PPP loan was originated, funded, or serviced by us, the SBA may deny its liability under the guaranty, reduce the amount of the guaranty, or, if it has already paid under the guaranty, seek recovery of any loss related to the deficiency from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additional risks in the near term related to our plan to complete a core data processing systems conversion.</w:t>
      </w: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at the early stages of a process to convert our core data processing system to a new system hosted by a different vendor. A systems conversion of this nature is extremely complicated, time-consuming, and resource intensive. The process will be even more challenging in light of the COVID-19 pandemic, including the challenges presented as a result of a portion of our workforce working remotely. The timing and success of this systems conversion is also heavily dependent on the reliability of the vendors for both our existing and new systems. If either or both of these vendors experience workforce shortages due to the pandemic or otherwise, it could impact our ability to complete the systems conversion on the timeline and budget currently expected. Difficulties in completing the conversion could also negatively impact our operations and financial performance. We expect to complete this conversion in the second quarter of 2021.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00" w:lineRule="exact"/>
        <w:rPr>
          <w:sz w:val="20"/>
          <w:szCs w:val="20"/>
          <w:color w:val="auto"/>
        </w:rPr>
      </w:pPr>
    </w:p>
    <w:p>
      <w:pPr>
        <w:spacing w:after="0" w:line="2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second quarter of 2020, the Company issued 674 shares of common stock to non-employee directors on a current basis and 6,086 shares of common stock to the trust for distribution to directors on a deferred basis. These shares were issued on April 1, 2020 representing aggregate fees of $0.08 million. The shares on a current basis were issued at a price of $12.87 per share and the shares on a deferred basis were issued at a price of $11.58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repurchases of common stock for the three-months ended June 30,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Number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rPr>
              <w:t>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Number of</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Total Number</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as Part of a</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rPr>
              <w:t>of</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Publicly</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Authorized</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Average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Announced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for Purchase</w:t>
            </w:r>
          </w:p>
        </w:tc>
      </w:tr>
      <w:tr>
        <w:trPr>
          <w:trHeight w:val="237"/>
        </w:trPr>
        <w:tc>
          <w:tcPr>
            <w:tcW w:w="5980" w:type="dxa"/>
            <w:vAlign w:val="bottom"/>
          </w:tcPr>
          <w:p>
            <w:pPr>
              <w:ind w:left="2700"/>
              <w:spacing w:after="0"/>
              <w:rPr>
                <w:sz w:val="20"/>
                <w:szCs w:val="20"/>
                <w:color w:val="auto"/>
              </w:rPr>
            </w:pPr>
            <w:r>
              <w:rPr>
                <w:rFonts w:ascii="Arial" w:cs="Arial" w:eastAsia="Arial" w:hAnsi="Arial"/>
                <w:sz w:val="18"/>
                <w:szCs w:val="18"/>
                <w:color w:val="auto"/>
              </w:rPr>
              <w:t>Period</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Purchased (1)</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w w:val="86"/>
              </w:rPr>
              <w:t>Paid Per 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Plan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Under the Plan</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April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441,071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May 2020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441,071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June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441,071</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8"/>
                <w:szCs w:val="18"/>
                <w:color w:val="auto"/>
              </w:rPr>
            </w:pPr>
          </w:p>
        </w:tc>
        <w:tc>
          <w:tcPr>
            <w:tcW w:w="400" w:type="dxa"/>
            <w:vAlign w:val="bottom"/>
          </w:tcPr>
          <w:p>
            <w:pPr>
              <w:jc w:val="right"/>
              <w:ind w:right="238"/>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11.71</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441,071</w:t>
            </w: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April represents shares withheld from the shares that would otherwise have been issued to an officer in order to satisfy tax withholding obligations and stock option exercise price resulting from the exercise of stock options.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00" w:lineRule="exact"/>
        <w:rPr>
          <w:sz w:val="20"/>
          <w:szCs w:val="20"/>
          <w:color w:val="auto"/>
        </w:rPr>
      </w:pPr>
    </w:p>
    <w:p>
      <w:pPr>
        <w:spacing w:after="0" w:line="228"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252" w:lineRule="exact"/>
        <w:rPr>
          <w:sz w:val="20"/>
          <w:szCs w:val="20"/>
          <w:color w:val="auto"/>
        </w:rPr>
      </w:pPr>
    </w:p>
    <w:p>
      <w:pPr>
        <w:ind w:left="840" w:hanging="39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23" w:lineRule="exact"/>
        <w:rPr>
          <w:rFonts w:ascii="Arial" w:cs="Arial" w:eastAsia="Arial" w:hAnsi="Arial"/>
          <w:sz w:val="18"/>
          <w:szCs w:val="18"/>
          <w:color w:val="auto"/>
        </w:rPr>
      </w:pPr>
    </w:p>
    <w:p>
      <w:pPr>
        <w:ind w:left="1380" w:right="20" w:hanging="540"/>
        <w:spacing w:after="0" w:line="250" w:lineRule="auto"/>
        <w:rPr>
          <w:rFonts w:ascii="Arial" w:cs="Arial" w:eastAsia="Arial" w:hAnsi="Arial"/>
          <w:sz w:val="18"/>
          <w:szCs w:val="18"/>
          <w:color w:val="0000EE"/>
        </w:rPr>
      </w:pPr>
      <w:hyperlink r:id="rId98">
        <w:r>
          <w:rPr>
            <w:rFonts w:ascii="Arial" w:cs="Arial" w:eastAsia="Arial" w:hAnsi="Arial"/>
            <w:sz w:val="18"/>
            <w:szCs w:val="18"/>
            <w:u w:val="single" w:color="auto"/>
            <w:color w:val="0000EE"/>
          </w:rPr>
          <w:t>4.1</w:t>
        </w:r>
        <w:r>
          <w:rPr>
            <w:rFonts w:ascii="Arial" w:cs="Arial" w:eastAsia="Arial" w:hAnsi="Arial"/>
            <w:sz w:val="18"/>
            <w:szCs w:val="18"/>
            <w:color w:val="0000EE"/>
          </w:rPr>
          <w:t xml:space="preserve"> </w:t>
        </w:r>
      </w:hyperlink>
      <w:r>
        <w:rPr>
          <w:rFonts w:ascii="Arial" w:cs="Arial" w:eastAsia="Arial" w:hAnsi="Arial"/>
          <w:sz w:val="18"/>
          <w:szCs w:val="18"/>
          <w:color w:val="000000"/>
        </w:rPr>
        <w:t>Form</w:t>
      </w:r>
      <w:r>
        <w:rPr>
          <w:rFonts w:ascii="Arial" w:cs="Arial" w:eastAsia="Arial" w:hAnsi="Arial"/>
          <w:sz w:val="18"/>
          <w:szCs w:val="18"/>
          <w:color w:val="0000EE"/>
        </w:rPr>
        <w:t xml:space="preserve"> </w:t>
      </w:r>
      <w:r>
        <w:rPr>
          <w:rFonts w:ascii="Arial" w:cs="Arial" w:eastAsia="Arial" w:hAnsi="Arial"/>
          <w:sz w:val="18"/>
          <w:szCs w:val="18"/>
          <w:color w:val="000000"/>
        </w:rPr>
        <w:t>of 5.95% Fixed-to-Floating Rate Subordinated Note due 2030 (included as Exhibit A to the Form of Subordinated Note Purchase</w:t>
      </w:r>
      <w:r>
        <w:rPr>
          <w:rFonts w:ascii="Arial" w:cs="Arial" w:eastAsia="Arial" w:hAnsi="Arial"/>
          <w:sz w:val="18"/>
          <w:szCs w:val="18"/>
          <w:color w:val="0000EE"/>
        </w:rPr>
        <w:t xml:space="preserve"> </w:t>
      </w:r>
      <w:r>
        <w:rPr>
          <w:rFonts w:ascii="Arial" w:cs="Arial" w:eastAsia="Arial" w:hAnsi="Arial"/>
          <w:sz w:val="18"/>
          <w:szCs w:val="18"/>
          <w:color w:val="000000"/>
        </w:rPr>
        <w:t>Agreement included as Exhibit 10.1 to this Quarterly Report on Form 10-Q)</w:t>
      </w:r>
    </w:p>
    <w:p>
      <w:pPr>
        <w:ind w:left="1380" w:right="300" w:hanging="540"/>
        <w:spacing w:after="0" w:line="250" w:lineRule="auto"/>
        <w:rPr>
          <w:rFonts w:ascii="Arial" w:cs="Arial" w:eastAsia="Arial" w:hAnsi="Arial"/>
          <w:sz w:val="18"/>
          <w:szCs w:val="18"/>
          <w:color w:val="0000EE"/>
        </w:rPr>
      </w:pPr>
      <w:hyperlink r:id="rId98">
        <w:r>
          <w:rPr>
            <w:rFonts w:ascii="Arial" w:cs="Arial" w:eastAsia="Arial" w:hAnsi="Arial"/>
            <w:sz w:val="18"/>
            <w:szCs w:val="18"/>
            <w:u w:val="single" w:color="auto"/>
            <w:color w:val="0000EE"/>
          </w:rPr>
          <w:t>10.1</w:t>
        </w:r>
        <w:r>
          <w:rPr>
            <w:rFonts w:ascii="Arial" w:cs="Arial" w:eastAsia="Arial" w:hAnsi="Arial"/>
            <w:sz w:val="18"/>
            <w:szCs w:val="18"/>
            <w:color w:val="0000EE"/>
          </w:rPr>
          <w:t xml:space="preserve"> </w:t>
        </w:r>
      </w:hyperlink>
      <w:r>
        <w:rPr>
          <w:rFonts w:ascii="Arial" w:cs="Arial" w:eastAsia="Arial" w:hAnsi="Arial"/>
          <w:sz w:val="18"/>
          <w:szCs w:val="18"/>
          <w:color w:val="000000"/>
        </w:rPr>
        <w:t>Form</w:t>
      </w:r>
      <w:r>
        <w:rPr>
          <w:rFonts w:ascii="Arial" w:cs="Arial" w:eastAsia="Arial" w:hAnsi="Arial"/>
          <w:sz w:val="18"/>
          <w:szCs w:val="18"/>
          <w:color w:val="0000EE"/>
        </w:rPr>
        <w:t xml:space="preserve"> </w:t>
      </w:r>
      <w:r>
        <w:rPr>
          <w:rFonts w:ascii="Arial" w:cs="Arial" w:eastAsia="Arial" w:hAnsi="Arial"/>
          <w:sz w:val="18"/>
          <w:szCs w:val="18"/>
          <w:color w:val="000000"/>
        </w:rPr>
        <w:t>of Subordinated Note Purchase Agreement dated May 27, 2020, by and among Independent Bank Corporation and certain</w:t>
      </w:r>
      <w:r>
        <w:rPr>
          <w:rFonts w:ascii="Arial" w:cs="Arial" w:eastAsia="Arial" w:hAnsi="Arial"/>
          <w:sz w:val="18"/>
          <w:szCs w:val="18"/>
          <w:color w:val="0000EE"/>
        </w:rPr>
        <w:t xml:space="preserve"> </w:t>
      </w:r>
      <w:r>
        <w:rPr>
          <w:rFonts w:ascii="Arial" w:cs="Arial" w:eastAsia="Arial" w:hAnsi="Arial"/>
          <w:sz w:val="18"/>
          <w:szCs w:val="18"/>
          <w:color w:val="000000"/>
        </w:rPr>
        <w:t>Purchasers (incorporated by reference to Exhibit 10.1 to the Registrant’s Current Report on Form 8-K filed with the SEC on May 27, 2020).</w:t>
      </w:r>
    </w:p>
    <w:p>
      <w:pPr>
        <w:spacing w:after="0" w:line="1" w:lineRule="exact"/>
        <w:rPr>
          <w:rFonts w:ascii="Arial" w:cs="Arial" w:eastAsia="Arial" w:hAnsi="Arial"/>
          <w:sz w:val="18"/>
          <w:szCs w:val="18"/>
          <w:color w:val="0000EE"/>
        </w:rPr>
      </w:pPr>
    </w:p>
    <w:p>
      <w:pPr>
        <w:ind w:left="1380" w:right="100" w:hanging="540"/>
        <w:spacing w:after="0" w:line="250" w:lineRule="auto"/>
        <w:rPr>
          <w:rFonts w:ascii="Arial" w:cs="Arial" w:eastAsia="Arial" w:hAnsi="Arial"/>
          <w:sz w:val="18"/>
          <w:szCs w:val="18"/>
          <w:color w:val="0000EE"/>
        </w:rPr>
      </w:pPr>
      <w:hyperlink w:anchor="page99">
        <w:r>
          <w:rPr>
            <w:rFonts w:ascii="Arial" w:cs="Arial" w:eastAsia="Arial" w:hAnsi="Arial"/>
            <w:sz w:val="18"/>
            <w:szCs w:val="18"/>
            <w:u w:val="single" w:color="auto"/>
            <w:color w:val="0000EE"/>
          </w:rPr>
          <w:t>31.1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302 of the Sarbanes-Oxley Act of 2002</w:t>
      </w:r>
      <w:r>
        <w:rPr>
          <w:rFonts w:ascii="Arial" w:cs="Arial" w:eastAsia="Arial" w:hAnsi="Arial"/>
          <w:sz w:val="18"/>
          <w:szCs w:val="18"/>
          <w:color w:val="0000EE"/>
        </w:rPr>
        <w:t xml:space="preserve"> </w:t>
      </w:r>
      <w:r>
        <w:rPr>
          <w:rFonts w:ascii="Arial" w:cs="Arial" w:eastAsia="Arial" w:hAnsi="Arial"/>
          <w:sz w:val="18"/>
          <w:szCs w:val="18"/>
          <w:color w:val="000000"/>
        </w:rPr>
        <w:t>(18 U.S.C. 1350).</w:t>
      </w:r>
    </w:p>
    <w:p>
      <w:pPr>
        <w:ind w:left="1380" w:right="160" w:hanging="540"/>
        <w:spacing w:after="0" w:line="250" w:lineRule="auto"/>
        <w:rPr>
          <w:rFonts w:ascii="Arial" w:cs="Arial" w:eastAsia="Arial" w:hAnsi="Arial"/>
          <w:sz w:val="18"/>
          <w:szCs w:val="18"/>
          <w:color w:val="0000EE"/>
        </w:rPr>
      </w:pPr>
      <w:hyperlink w:anchor="page100">
        <w:r>
          <w:rPr>
            <w:rFonts w:ascii="Arial" w:cs="Arial" w:eastAsia="Arial" w:hAnsi="Arial"/>
            <w:sz w:val="18"/>
            <w:szCs w:val="18"/>
            <w:u w:val="single" w:color="auto"/>
            <w:color w:val="0000EE"/>
          </w:rPr>
          <w:t>31.2</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Financial Officer of Independent Bank Corporation pursuant to Section 302 of the Sarbanes-Oxley Act of 2002</w:t>
      </w:r>
      <w:r>
        <w:rPr>
          <w:rFonts w:ascii="Arial" w:cs="Arial" w:eastAsia="Arial" w:hAnsi="Arial"/>
          <w:sz w:val="18"/>
          <w:szCs w:val="18"/>
          <w:color w:val="0000EE"/>
        </w:rPr>
        <w:t xml:space="preserve"> </w:t>
      </w:r>
      <w:r>
        <w:rPr>
          <w:rFonts w:ascii="Arial" w:cs="Arial" w:eastAsia="Arial" w:hAnsi="Arial"/>
          <w:sz w:val="18"/>
          <w:szCs w:val="18"/>
          <w:color w:val="000000"/>
        </w:rPr>
        <w:t>(18 U.S.C. 1350).</w:t>
      </w:r>
    </w:p>
    <w:p>
      <w:pPr>
        <w:ind w:left="1380" w:right="100" w:hanging="540"/>
        <w:spacing w:after="0" w:line="250" w:lineRule="auto"/>
        <w:rPr>
          <w:rFonts w:ascii="Arial" w:cs="Arial" w:eastAsia="Arial" w:hAnsi="Arial"/>
          <w:sz w:val="18"/>
          <w:szCs w:val="18"/>
          <w:color w:val="0000EE"/>
        </w:rPr>
      </w:pPr>
      <w:hyperlink w:anchor="page101">
        <w:r>
          <w:rPr>
            <w:rFonts w:ascii="Arial" w:cs="Arial" w:eastAsia="Arial" w:hAnsi="Arial"/>
            <w:sz w:val="18"/>
            <w:szCs w:val="18"/>
            <w:u w:val="single" w:color="auto"/>
            <w:color w:val="0000EE"/>
          </w:rPr>
          <w:t>32.1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906 of the Sarbanes-Oxley Act of 2002</w:t>
      </w:r>
      <w:r>
        <w:rPr>
          <w:rFonts w:ascii="Arial" w:cs="Arial" w:eastAsia="Arial" w:hAnsi="Arial"/>
          <w:sz w:val="18"/>
          <w:szCs w:val="18"/>
          <w:color w:val="0000EE"/>
        </w:rPr>
        <w:t xml:space="preserve"> </w:t>
      </w:r>
      <w:r>
        <w:rPr>
          <w:rFonts w:ascii="Arial" w:cs="Arial" w:eastAsia="Arial" w:hAnsi="Arial"/>
          <w:sz w:val="18"/>
          <w:szCs w:val="18"/>
          <w:color w:val="000000"/>
        </w:rPr>
        <w:t>(18 U.S.C. 1350).</w:t>
      </w:r>
    </w:p>
    <w:p>
      <w:pPr>
        <w:ind w:left="1380" w:right="160" w:hanging="540"/>
        <w:spacing w:after="0" w:line="250" w:lineRule="auto"/>
        <w:rPr>
          <w:rFonts w:ascii="Arial" w:cs="Arial" w:eastAsia="Arial" w:hAnsi="Arial"/>
          <w:sz w:val="18"/>
          <w:szCs w:val="18"/>
          <w:color w:val="0000EE"/>
        </w:rPr>
      </w:pPr>
      <w:hyperlink w:anchor="page102">
        <w:r>
          <w:rPr>
            <w:rFonts w:ascii="Arial" w:cs="Arial" w:eastAsia="Arial" w:hAnsi="Arial"/>
            <w:sz w:val="18"/>
            <w:szCs w:val="18"/>
            <w:u w:val="single" w:color="auto"/>
            <w:color w:val="0000EE"/>
          </w:rPr>
          <w:t>32.2</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Financial Officer of Independent Bank Corporation pursuant to Section 906 of the Sarbanes-Oxley Act of 2002</w:t>
      </w:r>
      <w:r>
        <w:rPr>
          <w:rFonts w:ascii="Arial" w:cs="Arial" w:eastAsia="Arial" w:hAnsi="Arial"/>
          <w:sz w:val="18"/>
          <w:szCs w:val="18"/>
          <w:color w:val="0000EE"/>
        </w:rPr>
        <w:t xml:space="preserve"> </w:t>
      </w:r>
      <w:r>
        <w:rPr>
          <w:rFonts w:ascii="Arial" w:cs="Arial" w:eastAsia="Arial" w:hAnsi="Arial"/>
          <w:sz w:val="18"/>
          <w:szCs w:val="18"/>
          <w:color w:val="000000"/>
        </w:rPr>
        <w:t>(18 U.S.C. 1350).</w:t>
      </w:r>
    </w:p>
    <w:p>
      <w:pPr>
        <w:ind w:left="840"/>
        <w:spacing w:after="0" w:line="250" w:lineRule="auto"/>
        <w:rPr>
          <w:rFonts w:ascii="Arial" w:cs="Arial" w:eastAsia="Arial" w:hAnsi="Arial"/>
          <w:sz w:val="18"/>
          <w:szCs w:val="18"/>
          <w:color w:val="0000EE"/>
        </w:rPr>
      </w:pPr>
      <w:r>
        <w:rPr>
          <w:rFonts w:ascii="Arial" w:cs="Arial" w:eastAsia="Arial" w:hAnsi="Arial"/>
          <w:sz w:val="18"/>
          <w:szCs w:val="18"/>
          <w:color w:val="auto"/>
        </w:rPr>
        <w:t>101.INS Inline XBRL Instance Document (the instance document does not appear in the Interactive Data File because its XBRL tags are embedded within the Inline XBRL document)</w:t>
      </w:r>
    </w:p>
    <w:p>
      <w:pPr>
        <w:ind w:left="840"/>
        <w:spacing w:after="0"/>
        <w:rPr>
          <w:rFonts w:ascii="Arial" w:cs="Arial" w:eastAsia="Arial" w:hAnsi="Arial"/>
          <w:sz w:val="18"/>
          <w:szCs w:val="18"/>
          <w:color w:val="0000EE"/>
        </w:rPr>
      </w:pPr>
      <w:r>
        <w:rPr>
          <w:rFonts w:ascii="Arial" w:cs="Arial" w:eastAsia="Arial" w:hAnsi="Arial"/>
          <w:sz w:val="18"/>
          <w:szCs w:val="18"/>
          <w:color w:val="auto"/>
        </w:rPr>
        <w:t>101.SCH Inline XBRL Taxonomy Extension Schema Document</w:t>
      </w:r>
    </w:p>
    <w:p>
      <w:pPr>
        <w:spacing w:after="0" w:line="9" w:lineRule="exact"/>
        <w:rPr>
          <w:rFonts w:ascii="Arial" w:cs="Arial" w:eastAsia="Arial" w:hAnsi="Arial"/>
          <w:sz w:val="18"/>
          <w:szCs w:val="18"/>
          <w:color w:val="0000EE"/>
        </w:rPr>
      </w:pPr>
    </w:p>
    <w:p>
      <w:pPr>
        <w:ind w:left="840"/>
        <w:spacing w:after="0"/>
        <w:rPr>
          <w:rFonts w:ascii="Arial" w:cs="Arial" w:eastAsia="Arial" w:hAnsi="Arial"/>
          <w:sz w:val="18"/>
          <w:szCs w:val="18"/>
          <w:color w:val="0000EE"/>
        </w:rPr>
      </w:pPr>
      <w:r>
        <w:rPr>
          <w:rFonts w:ascii="Arial" w:cs="Arial" w:eastAsia="Arial" w:hAnsi="Arial"/>
          <w:sz w:val="18"/>
          <w:szCs w:val="18"/>
          <w:color w:val="auto"/>
        </w:rPr>
        <w:t>101.CAL Inline XBRL Taxonomy Extension Calculation Linkbase Document</w:t>
      </w:r>
    </w:p>
    <w:p>
      <w:pPr>
        <w:spacing w:after="0" w:line="9" w:lineRule="exact"/>
        <w:rPr>
          <w:rFonts w:ascii="Arial" w:cs="Arial" w:eastAsia="Arial" w:hAnsi="Arial"/>
          <w:sz w:val="18"/>
          <w:szCs w:val="18"/>
          <w:color w:val="0000EE"/>
        </w:rPr>
      </w:pPr>
    </w:p>
    <w:p>
      <w:pPr>
        <w:ind w:left="840"/>
        <w:spacing w:after="0"/>
        <w:rPr>
          <w:rFonts w:ascii="Arial" w:cs="Arial" w:eastAsia="Arial" w:hAnsi="Arial"/>
          <w:sz w:val="18"/>
          <w:szCs w:val="18"/>
          <w:color w:val="0000EE"/>
        </w:rPr>
      </w:pPr>
      <w:r>
        <w:rPr>
          <w:rFonts w:ascii="Arial" w:cs="Arial" w:eastAsia="Arial" w:hAnsi="Arial"/>
          <w:sz w:val="18"/>
          <w:szCs w:val="18"/>
          <w:color w:val="auto"/>
        </w:rPr>
        <w:t>101.DEF Inline XBRL Taxonomy Extension Definition Linkbase Document</w:t>
      </w:r>
    </w:p>
    <w:p>
      <w:pPr>
        <w:spacing w:after="0" w:line="9" w:lineRule="exact"/>
        <w:rPr>
          <w:rFonts w:ascii="Arial" w:cs="Arial" w:eastAsia="Arial" w:hAnsi="Arial"/>
          <w:sz w:val="18"/>
          <w:szCs w:val="18"/>
          <w:color w:val="0000EE"/>
        </w:rPr>
      </w:pPr>
    </w:p>
    <w:p>
      <w:pPr>
        <w:ind w:left="840"/>
        <w:spacing w:after="0"/>
        <w:rPr>
          <w:rFonts w:ascii="Arial" w:cs="Arial" w:eastAsia="Arial" w:hAnsi="Arial"/>
          <w:sz w:val="18"/>
          <w:szCs w:val="18"/>
          <w:color w:val="0000EE"/>
        </w:rPr>
      </w:pPr>
      <w:r>
        <w:rPr>
          <w:rFonts w:ascii="Arial" w:cs="Arial" w:eastAsia="Arial" w:hAnsi="Arial"/>
          <w:sz w:val="18"/>
          <w:szCs w:val="18"/>
          <w:color w:val="auto"/>
        </w:rPr>
        <w:t>101.LAB Inline XBRL Taxonomy Extension Label Linkbase Document</w:t>
      </w:r>
    </w:p>
    <w:p>
      <w:pPr>
        <w:spacing w:after="0" w:line="9" w:lineRule="exact"/>
        <w:rPr>
          <w:rFonts w:ascii="Arial" w:cs="Arial" w:eastAsia="Arial" w:hAnsi="Arial"/>
          <w:sz w:val="18"/>
          <w:szCs w:val="18"/>
          <w:color w:val="0000EE"/>
        </w:rPr>
      </w:pPr>
    </w:p>
    <w:p>
      <w:pPr>
        <w:ind w:left="840"/>
        <w:spacing w:after="0"/>
        <w:rPr>
          <w:rFonts w:ascii="Arial" w:cs="Arial" w:eastAsia="Arial" w:hAnsi="Arial"/>
          <w:sz w:val="18"/>
          <w:szCs w:val="18"/>
          <w:color w:val="0000EE"/>
        </w:rPr>
      </w:pPr>
      <w:r>
        <w:rPr>
          <w:rFonts w:ascii="Arial" w:cs="Arial" w:eastAsia="Arial" w:hAnsi="Arial"/>
          <w:sz w:val="18"/>
          <w:szCs w:val="18"/>
          <w:color w:val="auto"/>
        </w:rPr>
        <w:t>101.PRE Inline XBRL Taxonomy Extension Presentation Linkbase Document</w:t>
      </w:r>
    </w:p>
    <w:p>
      <w:pPr>
        <w:spacing w:after="0" w:line="9" w:lineRule="exact"/>
        <w:rPr>
          <w:rFonts w:ascii="Arial" w:cs="Arial" w:eastAsia="Arial" w:hAnsi="Arial"/>
          <w:sz w:val="18"/>
          <w:szCs w:val="18"/>
          <w:color w:val="0000EE"/>
        </w:rPr>
      </w:pPr>
    </w:p>
    <w:p>
      <w:pPr>
        <w:ind w:left="840"/>
        <w:spacing w:after="0"/>
        <w:rPr>
          <w:rFonts w:ascii="Arial" w:cs="Arial" w:eastAsia="Arial" w:hAnsi="Arial"/>
          <w:sz w:val="18"/>
          <w:szCs w:val="18"/>
          <w:color w:val="0000EE"/>
        </w:rPr>
      </w:pPr>
      <w:r>
        <w:rPr>
          <w:rFonts w:ascii="Arial" w:cs="Arial" w:eastAsia="Arial" w:hAnsi="Arial"/>
          <w:sz w:val="18"/>
          <w:szCs w:val="18"/>
          <w:color w:val="auto"/>
        </w:rPr>
        <w:t>104 Cover page interactive data file (formatted as inline XBRL and contained in Exhibit 101)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-3011170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-2599690</wp:posOffset>
            </wp:positionV>
            <wp:extent cx="7132320" cy="411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-1913890</wp:posOffset>
            </wp:positionV>
            <wp:extent cx="713232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-1365250</wp:posOffset>
            </wp:positionV>
            <wp:extent cx="71323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-816610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50"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1480" w:val="left"/>
          <w:tab w:leader="none" w:pos="5700" w:val="left"/>
          <w:tab w:leader="none" w:pos="6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7551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755130"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Robert N. Shuster, Principal Financial Officer</w:t>
      </w:r>
    </w:p>
    <w:p>
      <w:pPr>
        <w:spacing w:after="0" w:line="225" w:lineRule="exact"/>
        <w:rPr>
          <w:sz w:val="20"/>
          <w:szCs w:val="20"/>
          <w:color w:val="auto"/>
        </w:rPr>
      </w:pPr>
    </w:p>
    <w:p>
      <w:pPr>
        <w:spacing w:after="0"/>
        <w:tabs>
          <w:tab w:leader="none" w:pos="1480" w:val="left"/>
          <w:tab w:leader="none" w:pos="5700" w:val="left"/>
          <w:tab w:leader="none" w:pos="6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0604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James J. Twarozynski,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2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William B. Kessel, certify that:</w:t>
      </w:r>
    </w:p>
    <w:p>
      <w:pPr>
        <w:spacing w:after="0" w:line="24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INDEPENDENT BANK CORPORATION</w:t>
      </w:r>
    </w:p>
    <w:p>
      <w:pPr>
        <w:spacing w:after="0" w:line="225"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7"/>
          <w:szCs w:val="17"/>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William B. Kessel</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Robert N. Shuster, certify that:</w:t>
      </w:r>
    </w:p>
    <w:p>
      <w:pPr>
        <w:spacing w:after="0" w:line="240"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INDEPENDENT BANK CORPORATION</w:t>
      </w:r>
    </w:p>
    <w:p>
      <w:pPr>
        <w:spacing w:after="0" w:line="225"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6"/>
          <w:szCs w:val="16"/>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Robert N. Shuster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EXECUTIVE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 William B. Kessel, President and Chief Executive Officer of Independent Bank Corporation, certify, to the best of my knowledge and belief, pursuant to Section 906 of the Sarbanes-Oxley Act of 2002 (18 U.S.C. 1350) that:</w:t>
      </w:r>
    </w:p>
    <w:p>
      <w:pPr>
        <w:spacing w:after="0" w:line="202" w:lineRule="exact"/>
        <w:rPr>
          <w:sz w:val="20"/>
          <w:szCs w:val="20"/>
          <w:color w:val="auto"/>
        </w:rPr>
      </w:pPr>
    </w:p>
    <w:p>
      <w:pPr>
        <w:ind w:firstLine="656"/>
        <w:spacing w:after="0" w:line="328" w:lineRule="auto"/>
        <w:tabs>
          <w:tab w:leader="none" w:pos="1815"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quarterly report on Form 10-Q for the quarterly period ended June 30, 2020, which this statement accompanies, fully complies with requirements of Section 13(a) or 15(d) of the Securities Exchange Act of 1934 and;</w:t>
      </w:r>
    </w:p>
    <w:p>
      <w:pPr>
        <w:spacing w:after="0" w:line="131" w:lineRule="exact"/>
        <w:rPr>
          <w:rFonts w:ascii="Arial" w:cs="Arial" w:eastAsia="Arial" w:hAnsi="Arial"/>
          <w:sz w:val="19"/>
          <w:szCs w:val="19"/>
          <w:color w:val="auto"/>
        </w:rPr>
      </w:pPr>
    </w:p>
    <w:p>
      <w:pPr>
        <w:ind w:right="200" w:firstLine="656"/>
        <w:spacing w:after="0" w:line="328" w:lineRule="auto"/>
        <w:tabs>
          <w:tab w:leader="none" w:pos="1494"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information contained in this quarterly report on Form 10-Q for the quarterly period ended June 30, 2020, fairly presents, in all material respects, the financial condition and results of operations of Independent Bank Corporation.</w:t>
      </w:r>
    </w:p>
    <w:p>
      <w:pPr>
        <w:spacing w:after="0" w:line="1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INDEPENDENT BANK CORPORATION</w:t>
      </w:r>
    </w:p>
    <w:p>
      <w:pPr>
        <w:spacing w:after="0" w:line="225"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7"/>
          <w:szCs w:val="17"/>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William B. Kessel</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President and Chief Executive Officer</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FINANCIAL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 Robert N. Shuster, Chief Financial Officer of Independent Bank Corporation, certify, to the best of my knowledge and belief, pursuant to Section 906 of the Sarbanes-Oxley Act of 2002 (18 U.S.C. 1350) that:</w:t>
      </w:r>
    </w:p>
    <w:p>
      <w:pPr>
        <w:spacing w:after="0" w:line="202" w:lineRule="exact"/>
        <w:rPr>
          <w:sz w:val="20"/>
          <w:szCs w:val="20"/>
          <w:color w:val="auto"/>
        </w:rPr>
      </w:pPr>
    </w:p>
    <w:p>
      <w:pPr>
        <w:ind w:firstLine="656"/>
        <w:spacing w:after="0" w:line="328" w:lineRule="auto"/>
        <w:tabs>
          <w:tab w:leader="none" w:pos="1813"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quarterly report on Form 10-Q for the quarterly period ended June 30, 2020, which this statement accompanies, fully complies with requirements of Section 13(a) or 15(d) of the Securities Exchange Act of 1934 and;</w:t>
      </w:r>
    </w:p>
    <w:p>
      <w:pPr>
        <w:spacing w:after="0" w:line="131" w:lineRule="exact"/>
        <w:rPr>
          <w:rFonts w:ascii="Arial" w:cs="Arial" w:eastAsia="Arial" w:hAnsi="Arial"/>
          <w:sz w:val="19"/>
          <w:szCs w:val="19"/>
          <w:color w:val="auto"/>
        </w:rPr>
      </w:pPr>
    </w:p>
    <w:p>
      <w:pPr>
        <w:ind w:firstLine="656"/>
        <w:spacing w:after="0" w:line="328" w:lineRule="auto"/>
        <w:tabs>
          <w:tab w:leader="none" w:pos="1531"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information contained in this quarterly report on Form 10-Q for the quarterly period ended June 30, 2020, fairly presents, in all material respects, the financial condition and results of operations of Independent Bank Corporation.</w:t>
      </w:r>
    </w:p>
    <w:p>
      <w:pPr>
        <w:spacing w:after="0" w:line="1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INDEPENDENT BANK CORPORATION</w:t>
      </w:r>
    </w:p>
    <w:p>
      <w:pPr>
        <w:spacing w:after="0" w:line="225"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6"/>
          <w:szCs w:val="16"/>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Robert N. Shuster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2"/>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4"/>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5"/>
    </w:lvl>
  </w:abstractNum>
  <w:abstractNum w:abstractNumId="9">
    <w:nsid w:val="54E49EB4"/>
    <w:multiLevelType w:val="hybridMultilevel"/>
    <w:lvl w:ilvl="0">
      <w:lvlJc w:val="left"/>
      <w:lvlText w:val="%1."/>
      <w:numFmt w:val="decimal"/>
      <w:start w:val="6"/>
    </w:lvl>
  </w:abstractNum>
  <w:abstractNum w:abstractNumId="10">
    <w:nsid w:val="71F32454"/>
    <w:multiLevelType w:val="hybridMultilevel"/>
    <w:lvl w:ilvl="0">
      <w:lvlJc w:val="left"/>
      <w:lvlText w:val="%1."/>
      <w:numFmt w:val="decimal"/>
      <w:start w:val="9"/>
    </w:lvl>
  </w:abstractNum>
  <w:abstractNum w:abstractNumId="11">
    <w:nsid w:val="2CA88611"/>
    <w:multiLevelType w:val="hybridMultilevel"/>
    <w:lvl w:ilvl="0">
      <w:lvlJc w:val="left"/>
      <w:lvlText w:val="%1."/>
      <w:numFmt w:val="decimal"/>
      <w:start w:val="10"/>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2"/>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3"/>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4"/>
    </w:lvl>
  </w:abstractNum>
  <w:abstractNum w:abstractNumId="24">
    <w:nsid w:val="419AC241"/>
    <w:multiLevelType w:val="hybridMultilevel"/>
    <w:lvl w:ilvl="0">
      <w:lvlJc w:val="left"/>
      <w:lvlText w:val="%1."/>
      <w:numFmt w:val="decimal"/>
      <w:start w:val="15"/>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98" Type="http://schemas.openxmlformats.org/officeDocument/2006/relationships/hyperlink" Target="http://www.sec.gov/Archives/edgar/data/39311/000114036120012543/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2020-08-05T13:51:54Z</dcterms:created>
  <dcterms:modified xsi:type="dcterms:W3CDTF">2020-08-05T13:51:54Z</dcterms:modified>
</cp:coreProperties>
</file>