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6"/>
          </w:tcPr>
          <w:p>
            <w:pPr>
              <w:spacing w:after="0"/>
              <w:rPr>
                <w:sz w:val="20"/>
                <w:szCs w:val="20"/>
                <w:color w:val="auto"/>
              </w:rPr>
            </w:pPr>
            <w:r>
              <w:rPr>
                <w:rFonts w:ascii="Arial" w:cs="Arial" w:eastAsia="Arial" w:hAnsi="Arial"/>
                <w:sz w:val="18"/>
                <w:szCs w:val="18"/>
                <w:color w:val="auto"/>
                <w:w w:val="91"/>
              </w:rPr>
              <w:t>/X/ Annual Report Pursuant to Section 13 or 15(d) of the Securities Exchange Act of 1934 for the fiscal year ended December 31, 2017 or</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836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020" w:type="dxa"/>
            <w:vAlign w:val="bottom"/>
            <w:gridSpan w:val="6"/>
          </w:tcPr>
          <w:p>
            <w:pPr>
              <w:spacing w:after="0" w:line="196" w:lineRule="exact"/>
              <w:rPr>
                <w:sz w:val="20"/>
                <w:szCs w:val="20"/>
                <w:color w:val="auto"/>
              </w:rPr>
            </w:pPr>
            <w:r>
              <w:rPr>
                <w:rFonts w:ascii="Arial" w:cs="Arial" w:eastAsia="Arial" w:hAnsi="Arial"/>
                <w:sz w:val="18"/>
                <w:szCs w:val="18"/>
                <w:color w:val="auto"/>
              </w:rPr>
              <w:t>/ / Transition Report Pursuant to Section 13 or 15(d) of the Securities Exchange Act of 1934 for the transition period from</w:t>
            </w:r>
          </w:p>
        </w:tc>
        <w:tc>
          <w:tcPr>
            <w:tcW w:w="14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to</w:t>
            </w:r>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rPr>
              <w:t>Commission file</w:t>
            </w:r>
          </w:p>
        </w:tc>
        <w:tc>
          <w:tcPr>
            <w:tcW w:w="6900" w:type="dxa"/>
            <w:vAlign w:val="bottom"/>
            <w:gridSpan w:val="2"/>
          </w:tcPr>
          <w:p>
            <w:pPr>
              <w:jc w:val="right"/>
              <w:ind w:right="6120"/>
              <w:spacing w:after="0"/>
              <w:rPr>
                <w:sz w:val="20"/>
                <w:szCs w:val="20"/>
                <w:color w:val="auto"/>
              </w:rPr>
            </w:pPr>
            <w:r>
              <w:rPr>
                <w:rFonts w:ascii="Arial" w:cs="Arial" w:eastAsia="Arial" w:hAnsi="Arial"/>
                <w:sz w:val="18"/>
                <w:szCs w:val="18"/>
                <w:color w:val="auto"/>
              </w:rPr>
              <w:t>0-7818</w:t>
            </w:r>
          </w:p>
        </w:tc>
        <w:tc>
          <w:tcPr>
            <w:tcW w:w="6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r>
      <w:tr>
        <w:trPr>
          <w:trHeight w:val="251"/>
        </w:trPr>
        <w:tc>
          <w:tcPr>
            <w:tcW w:w="1460" w:type="dxa"/>
            <w:vAlign w:val="bottom"/>
          </w:tcPr>
          <w:p>
            <w:pPr>
              <w:spacing w:after="0"/>
              <w:rPr>
                <w:sz w:val="20"/>
                <w:szCs w:val="20"/>
                <w:color w:val="auto"/>
              </w:rPr>
            </w:pPr>
            <w:r>
              <w:rPr>
                <w:rFonts w:ascii="Arial" w:cs="Arial" w:eastAsia="Arial" w:hAnsi="Arial"/>
                <w:sz w:val="18"/>
                <w:szCs w:val="18"/>
                <w:color w:val="auto"/>
              </w:rPr>
              <w:t>number</w:t>
            </w:r>
          </w:p>
        </w:tc>
        <w:tc>
          <w:tcPr>
            <w:tcW w:w="260" w:type="dxa"/>
            <w:vAlign w:val="bottom"/>
          </w:tcPr>
          <w:p>
            <w:pPr>
              <w:spacing w:after="0"/>
              <w:rPr>
                <w:sz w:val="21"/>
                <w:szCs w:val="21"/>
                <w:color w:val="auto"/>
              </w:rPr>
            </w:pPr>
          </w:p>
        </w:tc>
        <w:tc>
          <w:tcPr>
            <w:tcW w:w="66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rPr>
              <w:t>MICHIGAN</w:t>
            </w:r>
          </w:p>
        </w:tc>
        <w:tc>
          <w:tcPr>
            <w:tcW w:w="5920" w:type="dxa"/>
            <w:vAlign w:val="bottom"/>
            <w:gridSpan w:val="3"/>
          </w:tcPr>
          <w:p>
            <w:pPr>
              <w:jc w:val="right"/>
              <w:ind w:right="2210"/>
              <w:spacing w:after="0"/>
              <w:rPr>
                <w:sz w:val="20"/>
                <w:szCs w:val="20"/>
                <w:color w:val="auto"/>
              </w:rPr>
            </w:pPr>
            <w:r>
              <w:rPr>
                <w:rFonts w:ascii="Arial" w:cs="Arial" w:eastAsia="Arial" w:hAnsi="Arial"/>
                <w:sz w:val="18"/>
                <w:szCs w:val="18"/>
                <w:color w:val="auto"/>
              </w:rPr>
              <w:t>38-2032782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4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4200 East Beltline, Grand Rapids, Michigan</w:t>
            </w:r>
          </w:p>
        </w:tc>
        <w:tc>
          <w:tcPr>
            <w:tcW w:w="5920" w:type="dxa"/>
            <w:vAlign w:val="bottom"/>
            <w:tcBorders>
              <w:bottom w:val="single" w:sz="8" w:color="auto"/>
            </w:tcBorders>
            <w:gridSpan w:val="3"/>
          </w:tcPr>
          <w:p>
            <w:pPr>
              <w:jc w:val="right"/>
              <w:ind w:right="2530"/>
              <w:spacing w:after="0"/>
              <w:rPr>
                <w:sz w:val="20"/>
                <w:szCs w:val="20"/>
                <w:color w:val="auto"/>
              </w:rPr>
            </w:pPr>
            <w:r>
              <w:rPr>
                <w:rFonts w:ascii="Arial" w:cs="Arial" w:eastAsia="Arial" w:hAnsi="Arial"/>
                <w:sz w:val="18"/>
                <w:szCs w:val="18"/>
                <w:color w:val="auto"/>
              </w:rPr>
              <w:t>49525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jc w:val="center"/>
              <w:ind w:right="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36"/>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Registrant's telephone number, including area code</w:t>
            </w:r>
          </w:p>
        </w:tc>
        <w:tc>
          <w:tcPr>
            <w:tcW w:w="220" w:type="dxa"/>
            <w:vAlign w:val="bottom"/>
          </w:tcPr>
          <w:p>
            <w:pPr>
              <w:spacing w:after="0"/>
              <w:rPr>
                <w:sz w:val="20"/>
                <w:szCs w:val="20"/>
                <w:color w:val="auto"/>
              </w:rPr>
            </w:pPr>
          </w:p>
        </w:tc>
        <w:tc>
          <w:tcPr>
            <w:tcW w:w="57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gridSpan w:val="2"/>
            <w:vMerge w:val="continue"/>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700" w:type="dxa"/>
            <w:vAlign w:val="bottom"/>
            <w:tcBorders>
              <w:top w:val="single" w:sz="8" w:color="auto"/>
              <w:bottom w:val="single" w:sz="8" w:color="auto"/>
              <w:right w:val="single" w:sz="8" w:color="auto"/>
            </w:tcBorders>
            <w:gridSpan w:val="2"/>
          </w:tcPr>
          <w:p>
            <w:pPr>
              <w:jc w:val="right"/>
              <w:ind w:right="4310"/>
              <w:spacing w:after="0"/>
              <w:rPr>
                <w:sz w:val="20"/>
                <w:szCs w:val="20"/>
                <w:color w:val="auto"/>
              </w:rPr>
            </w:pPr>
            <w:r>
              <w:rPr>
                <w:rFonts w:ascii="Arial" w:cs="Arial" w:eastAsia="Arial" w:hAnsi="Arial"/>
                <w:sz w:val="18"/>
                <w:szCs w:val="18"/>
                <w:color w:val="auto"/>
                <w:w w:val="99"/>
              </w:rPr>
              <w:t>(616)  527-5820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jc w:val="center"/>
              <w:ind w:right="1110"/>
              <w:spacing w:after="0"/>
              <w:rPr>
                <w:sz w:val="20"/>
                <w:szCs w:val="20"/>
                <w:color w:val="auto"/>
              </w:rPr>
            </w:pPr>
            <w:r>
              <w:rPr>
                <w:rFonts w:ascii="Arial" w:cs="Arial" w:eastAsia="Arial" w:hAnsi="Arial"/>
                <w:sz w:val="18"/>
                <w:szCs w:val="18"/>
                <w:color w:val="auto"/>
                <w:w w:val="90"/>
              </w:rPr>
              <w:t>Common Stock, No Par Value</w:t>
            </w:r>
          </w:p>
        </w:tc>
        <w:tc>
          <w:tcPr>
            <w:tcW w:w="346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w w:val="97"/>
              </w:rPr>
              <w:t>NASDAQ</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tcPr>
          <w:p>
            <w:pPr>
              <w:jc w:val="center"/>
              <w:ind w:right="1130"/>
              <w:spacing w:after="0"/>
              <w:rPr>
                <w:sz w:val="20"/>
                <w:szCs w:val="20"/>
                <w:color w:val="auto"/>
              </w:rPr>
            </w:pPr>
            <w:r>
              <w:rPr>
                <w:rFonts w:ascii="Arial" w:cs="Arial" w:eastAsia="Arial" w:hAnsi="Arial"/>
                <w:sz w:val="18"/>
                <w:szCs w:val="18"/>
                <w:color w:val="auto"/>
                <w:w w:val="92"/>
              </w:rPr>
              <w:t>(Title of class)</w:t>
            </w:r>
          </w:p>
        </w:tc>
        <w:tc>
          <w:tcPr>
            <w:tcW w:w="346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(Name of Exchange)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1"/>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80" w:type="dxa"/>
            <w:vAlign w:val="bottom"/>
            <w:gridSpan w:val="3"/>
          </w:tcPr>
          <w:p>
            <w:pPr>
              <w:ind w:left="2340"/>
              <w:spacing w:after="0"/>
              <w:rPr>
                <w:sz w:val="20"/>
                <w:szCs w:val="20"/>
                <w:color w:val="auto"/>
              </w:rPr>
            </w:pPr>
            <w:r>
              <w:rPr>
                <w:rFonts w:ascii="Arial" w:cs="Arial" w:eastAsia="Arial" w:hAnsi="Arial"/>
                <w:sz w:val="18"/>
                <w:szCs w:val="18"/>
                <w:color w:val="auto"/>
              </w:rPr>
              <w:t>Securities registered pursuant to Section 12(g) of the Act: None.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9340" w:type="dxa"/>
            <w:vAlign w:val="bottom"/>
            <w:gridSpan w:val="7"/>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auto"/>
                <w:w w:val="96"/>
              </w:rPr>
              <w:t>Yes</w:t>
            </w:r>
          </w:p>
        </w:tc>
        <w:tc>
          <w:tcPr>
            <w:tcW w:w="260" w:type="dxa"/>
            <w:vAlign w:val="bottom"/>
          </w:tcPr>
          <w:p>
            <w:pPr>
              <w:spacing w:after="0"/>
              <w:rPr>
                <w:sz w:val="16"/>
                <w:szCs w:val="16"/>
                <w:color w:val="auto"/>
              </w:rPr>
            </w:pPr>
          </w:p>
        </w:tc>
        <w:tc>
          <w:tcPr>
            <w:tcW w:w="5300" w:type="dxa"/>
            <w:vAlign w:val="bottom"/>
            <w:gridSpan w:val="3"/>
          </w:tcPr>
          <w:p>
            <w:pPr>
              <w:spacing w:after="0" w:line="190" w:lineRule="exact"/>
              <w:rPr>
                <w:sz w:val="20"/>
                <w:szCs w:val="20"/>
                <w:color w:val="auto"/>
              </w:rPr>
            </w:pPr>
            <w:r>
              <w:rPr>
                <w:rFonts w:ascii="Arial" w:cs="Arial" w:eastAsia="Arial" w:hAnsi="Arial"/>
                <w:sz w:val="18"/>
                <w:szCs w:val="18"/>
                <w:color w:val="auto"/>
              </w:rPr>
              <w:t>No  X</w:t>
            </w:r>
          </w:p>
        </w:tc>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060" w:type="dxa"/>
            <w:vAlign w:val="bottom"/>
            <w:gridSpan w:val="6"/>
          </w:tcPr>
          <w:p>
            <w:pPr>
              <w:spacing w:after="0" w:line="196" w:lineRule="exact"/>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280" w:type="dxa"/>
            <w:vAlign w:val="bottom"/>
          </w:tcPr>
          <w:p>
            <w:pPr>
              <w:spacing w:after="0"/>
              <w:rPr>
                <w:sz w:val="17"/>
                <w:szCs w:val="17"/>
                <w:color w:val="auto"/>
              </w:rPr>
            </w:pPr>
          </w:p>
        </w:tc>
        <w:tc>
          <w:tcPr>
            <w:tcW w:w="2080" w:type="dxa"/>
            <w:vAlign w:val="bottom"/>
            <w:gridSpan w:val="3"/>
          </w:tcPr>
          <w:p>
            <w:pPr>
              <w:spacing w:after="0" w:line="196" w:lineRule="exact"/>
              <w:rPr>
                <w:sz w:val="20"/>
                <w:szCs w:val="20"/>
                <w:color w:val="auto"/>
              </w:rPr>
            </w:pPr>
            <w:r>
              <w:rPr>
                <w:rFonts w:ascii="Arial" w:cs="Arial" w:eastAsia="Arial" w:hAnsi="Arial"/>
                <w:sz w:val="18"/>
                <w:szCs w:val="18"/>
                <w:color w:val="auto"/>
              </w:rPr>
              <w:t>No  X</w:t>
            </w: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200025</wp:posOffset>
            </wp:positionH>
            <wp:positionV relativeFrom="paragraph">
              <wp:posOffset>-19050</wp:posOffset>
            </wp:positionV>
            <wp:extent cx="196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No____</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601980</wp:posOffset>
            </wp:positionH>
            <wp:positionV relativeFrom="paragraph">
              <wp:posOffset>-24130</wp:posOffset>
            </wp:positionV>
            <wp:extent cx="168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pacing w:after="0" w:line="2" w:lineRule="exact"/>
        <w:rPr>
          <w:sz w:val="24"/>
          <w:szCs w:val="24"/>
          <w:color w:val="auto"/>
        </w:rPr>
      </w:pPr>
    </w:p>
    <w:p>
      <w:pPr>
        <w:spacing w:after="0"/>
        <w:tabs>
          <w:tab w:leader="none" w:pos="2540" w:val="left"/>
          <w:tab w:leader="none" w:pos="4280" w:val="left"/>
        </w:tabs>
        <w:rPr>
          <w:sz w:val="20"/>
          <w:szCs w:val="20"/>
          <w:color w:val="auto"/>
        </w:rPr>
      </w:pPr>
      <w:r>
        <w:rPr>
          <w:rFonts w:ascii="Arial" w:cs="Arial" w:eastAsia="Arial" w:hAnsi="Arial"/>
          <w:sz w:val="18"/>
          <w:szCs w:val="18"/>
          <w:color w:val="auto"/>
        </w:rPr>
        <w:t>Large accelerated filer ____</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_____ Smaller reporting company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254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_____</w:t>
      </w:r>
    </w:p>
    <w:p>
      <w:pPr>
        <w:spacing w:after="0" w:line="9"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 Indicate by check mark whether the registrant is a shell company (as defined in Rule 12b of the Act).</w:t>
      </w:r>
    </w:p>
    <w:p>
      <w:pPr>
        <w:spacing w:after="0" w:line="1" w:lineRule="exact"/>
        <w:rPr>
          <w:sz w:val="24"/>
          <w:szCs w:val="24"/>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-19050</wp:posOffset>
            </wp:positionV>
            <wp:extent cx="142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-19050</wp:posOffset>
            </wp:positionV>
            <wp:extent cx="168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aggregate market value of common stock held by non-affiliates of the registrant as of June 30, 2017, was $450,418,271.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5, 2018 was 21,373,416.</w:t>
      </w:r>
    </w:p>
    <w:p>
      <w:pPr>
        <w:spacing w:after="0" w:line="9" w:lineRule="exact"/>
        <w:rPr>
          <w:sz w:val="24"/>
          <w:szCs w:val="24"/>
          <w:color w:val="auto"/>
        </w:rPr>
      </w:pPr>
    </w:p>
    <w:p>
      <w:pPr>
        <w:spacing w:after="0" w:line="265" w:lineRule="auto"/>
        <w:rPr>
          <w:sz w:val="20"/>
          <w:szCs w:val="20"/>
          <w:color w:val="auto"/>
        </w:rPr>
      </w:pPr>
      <w:r>
        <w:rPr>
          <w:rFonts w:ascii="Arial" w:cs="Arial" w:eastAsia="Arial" w:hAnsi="Arial"/>
          <w:sz w:val="17"/>
          <w:szCs w:val="17"/>
          <w:color w:val="auto"/>
        </w:rPr>
        <w:t>Documents incorporated by reference: Portions of our definitive proxy statement and annual report, to be delivered to shareholders in connection with the April 24, 2018 Annual Meeting of Shareholders, are incorporated by reference into Part I, Part II, Part III, and Part IV of this Form 10-K.</w:t>
      </w:r>
    </w:p>
    <w:p>
      <w:pPr>
        <w:jc w:val="center"/>
        <w:spacing w:after="0"/>
        <w:rPr>
          <w:sz w:val="20"/>
          <w:szCs w:val="20"/>
          <w:color w:val="auto"/>
        </w:rPr>
      </w:pPr>
      <w:r>
        <w:rPr>
          <w:rFonts w:ascii="Arial" w:cs="Arial" w:eastAsia="Arial" w:hAnsi="Arial"/>
          <w:sz w:val="18"/>
          <w:szCs w:val="18"/>
          <w:color w:val="auto"/>
        </w:rPr>
        <w:t>The Exhibit Index appears on Pages 36-37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3" w:lineRule="exact"/>
        <w:rPr>
          <w:sz w:val="20"/>
          <w:szCs w:val="20"/>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52" w:lineRule="exact"/>
        <w:rPr>
          <w:rFonts w:ascii="Arial" w:cs="Arial" w:eastAsia="Arial" w:hAnsi="Arial"/>
          <w:sz w:val="18"/>
          <w:szCs w:val="18"/>
          <w:color w:val="auto"/>
        </w:rPr>
      </w:pPr>
    </w:p>
    <w:p>
      <w:pPr>
        <w:ind w:left="460" w:right="20" w:hanging="276"/>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spacing w:after="0" w:line="197"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252"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252"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252"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52"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challenges we may face in acquiring or integrating other businesses;</w:t>
      </w:r>
    </w:p>
    <w:p>
      <w:pPr>
        <w:spacing w:after="0" w:line="252"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252"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PART I</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61 branches, one drive-thru facility, and 14 loan production offices. We also recently opened two loan production offices in Ohio (Columbus and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bank competes with other commercial banks, savings banks, credit unions, mortgage banking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our bank had total loans (excluding loans held for sale) of $2.019 billion and total deposits of $2.401 billion. As of December 31, 2017, we had 756 full-time employees and 155 part-time employees.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general banking services, we also offer title insurance services and insurance brokerage services through separate subsidiaries and investment services through a third party agreement with Cetera Investment Services LLC.</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4, 2017, we entered into an Agreement and Plan of Merger with TCSB Bancorp, Inc., the holding company and sole shareholder of Traverse City State Bank. Subject to the terms and conditions of the merger agreement, TCSB Bancorp, Inc. will merge with and into Independent Bank Corporation, with Independent Bank Corporation as the surviving corporation. Following the merger, we expect to consolidate Traverse City State Bank with and into Independent Bank, with Independent Bank as the surviving bank. These transactions are subject to certain closing conditions, including the receipt of necessary regulatory approvals as well as the approval of the shareholders of TCSB Bancorp, Inc. Subject to the terms and conditions of the merger agreement, each shareholder of TCSB Bancorp, Inc. will receive 1.1166 shares of Independent Bank Corporation common stock for each share of TCSB Bancorp, Inc. common stock owned by the shareholder. In connection with the merger, we expect to issue shares of Independent Bank Corporation common stock with an aggregate value of approximately $63 million, based on our share price as of February 22, 2018. In addition, options to acquire TCSB Bancorp, Inc. common stock issued and outstanding immediately before the effective time of the merger will be converted into options to acquire Independent Bank Corporation common stock and will become fully vested and exercisable. The merger consideration is subject to adjustment in certain limited circumstances, as set forth in the merger agreement. Subject to the satisfaction of the conditions set forth in the merger agreement, we currently expect the merger to be completed in the second quarter of 2018. As of December 31, 2017, TCSB Bancorp, Inc. had total assets of $338.5million, total loans of $291.5 million, total deposits of $280.5 million, and total shareholders' equity of $34.5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30, 2016, our bank and its wholly-owned subsidiary, Mepco Finance Corporation ("Mepco"), entered into an Asset Purchase Agreement ("APA") with Seabury Asset Management LLC ("Seabury"). Pursuant to the terms of the APA, the bank sold its payment plan processing business, payment plan receivables, and certain other assets to Seabury, who also assumed certain liabilities of Mepco. These assets and liabilities were categorized as "held for sale" in the December 31, 2016 Consolidated Statements of Financial Condition. We also recorded a $0.32 million loss related to the sale of these assets in the fourth quarter of 2016. 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Mepco was renamed IB Holding Company in May 2017 and was liquidated on June 30, 2017, with the remaining assets and liabilities transferred to the bank. We do not believe that the sale of the Mepco business and assets will have a significant impact on our future overall financial condition or results of operations.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7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fees on loans</w:t>
            </w: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1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 interest income</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10.0</w:t>
            </w:r>
          </w:p>
        </w:tc>
        <w:tc>
          <w:tcPr>
            <w:tcW w:w="1400" w:type="dxa"/>
            <w:vAlign w:val="bottom"/>
            <w:gridSpan w:val="5"/>
          </w:tcPr>
          <w:p>
            <w:pPr>
              <w:jc w:val="right"/>
              <w:ind w:right="260"/>
              <w:spacing w:after="0"/>
              <w:rPr>
                <w:sz w:val="20"/>
                <w:szCs w:val="20"/>
                <w:color w:val="auto"/>
              </w:rPr>
            </w:pPr>
            <w:r>
              <w:rPr>
                <w:rFonts w:ascii="Arial" w:cs="Arial" w:eastAsia="Arial" w:hAnsi="Arial"/>
                <w:sz w:val="18"/>
                <w:szCs w:val="18"/>
                <w:color w:val="auto"/>
              </w:rPr>
              <w:t>9.6</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8.2</w:t>
            </w:r>
          </w:p>
        </w:tc>
      </w:tr>
      <w:tr>
        <w:trPr>
          <w:trHeight w:val="209"/>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Non-interest income</w:t>
            </w:r>
          </w:p>
        </w:tc>
        <w:tc>
          <w:tcPr>
            <w:tcW w:w="140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820" w:type="dxa"/>
            <w:vAlign w:val="bottom"/>
            <w:gridSpan w:val="3"/>
            <w:shd w:val="clear" w:color="auto" w:fill="CCEEFF"/>
          </w:tcPr>
          <w:p>
            <w:pPr>
              <w:spacing w:after="0"/>
              <w:rPr>
                <w:sz w:val="18"/>
                <w:szCs w:val="18"/>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5"/>
                <w:shd w:val="clear" w:color="auto" w:fill="CCEEFF"/>
              </w:rPr>
              <w:t>32.8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33.2</w:t>
            </w:r>
          </w:p>
        </w:tc>
        <w:tc>
          <w:tcPr>
            <w:tcW w:w="160" w:type="dxa"/>
            <w:vAlign w:val="bottom"/>
            <w:shd w:val="clear" w:color="auto" w:fill="CCEEFF"/>
          </w:tcPr>
          <w:p>
            <w:pPr>
              <w:spacing w:after="0"/>
              <w:rPr>
                <w:sz w:val="18"/>
                <w:szCs w:val="18"/>
                <w:color w:val="auto"/>
              </w:rPr>
            </w:pPr>
          </w:p>
        </w:tc>
      </w:tr>
      <w:tr>
        <w:trPr>
          <w:trHeight w:val="34"/>
        </w:trPr>
        <w:tc>
          <w:tcPr>
            <w:tcW w:w="7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7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Supervision and Regulation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 w:name="page5"/>
    <w:bookmarkEnd w:id="4"/>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 Corporation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Investments and Activities</w:t>
      </w:r>
      <w:r>
        <w:rPr>
          <w:rFonts w:ascii="Arial" w:cs="Arial" w:eastAsia="Arial" w:hAnsi="Arial"/>
          <w:sz w:val="18"/>
          <w:szCs w:val="18"/>
          <w:color w:val="auto"/>
        </w:rPr>
        <w:t>. Federal law places restrictions on the ability of our holding company to engage in certain transactions, make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participate (directly or indirectly through a subsidiary) in various activities.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Capital Requirements</w:t>
      </w:r>
      <w:r>
        <w:rPr>
          <w:rFonts w:ascii="Arial" w:cs="Arial" w:eastAsia="Arial" w:hAnsi="Arial"/>
          <w:sz w:val="18"/>
          <w:szCs w:val="18"/>
          <w:color w:val="auto"/>
        </w:rPr>
        <w:t>. The Federal Reserve uses capital adequacy guidelines in its examination and regulation of bank holding companies. If capital falls</w:t>
      </w:r>
      <w:r>
        <w:rPr>
          <w:rFonts w:ascii="Arial" w:cs="Arial" w:eastAsia="Arial" w:hAnsi="Arial"/>
          <w:sz w:val="18"/>
          <w:szCs w:val="18"/>
          <w:i w:val="1"/>
          <w:iCs w:val="1"/>
          <w:color w:val="auto"/>
        </w:rPr>
        <w:t xml:space="preserve"> </w:t>
      </w:r>
      <w:r>
        <w:rPr>
          <w:rFonts w:ascii="Arial" w:cs="Arial" w:eastAsia="Arial" w:hAnsi="Arial"/>
          <w:sz w:val="18"/>
          <w:szCs w:val="18"/>
          <w:color w:val="auto"/>
        </w:rPr>
        <w:t>below minimum guidelines, a bank holding company may, among other things, be denied approval to acquire or establish additional banks or non-bank businesses.</w:t>
      </w:r>
    </w:p>
    <w:p>
      <w:pPr>
        <w:spacing w:after="0" w:line="20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Federal Reserve's capital guidelines establish the following minimum regulatory capital requirements for bank holding companies: (i) a leverage capital requirement expressed as a percentage of total assets, and (ii) a risk-based requirement expressed as a percentage of total risk-weighted assets. The leverage capital requirement consists of a minimum ratio of Tier 1 capital (which consists principally of shareholders' equity) to total assets of 3% for the most highly-rated companies with minimum requirements of 4% to 5% for all others. The risk-based requirement consists of a minimum ratio of total capital to total risk-weighted assets of 8%, of which at least one-half must be Tier 1 capital. The risk</w:t>
      </w:r>
      <w:r>
        <w:rPr>
          <w:rFonts w:ascii="MS PGothic" w:cs="MS PGothic" w:eastAsia="MS PGothic" w:hAnsi="MS PGothic"/>
          <w:sz w:val="17"/>
          <w:szCs w:val="17"/>
          <w:color w:val="auto"/>
        </w:rPr>
        <w:t>‑</w:t>
      </w:r>
      <w:r>
        <w:rPr>
          <w:rFonts w:ascii="Arial" w:cs="Arial" w:eastAsia="Arial" w:hAnsi="Arial"/>
          <w:sz w:val="17"/>
          <w:szCs w:val="17"/>
          <w:color w:val="auto"/>
        </w:rPr>
        <w:t>based and leverage standards presently used by the Federal Reserve are minimum requirements, and higher capital levels will be required if warranted by the particular circumstances or risk profiles of individual banking organizations. The federal bank regulatory agencies are required biennially to review risk-based capital standards to ensure that they adequately address interest rate risk, concentration of credit risk and risks from non-traditional activities.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Tier 1 capital as of December 31, 2017, includes $34.5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 ability to include trust preferred securities as Tier 1 capital; however, these additional limitations do not apply to our outstanding trust preferred securities.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is being phased in over a four-year period that began in 2016.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Under these new capital rules, our existing trust preferred securities are grandfathered as qualifying regulatory capital. We believe we currently exceed all of the capital ratio requirements of these new capital rules.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 w:name="page7"/>
    <w:bookmarkEnd w:id="6"/>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Dividends</w:t>
      </w:r>
      <w:r>
        <w:rPr>
          <w:rFonts w:ascii="Arial" w:cs="Arial" w:eastAsia="Arial" w:hAnsi="Arial"/>
          <w:sz w:val="17"/>
          <w:szCs w:val="17"/>
          <w:color w:val="auto"/>
        </w:rPr>
        <w:t>. Historically, most of our revenues have been received in the form of dividends paid by our bank. We can also make requests for returns of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Change in Control Limitations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certain exceptions, the Change in the Bank Control Act ("Control Act") and regulations promulgated thereunder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Federal Securities Regulation</w:t>
      </w:r>
      <w:r>
        <w:rPr>
          <w:rFonts w:ascii="Arial" w:cs="Arial" w:eastAsia="Arial" w:hAnsi="Arial"/>
          <w:sz w:val="18"/>
          <w:szCs w:val="18"/>
          <w:color w:val="auto"/>
        </w:rPr>
        <w:t>. Our common stock is registered with the SEC under the Securities Act of 1933, as amended, and the Securities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of 1934, as amended (the "Exchange Act"). We are therefore subject to the information, proxy solicitation, insider trading and other restrictions and requirements of the SEC under the Exchange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w:t>
      </w:r>
    </w:p>
    <w:p>
      <w:pPr>
        <w:spacing w:after="0" w:line="245"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Deposit Insurance</w:t>
      </w:r>
      <w:r>
        <w:rPr>
          <w:rFonts w:ascii="Arial" w:cs="Arial" w:eastAsia="Arial" w:hAnsi="Arial"/>
          <w:sz w:val="17"/>
          <w:szCs w:val="17"/>
          <w:color w:val="auto"/>
        </w:rPr>
        <w:t>. As an FDIC-insured institution, our bank is required to pay deposit insurance premium assessments to the FDIC. Under the FDIC's risk-based assessment system for deposit insurance premiums, all insured depository institutions are placed into one of four categories (Risk Categories I, II, III, and IV), based primarily on their level of capital and supervisory evaluations, for purposes of determining the institution's assessment rate. Deposit insurance premium assessments are generally based on an institution's total assets minus its tangible equity.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 w:name="page8"/>
    <w:bookmarkEnd w:id="7"/>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FICO Assessments</w:t>
      </w:r>
      <w:r>
        <w:rPr>
          <w:rFonts w:ascii="Arial" w:cs="Arial" w:eastAsia="Arial" w:hAnsi="Arial"/>
          <w:sz w:val="16"/>
          <w:szCs w:val="16"/>
          <w:color w:val="auto"/>
        </w:rPr>
        <w:t>. Our bank, as a member of the DIF, is subject to assessments to cover the payments on outstanding obligations of the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("FICO"). FICO was created to finance the recapitalization of the Federal Savings and Loan Insurance Corporation, the predecessor to the FDIC's Savings Association Insurance Fund, which was created to insure the deposits of thrift institutions and was merged with the Bank Insurance Fund into the newly formed DIF in 2006. From now until the maturity of the outstanding FICO obligations in 2019, DIF members will share the cost of the interest on the FICO bonds on a pro rata basis. It is estimated that FICO assessments during this period will be approximately 0.006% of average tangible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Michigan DIFS Assessments</w:t>
      </w:r>
      <w:r>
        <w:rPr>
          <w:rFonts w:ascii="Arial" w:cs="Arial" w:eastAsia="Arial" w:hAnsi="Arial"/>
          <w:sz w:val="18"/>
          <w:szCs w:val="18"/>
          <w:color w:val="auto"/>
        </w:rPr>
        <w:t>. Michigan banks are required to pay supervisory fees to the Michigan DIFS to fund their operations. The amount of supervisory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paid by a bank is based upon the bank's total assets.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Capital Requirements</w:t>
      </w:r>
      <w:r>
        <w:rPr>
          <w:rFonts w:ascii="Arial" w:cs="Arial" w:eastAsia="Arial" w:hAnsi="Arial"/>
          <w:sz w:val="17"/>
          <w:szCs w:val="17"/>
          <w:color w:val="auto"/>
        </w:rPr>
        <w:t>. The Federal Reserve has established the following minimum capital standards for state-chartered, FDIC-insured member banks,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our bank: a leverage requirement consisting of a minimum ratio of Tier 1 capital to total assets of 3% for the most highly-rated banks with minimum requirements of 4% to 5% for all others, and a risk-based capital requirement consisting of a minimum ratio of total capital to total risk-weighted assets of 8%, at least one-half of which must be Tier 1 capital. Tier 1 capital consists principally of shareholders' equity. These capital requirements are minimum requirements. Higher capital levels will be required if warranted by the particular circumstances or risk profiles of individual institutions. For example, Federal Reserve regulations provide that higher capital may be required to take adequate account of, among other things, interest rate risk and the risks posed by concentrations of credit, nontraditional activities, or securities trading activities.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is being phased in over a four-year period that began in 2016.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We believe we currently exceed all of the capital ratio requirements of these new capital rules.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78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5"/>
              </w:rPr>
              <w:t>Tier 1</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Equity Tier 1</w:t>
            </w:r>
          </w:p>
        </w:tc>
        <w:tc>
          <w:tcPr>
            <w:tcW w:w="178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Risk-Based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Risk-Based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Risk-Based</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Leverage</w:t>
            </w:r>
          </w:p>
        </w:tc>
      </w:tr>
      <w:tr>
        <w:trPr>
          <w:trHeight w:val="241"/>
        </w:trPr>
        <w:tc>
          <w:tcPr>
            <w:tcW w:w="386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Capital Ratio</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Capital Ratio</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Capital Ratio</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Ratio</w:t>
            </w:r>
          </w:p>
        </w:tc>
      </w:tr>
      <w:tr>
        <w:trPr>
          <w:trHeight w:val="216"/>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Well capitalized</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or above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 or above</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 or above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 or above</w:t>
            </w: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rPr>
              <w:t>Adequately capitalized</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8% or above</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6% or above</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4.5% or above</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4% or above</w:t>
            </w: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Undercapitalized</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6%</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Less than 4.5%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4%</w:t>
            </w:r>
          </w:p>
        </w:tc>
      </w:tr>
      <w:tr>
        <w:trPr>
          <w:trHeight w:val="216"/>
        </w:trPr>
        <w:tc>
          <w:tcPr>
            <w:tcW w:w="3860" w:type="dxa"/>
            <w:vAlign w:val="bottom"/>
          </w:tcPr>
          <w:p>
            <w:pPr>
              <w:ind w:left="60"/>
              <w:spacing w:after="0"/>
              <w:rPr>
                <w:sz w:val="20"/>
                <w:szCs w:val="20"/>
                <w:color w:val="auto"/>
              </w:rPr>
            </w:pPr>
            <w:r>
              <w:rPr>
                <w:rFonts w:ascii="Arial" w:cs="Arial" w:eastAsia="Arial" w:hAnsi="Arial"/>
                <w:sz w:val="18"/>
                <w:szCs w:val="18"/>
                <w:color w:val="auto"/>
              </w:rPr>
              <w:t>Significantly undercapitalized</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Less than 6%</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Less than 4%</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Less than 3%</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Less than 3%</w:t>
            </w: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Critically undercapitalized</w:t>
            </w:r>
          </w:p>
        </w:tc>
        <w:tc>
          <w:tcPr>
            <w:tcW w:w="18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Tangible equity to total assets of 2% or less</w:t>
            </w:r>
          </w:p>
        </w:tc>
        <w:tc>
          <w:tcPr>
            <w:tcW w:w="17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our bank's ratios exceeded minimum requirements for the well-capitalized category.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 w:name="page9"/>
    <w:bookmarkEnd w:id="8"/>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Under Michigan law, banks are restricted as to the maximum amount of dividends they may pay on their common stock. Our bank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except out of its net income after deducting its losses and bad debts. In addition, a Michigan bank may not declare or pay a dividend unless the bank will have a surplus amounting to at least 20 percent of its capital after the payment of the dividend.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bank's retained net income for the preceding two years.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Insider Transactions</w:t>
      </w:r>
      <w:r>
        <w:rPr>
          <w:rFonts w:ascii="Arial" w:cs="Arial" w:eastAsia="Arial" w:hAnsi="Arial"/>
          <w:sz w:val="18"/>
          <w:szCs w:val="18"/>
          <w:color w:val="auto"/>
        </w:rPr>
        <w:t>. Our bank is subject to certain restrictions imposed by the Federal Reserve Act on "covered transactions" with us or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investments in our stock or other securities issued by us or our 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Safety and Soundness Standards</w:t>
      </w:r>
      <w:r>
        <w:rPr>
          <w:rFonts w:ascii="Arial" w:cs="Arial" w:eastAsia="Arial" w:hAnsi="Arial"/>
          <w:sz w:val="18"/>
          <w:szCs w:val="18"/>
          <w:color w:val="auto"/>
        </w:rPr>
        <w:t>. Pursuant to the Federal Deposit Insurance Corporation Improvement Act of 1991 ("FDICIA"), the FDIC adopted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Investment and Other Activities</w:t>
      </w:r>
      <w:r>
        <w:rPr>
          <w:rFonts w:ascii="Arial" w:cs="Arial" w:eastAsia="Arial" w:hAnsi="Arial"/>
          <w:sz w:val="17"/>
          <w:szCs w:val="17"/>
          <w:color w:val="auto"/>
        </w:rPr>
        <w:t>. Under federal law and regulations, FDIC-insured state banks are prohibited, subject to certain exceptions, from making or</w:t>
      </w:r>
      <w:r>
        <w:rPr>
          <w:rFonts w:ascii="Arial" w:cs="Arial" w:eastAsia="Arial" w:hAnsi="Arial"/>
          <w:sz w:val="17"/>
          <w:szCs w:val="17"/>
          <w:i w:val="1"/>
          <w:iCs w:val="1"/>
          <w:color w:val="auto"/>
        </w:rPr>
        <w:t xml:space="preserve"> </w:t>
      </w:r>
      <w:r>
        <w:rPr>
          <w:rFonts w:ascii="Arial" w:cs="Arial" w:eastAsia="Arial" w:hAnsi="Arial"/>
          <w:sz w:val="17"/>
          <w:szCs w:val="17"/>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 w:name="page10"/>
    <w:bookmarkEnd w:id="9"/>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Consumer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Our bank's business includes making a variety of types of loans to individuals. In making these loans, our bank is subject to state usury</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Bank Secrecy Act, the Electronic Funds Transfer Act, and the Federal Deposit Insurance Act. Violation of these laws could result in the imposition of significant damages and fines upon our bank and its directors and officers.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number of new consumer protection laws were implemented following the recent recession, including:</w:t>
      </w:r>
    </w:p>
    <w:p>
      <w:pPr>
        <w:spacing w:after="0" w:line="252"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Homeowner Affordability and Stability Plan (HASP) was implemented in 2009 to support a recovery in the housing market and ensure that borrowers can continue to pay off their mortgages through initiatives such as access to low-cost refinancing for responsible homeowners suffering from falling home prices; a $75 billion homeowner stability plan to prevent foreclosure, and support of low mortgage rates by strengthening confidence in Fannie Mae and Freddie Mac.</w:t>
      </w:r>
    </w:p>
    <w:p>
      <w:pPr>
        <w:spacing w:after="0" w:line="21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Dodd-Frank Act, adopted in 2010, included the creation of the Consumer Financial Protection Bureau (CFPB), which was given the power to issue and enforce certain consumer protection laws. The CFPB has issued several new consumer protection regulations, including regulations that impact residential mortgage lending and servicing.</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Dodd-Frank Act also implemented new restrictions on how mortgage brokers and loan originators may be compensated.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experienced, and expect to continue to experience, increased costs and expenses related to compliance with these and other new consumer protection regulations.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Branching Authority</w:t>
      </w:r>
      <w:r>
        <w:rPr>
          <w:rFonts w:ascii="Arial" w:cs="Arial" w:eastAsia="Arial" w:hAnsi="Arial"/>
          <w:sz w:val="18"/>
          <w:szCs w:val="18"/>
          <w:color w:val="auto"/>
        </w:rPr>
        <w:t>. Michigan banks, such as our bank, have the authority under Michigan law to establish branches anywhere in the State of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receipt of all required regulatory approvals. Banks may establish interstate branch networks through acquisitions of other banks. The establishment of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Legislation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 Information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annual reports on Forms 10-K, quarterly reports on Forms 10-Q, current reports on Forms 8-K, and all amendments to those reports are available free of charge through our website at www.IndependentBank.com as soon as reasonably practicable after filing with the Securities and Exchange Commission (SEC).</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 -- STATISTICAL DISCLOSURE</w:t>
      </w:r>
    </w:p>
    <w:p>
      <w:pPr>
        <w:spacing w:after="0" w:line="252"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u w:val="single" w:color="auto"/>
          <w:color w:val="auto"/>
        </w:rPr>
        <w:t>DISTRIBUTION OF ASSETS, LIABILITIES AND STOCKHOLDERS' EQUITY;</w:t>
      </w:r>
    </w:p>
    <w:p>
      <w:pPr>
        <w:spacing w:after="0" w:line="23" w:lineRule="exact"/>
        <w:rPr>
          <w:rFonts w:ascii="Arial" w:cs="Arial" w:eastAsia="Arial" w:hAnsi="Arial"/>
          <w:sz w:val="18"/>
          <w:szCs w:val="18"/>
          <w:color w:val="auto"/>
        </w:rPr>
      </w:pPr>
    </w:p>
    <w:p>
      <w:pPr>
        <w:ind w:left="1220" w:hanging="712"/>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INTEREST RATES AND INTEREST DIFFERENTIAL</w:t>
      </w:r>
    </w:p>
    <w:p>
      <w:pPr>
        <w:spacing w:after="0" w:line="9" w:lineRule="exact"/>
        <w:rPr>
          <w:rFonts w:ascii="Arial" w:cs="Arial" w:eastAsia="Arial" w:hAnsi="Arial"/>
          <w:sz w:val="18"/>
          <w:szCs w:val="18"/>
          <w:color w:val="auto"/>
        </w:rPr>
      </w:pPr>
    </w:p>
    <w:p>
      <w:pPr>
        <w:ind w:left="1220" w:hanging="712"/>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INTEREST RATES AND DIFFERENTIAL</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the tables captioned "Average Balances and Rates" and "Change in Net Interest Income" of our annual report, to be delivered to shareholders in connection with the April 24, 2018 Annual Meeting of Shareholders (filed as exhibit 13 to this report on Form 10-K), is incorporated herein by reference.</w:t>
      </w:r>
    </w:p>
    <w:p>
      <w:pPr>
        <w:spacing w:after="0" w:line="235"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INVESTMENT PORTFOLIO</w:t>
      </w:r>
    </w:p>
    <w:p>
      <w:pPr>
        <w:spacing w:after="0" w:line="252" w:lineRule="exact"/>
        <w:rPr>
          <w:rFonts w:ascii="Arial" w:cs="Arial" w:eastAsia="Arial" w:hAnsi="Arial"/>
          <w:sz w:val="18"/>
          <w:szCs w:val="18"/>
          <w:color w:val="auto"/>
        </w:rPr>
      </w:pPr>
    </w:p>
    <w:p>
      <w:pPr>
        <w:ind w:left="680" w:hanging="348"/>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following table sets forth the fair value of securities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14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2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shd w:val="clear" w:color="auto" w:fill="CCEEFF"/>
              </w:rPr>
              <w:t>Available for sale</w:t>
            </w:r>
          </w:p>
        </w:tc>
        <w:tc>
          <w:tcPr>
            <w:tcW w:w="32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Obligations of states and political subdivisions</w:t>
            </w:r>
          </w:p>
        </w:tc>
        <w:tc>
          <w:tcPr>
            <w:tcW w:w="31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172,945</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170,899</w:t>
            </w:r>
          </w:p>
        </w:tc>
        <w:tc>
          <w:tcPr>
            <w:tcW w:w="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 agency residential mortgage-backed</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Other asset backed</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93,898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146,709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Corporate</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Private label mortgage-backed</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29,109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 agency</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U.S. agency commercial mortgage-backed</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Trust preferred</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Foreign government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 Treasury</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522,925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585,484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900" w:type="dxa"/>
            <w:vAlign w:val="bottom"/>
            <w:vMerge w:val="restart"/>
          </w:tcPr>
          <w:p>
            <w:pPr>
              <w:jc w:val="right"/>
              <w:ind w:right="155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2" w:right="239" w:bottom="1440" w:gutter="0" w:footer="0" w:header="0"/>
        </w:sectPr>
      </w:pPr>
    </w:p>
    <w:bookmarkStart w:id="12" w:name="page13"/>
    <w:bookmarkEnd w:id="12"/>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 The following table sets forth contractual maturities of securities at December 31, 2017 and the weighted average yield of such securities: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97"/>
              </w:rPr>
              <w:t>Maturing</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After One</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After Five</w:t>
            </w:r>
          </w:p>
        </w:tc>
        <w:tc>
          <w:tcPr>
            <w:tcW w:w="12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Arial" w:cs="Arial" w:eastAsia="Arial" w:hAnsi="Arial"/>
                <w:sz w:val="18"/>
                <w:szCs w:val="18"/>
                <w:color w:val="auto"/>
                <w:w w:val="94"/>
              </w:rPr>
              <w:t>Maturing</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95"/>
              </w:rPr>
              <w:t>Within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8"/>
                <w:szCs w:val="18"/>
                <w:color w:val="auto"/>
                <w:w w:val="97"/>
              </w:rPr>
              <w:t>But Within</w:t>
            </w:r>
          </w:p>
        </w:tc>
        <w:tc>
          <w:tcPr>
            <w:tcW w:w="12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5"/>
              </w:rPr>
              <w:t>But Within</w:t>
            </w:r>
          </w:p>
        </w:tc>
        <w:tc>
          <w:tcPr>
            <w:tcW w:w="12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Arial" w:cs="Arial" w:eastAsia="Arial" w:hAnsi="Arial"/>
                <w:sz w:val="18"/>
                <w:szCs w:val="18"/>
                <w:color w:val="auto"/>
                <w:w w:val="99"/>
              </w:rPr>
              <w:t>After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One Year</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Five Years</w:t>
            </w:r>
          </w:p>
        </w:tc>
        <w:tc>
          <w:tcPr>
            <w:tcW w:w="120" w:type="dxa"/>
            <w:vAlign w:val="bottom"/>
          </w:tcPr>
          <w:p>
            <w:pPr>
              <w:spacing w:after="0"/>
              <w:rPr>
                <w:sz w:val="20"/>
                <w:szCs w:val="20"/>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84"/>
              </w:rPr>
              <w:t>Ten Years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Ten Years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(dollars 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Tax equivalent adjustment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 calculation of yield</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2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shd w:val="clear" w:color="auto" w:fill="CCEEFF"/>
              </w:rPr>
              <w:t>Available for sale</w:t>
            </w: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Borders>
              <w:top w:val="single" w:sz="8" w:color="CCEEFF"/>
            </w:tcBorders>
            <w:gridSpan w:val="2"/>
          </w:tcPr>
          <w:p>
            <w:pPr>
              <w:ind w:left="80"/>
              <w:spacing w:after="0" w:line="201" w:lineRule="exact"/>
              <w:rPr>
                <w:sz w:val="20"/>
                <w:szCs w:val="20"/>
                <w:color w:val="auto"/>
              </w:rPr>
            </w:pPr>
            <w:r>
              <w:rPr>
                <w:rFonts w:ascii="Arial" w:cs="Arial" w:eastAsia="Arial" w:hAnsi="Arial"/>
                <w:sz w:val="18"/>
                <w:szCs w:val="18"/>
                <w:color w:val="auto"/>
              </w:rPr>
              <w:t>Obligations of states and</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rPr>
              <w:t>political subdivisions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67,350</w:t>
            </w:r>
          </w:p>
        </w:tc>
        <w:tc>
          <w:tcPr>
            <w:tcW w:w="26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41,980</w:t>
            </w:r>
          </w:p>
        </w:tc>
        <w:tc>
          <w:tcPr>
            <w:tcW w:w="26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3.72%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50,012</w:t>
            </w:r>
          </w:p>
        </w:tc>
        <w:tc>
          <w:tcPr>
            <w:tcW w:w="24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w w:val="90"/>
              </w:rPr>
              <w:t>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U.S. agency residential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53,186</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28,800</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55,817</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Other asset backed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23,791</w:t>
            </w:r>
          </w:p>
        </w:tc>
        <w:tc>
          <w:tcPr>
            <w:tcW w:w="26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17,163</w:t>
            </w:r>
          </w:p>
        </w:tc>
        <w:tc>
          <w:tcPr>
            <w:tcW w:w="2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1,377</w:t>
            </w:r>
          </w:p>
        </w:tc>
        <w:tc>
          <w:tcPr>
            <w:tcW w:w="24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13,966</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Private label mortage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rPr>
              <w:t>-backed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15,913</w:t>
            </w:r>
          </w:p>
        </w:tc>
        <w:tc>
          <w:tcPr>
            <w:tcW w:w="26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10,996</w:t>
            </w:r>
          </w:p>
        </w:tc>
        <w:tc>
          <w:tcPr>
            <w:tcW w:w="26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agency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10,311</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U.S. agency commercial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7,933</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Trust preferred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2,802</w:t>
            </w:r>
          </w:p>
        </w:tc>
        <w:tc>
          <w:tcPr>
            <w:tcW w:w="24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Foreign government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0"/>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Tax equivalent adjustment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 calculation of yield</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rates set forth in the tables above for those obligations of state and political subdivisions that are tax exempt have been restated on a tax equivalent basis assuming a marginal tax rate of 35%. The amount of the adjustment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Rate on Tax</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Tax-Exempt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Equivalent</w:t>
            </w:r>
          </w:p>
        </w:tc>
      </w:tr>
      <w:tr>
        <w:trPr>
          <w:trHeight w:val="190"/>
        </w:trPr>
        <w:tc>
          <w:tcPr>
            <w:tcW w:w="3440" w:type="dxa"/>
            <w:vAlign w:val="bottom"/>
            <w:gridSpan w:val="3"/>
          </w:tcPr>
          <w:p>
            <w:pPr>
              <w:spacing w:after="0" w:line="190" w:lineRule="exact"/>
              <w:rPr>
                <w:sz w:val="20"/>
                <w:szCs w:val="20"/>
                <w:color w:val="auto"/>
              </w:rPr>
            </w:pPr>
            <w:r>
              <w:rPr>
                <w:rFonts w:ascii="Arial" w:cs="Arial" w:eastAsia="Arial" w:hAnsi="Arial"/>
                <w:sz w:val="18"/>
                <w:szCs w:val="18"/>
                <w:color w:val="auto"/>
              </w:rPr>
              <w:t>Available for sale</w:t>
            </w:r>
          </w:p>
        </w:tc>
        <w:tc>
          <w:tcPr>
            <w:tcW w:w="422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9"/>
              </w:rPr>
              <w:t>Rate</w:t>
            </w:r>
          </w:p>
        </w:tc>
        <w:tc>
          <w:tcPr>
            <w:tcW w:w="120" w:type="dxa"/>
            <w:vAlign w:val="bottom"/>
          </w:tcPr>
          <w:p>
            <w:pPr>
              <w:spacing w:after="0"/>
              <w:rPr>
                <w:sz w:val="16"/>
                <w:szCs w:val="16"/>
                <w:color w:val="auto"/>
              </w:rPr>
            </w:pPr>
          </w:p>
        </w:tc>
        <w:tc>
          <w:tcPr>
            <w:tcW w:w="1160" w:type="dxa"/>
            <w:vAlign w:val="bottom"/>
          </w:tcPr>
          <w:p>
            <w:pPr>
              <w:jc w:val="right"/>
              <w:ind w:right="70"/>
              <w:spacing w:after="0" w:line="190" w:lineRule="exact"/>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6"/>
                <w:szCs w:val="16"/>
                <w:color w:val="auto"/>
              </w:rPr>
            </w:pPr>
          </w:p>
        </w:tc>
        <w:tc>
          <w:tcPr>
            <w:tcW w:w="120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Basis</w:t>
            </w:r>
          </w:p>
        </w:tc>
      </w:tr>
      <w:tr>
        <w:trPr>
          <w:trHeight w:val="28"/>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Under 1 year</w:t>
            </w:r>
          </w:p>
        </w:tc>
        <w:tc>
          <w:tcPr>
            <w:tcW w:w="4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1.68%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1-5 years</w:t>
            </w:r>
          </w:p>
        </w:tc>
        <w:tc>
          <w:tcPr>
            <w:tcW w:w="5380" w:type="dxa"/>
            <w:vAlign w:val="bottom"/>
            <w:gridSpan w:val="2"/>
          </w:tcPr>
          <w:p>
            <w:pPr>
              <w:jc w:val="center"/>
              <w:ind w:left="4210"/>
              <w:spacing w:after="0"/>
              <w:rPr>
                <w:sz w:val="20"/>
                <w:szCs w:val="20"/>
                <w:color w:val="auto"/>
              </w:rPr>
            </w:pPr>
            <w:r>
              <w:rPr>
                <w:rFonts w:ascii="Arial" w:cs="Arial" w:eastAsia="Arial" w:hAnsi="Arial"/>
                <w:sz w:val="18"/>
                <w:szCs w:val="18"/>
                <w:color w:val="auto"/>
                <w:w w:val="91"/>
              </w:rPr>
              <w:t>2.00</w:t>
            </w: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1.08</w:t>
            </w: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5-10 years</w:t>
            </w:r>
          </w:p>
        </w:tc>
        <w:tc>
          <w:tcPr>
            <w:tcW w:w="5380" w:type="dxa"/>
            <w:vAlign w:val="bottom"/>
            <w:gridSpan w:val="2"/>
            <w:shd w:val="clear" w:color="auto" w:fill="CCEEFF"/>
          </w:tcPr>
          <w:p>
            <w:pPr>
              <w:jc w:val="center"/>
              <w:ind w:left="4210"/>
              <w:spacing w:after="0"/>
              <w:rPr>
                <w:sz w:val="20"/>
                <w:szCs w:val="20"/>
                <w:color w:val="auto"/>
              </w:rPr>
            </w:pPr>
            <w:r>
              <w:rPr>
                <w:rFonts w:ascii="Arial" w:cs="Arial" w:eastAsia="Arial" w:hAnsi="Arial"/>
                <w:sz w:val="18"/>
                <w:szCs w:val="18"/>
                <w:color w:val="auto"/>
                <w:w w:val="91"/>
              </w:rPr>
              <w:t>2.58</w:t>
            </w:r>
          </w:p>
        </w:tc>
        <w:tc>
          <w:tcPr>
            <w:tcW w:w="12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3.97</w:t>
            </w:r>
          </w:p>
        </w:tc>
      </w:tr>
      <w:tr>
        <w:trPr>
          <w:trHeight w:val="230"/>
        </w:trPr>
        <w:tc>
          <w:tcPr>
            <w:tcW w:w="2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After 10 years</w:t>
            </w:r>
          </w:p>
        </w:tc>
        <w:tc>
          <w:tcPr>
            <w:tcW w:w="5380" w:type="dxa"/>
            <w:vAlign w:val="bottom"/>
            <w:gridSpan w:val="2"/>
          </w:tcPr>
          <w:p>
            <w:pPr>
              <w:jc w:val="center"/>
              <w:ind w:left="4210"/>
              <w:spacing w:after="0"/>
              <w:rPr>
                <w:sz w:val="20"/>
                <w:szCs w:val="20"/>
                <w:color w:val="auto"/>
              </w:rPr>
            </w:pPr>
            <w:r>
              <w:rPr>
                <w:rFonts w:ascii="Arial" w:cs="Arial" w:eastAsia="Arial" w:hAnsi="Arial"/>
                <w:sz w:val="18"/>
                <w:szCs w:val="18"/>
                <w:color w:val="auto"/>
                <w:w w:val="91"/>
              </w:rPr>
              <w:t>3.40</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1.83</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5.23</w:t>
            </w:r>
          </w:p>
        </w:tc>
      </w:tr>
      <w:tr>
        <w:trPr>
          <w:trHeight w:val="62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20" w:type="dxa"/>
            <w:vAlign w:val="bottom"/>
          </w:tcPr>
          <w:p>
            <w:pPr>
              <w:jc w:val="right"/>
              <w:ind w:right="177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52" w:right="23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79"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 PORTFOLIO</w:t>
      </w:r>
    </w:p>
    <w:p>
      <w:pPr>
        <w:spacing w:after="0" w:line="252" w:lineRule="exact"/>
        <w:rPr>
          <w:rFonts w:ascii="Arial" w:cs="Arial" w:eastAsia="Arial" w:hAnsi="Arial"/>
          <w:sz w:val="18"/>
          <w:szCs w:val="18"/>
          <w:color w:val="auto"/>
        </w:rPr>
      </w:pPr>
    </w:p>
    <w:p>
      <w:pPr>
        <w:ind w:left="680" w:hanging="348"/>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following table sets forth total loans outstanding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849,530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538,615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498,036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486,115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748,398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635,234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316,027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265,616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234,017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207,571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192,583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Payment plan receivables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34,599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60,638</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2,058,253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1,675,628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1,542,916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1,433,624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1,394,960</w:t>
            </w:r>
          </w:p>
        </w:tc>
      </w:tr>
      <w:tr>
        <w:trPr>
          <w:trHeight w:val="21"/>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2016 includes $30.6 million of payment plan receivables and $0.8 million commercial loans related to the then pending sale of Mepco and $35.9 million of 1-4 family residential mortgages.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loan portfolio is periodically and systematically reviewed, and the results of these reviews are reported to the Board of Directors of our bank. The purpose of these reviews is to assist in assuring proper loan documentation, to facilitate compliance with applicable laws and regulations, to provide for the early identification of potential problem loans (which enhances collection prospects) and to evaluate the adequacy of the allowance for loan losses.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The following table sets forth scheduled loan repayments (excluding 1-4 family residential mortgages and installment loans) at December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After One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Within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But Within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After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One Year</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Five Years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8"/>
              </w:rPr>
              <w:t>Five Years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103,180</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Commercial</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109,255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249,915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494,090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853,260</w:t>
            </w:r>
          </w:p>
        </w:tc>
      </w:tr>
      <w:tr>
        <w:trPr>
          <w:trHeight w:val="25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109,263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loans due after one year which have predetermined (fixed) interest rates and/or adjustable (variable) interest rates at December 31,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Fixed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Variable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4"/>
              </w:rPr>
              <w:t>Rate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4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but within five years</w:t>
            </w:r>
          </w:p>
        </w:tc>
        <w:tc>
          <w:tcPr>
            <w:tcW w:w="35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134,221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249,975</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Due after five years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286,262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310,940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597,202</w:t>
            </w:r>
          </w:p>
        </w:tc>
      </w:tr>
      <w:tr>
        <w:trPr>
          <w:trHeight w:val="25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402,016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28"/>
        </w:trPr>
        <w:tc>
          <w:tcPr>
            <w:tcW w:w="4080" w:type="dxa"/>
            <w:vAlign w:val="bottom"/>
          </w:tcPr>
          <w:p>
            <w:pPr>
              <w:spacing w:after="0"/>
              <w:rPr>
                <w:sz w:val="24"/>
                <w:szCs w:val="24"/>
                <w:color w:val="auto"/>
              </w:rPr>
            </w:pPr>
          </w:p>
        </w:tc>
        <w:tc>
          <w:tcPr>
            <w:tcW w:w="3360" w:type="dxa"/>
            <w:vAlign w:val="bottom"/>
          </w:tcPr>
          <w:p>
            <w:pPr>
              <w:jc w:val="right"/>
              <w:ind w:right="155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08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52"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The following table sets forth loans on non-accrual, loans ninety days or more past due and troubled debt restructured loans at 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 Loans accounted for</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on a non-accrual basis (1, 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8,184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13,364</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15,231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Aggregate amount of loans ninety days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or more past due (excludes loans in (a) above)</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280" w:firstLine="8"/>
        <w:spacing w:after="0" w:line="291" w:lineRule="auto"/>
        <w:tabs>
          <w:tab w:leader="none" w:pos="29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Loans not included above which are "troubled debt restructurings" as defined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accounting guidance</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60,115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70,286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81,512</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102,971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114,887</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68,299</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83,650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132,792</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accrual of interest income is discontinued when a loan becomes 90 days past due and the borrower's capacity to repay the loan and collateral values appear insufficient. Non-accrual loans may be restored to accrual status when interest and principal payments are current and the loan appears otherwise collectible.</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 the amount of $3.79 million would have been earned in 2017 had loans in categories (a) and (c) remained at their original terms; however, only $3.05 million was included in interest income for the year with respect to these loans.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Potential problem loans identified by the loan review department which are not included as non-performing in the table above were zero at December 31, 2017.</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2017, there was no concentration of loans exceeding 10% of total loans which is not already disclosed as a category of loans in this section "Loan Portfolio" (Item III(A)).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interest-bearing assets at December 31, 2017, that would be required to be disclosed above (Item III(C)), if such assets were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foreign loans at December 31, 2017, 2016, 2015, 2014 and 2013.</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following table sets forth loan balances and summarizes the changes in the allowance for loan losses for each of the years ended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w w:val="77"/>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loans outstanding at the end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year (net of unearned fees)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2,058,253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1,675,628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1,542,916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total loans outstanding for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year (net of unearned fees)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1,848,860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1,599,899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1,461,480</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gridSpan w:val="2"/>
          </w:tcPr>
          <w:p>
            <w:pPr>
              <w:jc w:val="center"/>
              <w:ind w:right="360"/>
              <w:spacing w:after="0"/>
              <w:rPr>
                <w:sz w:val="20"/>
                <w:szCs w:val="20"/>
                <w:color w:val="auto"/>
              </w:rPr>
            </w:pPr>
            <w:r>
              <w:rPr>
                <w:rFonts w:ascii="Arial" w:cs="Arial" w:eastAsia="Arial" w:hAnsi="Arial"/>
                <w:sz w:val="18"/>
                <w:szCs w:val="18"/>
                <w:color w:val="auto"/>
                <w:w w:val="92"/>
              </w:rPr>
              <w:t>Unfunded</w:t>
            </w: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Unfunded</w:t>
            </w: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2"/>
              </w:rPr>
              <w:t>Unfunded</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Loan</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Commit-</w:t>
            </w: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Loan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90"/>
              <w:spacing w:after="0"/>
              <w:rPr>
                <w:sz w:val="20"/>
                <w:szCs w:val="20"/>
                <w:color w:val="auto"/>
              </w:rPr>
            </w:pPr>
            <w:r>
              <w:rPr>
                <w:rFonts w:ascii="Arial" w:cs="Arial" w:eastAsia="Arial" w:hAnsi="Arial"/>
                <w:sz w:val="18"/>
                <w:szCs w:val="18"/>
                <w:color w:val="auto"/>
                <w:w w:val="97"/>
              </w:rPr>
              <w:t>Commit-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8"/>
                <w:szCs w:val="18"/>
                <w:color w:val="auto"/>
              </w:rPr>
              <w:t>Loan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Commit-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ments</w:t>
            </w: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Losses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290"/>
              <w:spacing w:after="0"/>
              <w:rPr>
                <w:sz w:val="20"/>
                <w:szCs w:val="20"/>
                <w:color w:val="auto"/>
              </w:rPr>
            </w:pPr>
            <w:r>
              <w:rPr>
                <w:rFonts w:ascii="Arial" w:cs="Arial" w:eastAsia="Arial" w:hAnsi="Arial"/>
                <w:sz w:val="18"/>
                <w:szCs w:val="18"/>
                <w:color w:val="auto"/>
                <w:w w:val="85"/>
              </w:rPr>
              <w:t>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Loans charged-off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Payment plan receivables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Recoveries of loans previously</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charged-off</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Payment plan receivables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recoveries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Net loans charged-off</w:t>
            </w: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loans held for sale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Additions (deductions) included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20" w:type="dxa"/>
            <w:vAlign w:val="bottom"/>
            <w:gridSpan w:val="2"/>
          </w:tcPr>
          <w:p>
            <w:pPr>
              <w:spacing w:after="0"/>
              <w:rPr>
                <w:sz w:val="20"/>
                <w:szCs w:val="20"/>
                <w:color w:val="auto"/>
              </w:rPr>
            </w:pPr>
            <w:r>
              <w:rPr>
                <w:rFonts w:ascii="Arial" w:cs="Arial" w:eastAsia="Arial" w:hAnsi="Arial"/>
                <w:sz w:val="18"/>
                <w:szCs w:val="18"/>
                <w:color w:val="auto"/>
              </w:rPr>
              <w:t>in operations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(2,714)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loans charged-off as a percent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loans outstanding (includes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loans held for sale) for the year</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 losses as a</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percent of loans outstanding (includes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loans held for sale) at the end of the year</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4940" w:type="dxa"/>
            <w:vAlign w:val="bottom"/>
            <w:gridSpan w:val="3"/>
          </w:tcPr>
          <w:p>
            <w:pPr>
              <w:ind w:left="80"/>
              <w:spacing w:after="0"/>
              <w:rPr>
                <w:sz w:val="20"/>
                <w:szCs w:val="20"/>
                <w:color w:val="auto"/>
              </w:rPr>
            </w:pPr>
            <w:r>
              <w:rPr>
                <w:rFonts w:ascii="Arial" w:cs="Arial" w:eastAsia="Arial" w:hAnsi="Arial"/>
                <w:sz w:val="18"/>
                <w:szCs w:val="18"/>
                <w:color w:val="auto"/>
              </w:rPr>
              <w:t>BUSINESS -- STATISTICAL DISCLOSURE (Continued)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7"/>
          </w:tcPr>
          <w:p>
            <w:pPr>
              <w:jc w:val="right"/>
              <w:ind w:right="58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Total loans outstanding at the end of</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the year (net of unearned fees)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1,433,624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1,394,960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Average total loans outstanding for</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the year (net of unearned fees)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1,388,772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1,413,796</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gridSpan w:val="2"/>
          </w:tcPr>
          <w:p>
            <w:pPr>
              <w:jc w:val="center"/>
              <w:ind w:right="400"/>
              <w:spacing w:after="0"/>
              <w:rPr>
                <w:sz w:val="20"/>
                <w:szCs w:val="20"/>
                <w:color w:val="auto"/>
              </w:rPr>
            </w:pPr>
            <w:r>
              <w:rPr>
                <w:rFonts w:ascii="Arial" w:cs="Arial" w:eastAsia="Arial" w:hAnsi="Arial"/>
                <w:sz w:val="18"/>
                <w:szCs w:val="18"/>
                <w:color w:val="auto"/>
                <w:w w:val="92"/>
              </w:rPr>
              <w:t>Unfunded</w:t>
            </w: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2"/>
              </w:rPr>
              <w:t>Unfunded</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Loan</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Commit-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Loan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Commit-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w w:val="98"/>
              </w:rPr>
              <w:t>Losses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8"/>
                <w:szCs w:val="18"/>
                <w:color w:val="auto"/>
              </w:rPr>
              <w:t>Loans charged-off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w w:val="99"/>
              </w:rPr>
              <w:t>Commercial</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7,358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Installment</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5"/>
          </w:tcPr>
          <w:p>
            <w:pPr>
              <w:ind w:left="80"/>
              <w:spacing w:after="0"/>
              <w:rPr>
                <w:sz w:val="20"/>
                <w:szCs w:val="20"/>
                <w:color w:val="auto"/>
              </w:rPr>
            </w:pPr>
            <w:r>
              <w:rPr>
                <w:rFonts w:ascii="Arial" w:cs="Arial" w:eastAsia="Arial" w:hAnsi="Arial"/>
                <w:sz w:val="18"/>
                <w:szCs w:val="18"/>
                <w:color w:val="auto"/>
              </w:rPr>
              <w:t>Payment plan receivables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8"/>
                <w:szCs w:val="18"/>
                <w:color w:val="auto"/>
              </w:rPr>
              <w:t>Recoveries of loans previously charged-off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w w:val="99"/>
              </w:rPr>
              <w:t>Commercial</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5,119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Installment</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5"/>
          </w:tcPr>
          <w:p>
            <w:pPr>
              <w:ind w:left="80"/>
              <w:spacing w:after="0"/>
              <w:rPr>
                <w:sz w:val="20"/>
                <w:szCs w:val="20"/>
                <w:color w:val="auto"/>
              </w:rPr>
            </w:pPr>
            <w:r>
              <w:rPr>
                <w:rFonts w:ascii="Arial" w:cs="Arial" w:eastAsia="Arial" w:hAnsi="Arial"/>
                <w:sz w:val="18"/>
                <w:szCs w:val="18"/>
                <w:color w:val="auto"/>
              </w:rPr>
              <w:t>Payment plan receivables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recoveries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ind w:left="160"/>
              <w:spacing w:after="0"/>
              <w:rPr>
                <w:sz w:val="20"/>
                <w:szCs w:val="20"/>
                <w:color w:val="auto"/>
              </w:rPr>
            </w:pPr>
            <w:r>
              <w:rPr>
                <w:rFonts w:ascii="Arial" w:cs="Arial" w:eastAsia="Arial" w:hAnsi="Arial"/>
                <w:sz w:val="18"/>
                <w:szCs w:val="18"/>
                <w:color w:val="auto"/>
              </w:rPr>
              <w:t>Net loans charged-off</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Additions (deductions) included in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(3,136)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(3,988)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Net loans charged-off as a percent of</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average loans outstanding (includes loans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held for sale) for the year</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Allowance for loan losses as a</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percent of loans outstanding (includes loans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held for sale) at the end of the year</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allowance for loan losses reflected above is a valuation allowance in its entirety and the only allowance available to absorb probable incurred loan losses.</w:t>
      </w: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discussion of the provision and allowance for loan losses (a critical accounting policy) as well as non-performing loans, is presented in Management's Discussion and Analysis of Financial Condition and Results of Operations in our annual report, to be delivered to shareholders in connection with the April 24, 2018 Annual Meeting of Shareholders (filed as exhibit 13 to this report on Form 10-K), and is incorporated herein by reference.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 w:name="page18"/>
    <w:bookmarkEnd w:id="17"/>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r>
        <w:rPr>
          <w:rFonts w:ascii="Arial" w:cs="Arial" w:eastAsia="Arial" w:hAnsi="Arial"/>
          <w:sz w:val="18"/>
          <w:szCs w:val="18"/>
          <w:color w:val="auto"/>
        </w:rPr>
        <w:t xml:space="preserve"> (Continued)</w:t>
      </w:r>
    </w:p>
    <w:p>
      <w:pPr>
        <w:spacing w:after="0" w:line="252" w:lineRule="exact"/>
        <w:rPr>
          <w:sz w:val="20"/>
          <w:szCs w:val="20"/>
          <w:color w:val="auto"/>
        </w:rPr>
      </w:pPr>
    </w:p>
    <w:p>
      <w:pPr>
        <w:ind w:right="100" w:firstLine="332"/>
        <w:spacing w:after="0" w:line="277" w:lineRule="auto"/>
        <w:tabs>
          <w:tab w:leader="none" w:pos="671"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allocated the allowance for loan losses to provide for probable incurred losses within the categories of loans set forth in the table below. The amount of the allowance that is allocated and the ratio of loans within each category to total loans at December 31 follow: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9"/>
              </w:rPr>
              <w:t>2016</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02"/>
        </w:trPr>
        <w:tc>
          <w:tcPr>
            <w:tcW w:w="2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7"/>
              </w:rPr>
              <w:t>Percent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6"/>
              </w:rPr>
              <w:t>Percent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6"/>
              </w:rPr>
              <w:t>Percent</w:t>
            </w:r>
          </w:p>
        </w:tc>
      </w:tr>
      <w:tr>
        <w:trPr>
          <w:trHeight w:val="216"/>
        </w:trPr>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Allowance</w:t>
            </w: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Loans to</w:t>
            </w:r>
          </w:p>
        </w:tc>
        <w:tc>
          <w:tcPr>
            <w:tcW w:w="140" w:type="dxa"/>
            <w:vAlign w:val="bottom"/>
          </w:tcPr>
          <w:p>
            <w:pPr>
              <w:spacing w:after="0"/>
              <w:rPr>
                <w:sz w:val="18"/>
                <w:szCs w:val="18"/>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Allowance</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of Loans to</w:t>
            </w:r>
          </w:p>
        </w:tc>
        <w:tc>
          <w:tcPr>
            <w:tcW w:w="120" w:type="dxa"/>
            <w:vAlign w:val="bottom"/>
          </w:tcPr>
          <w:p>
            <w:pPr>
              <w:spacing w:after="0"/>
              <w:rPr>
                <w:sz w:val="18"/>
                <w:szCs w:val="18"/>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Allowance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 Loans to</w:t>
            </w:r>
          </w:p>
        </w:tc>
      </w:tr>
      <w:tr>
        <w:trPr>
          <w:trHeight w:val="237"/>
        </w:trPr>
        <w:tc>
          <w:tcPr>
            <w:tcW w:w="2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Total Loans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Total Loans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Total Loans</w:t>
            </w:r>
          </w:p>
        </w:tc>
        <w:tc>
          <w:tcPr>
            <w:tcW w:w="160" w:type="dxa"/>
            <w:vAlign w:val="bottom"/>
          </w:tcPr>
          <w:p>
            <w:pPr>
              <w:spacing w:after="0"/>
              <w:rPr>
                <w:sz w:val="20"/>
                <w:szCs w:val="20"/>
                <w:color w:val="auto"/>
              </w:rPr>
            </w:pPr>
          </w:p>
        </w:tc>
      </w:tr>
      <w:tr>
        <w:trPr>
          <w:trHeight w:val="216"/>
        </w:trPr>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(dollars 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Mortgage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10,391</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Payment plan receivables(a)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22,570</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0"/>
        </w:trPr>
        <w:tc>
          <w:tcPr>
            <w:tcW w:w="2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9"/>
              </w:rPr>
              <w:t>2014</w:t>
            </w:r>
          </w:p>
        </w:tc>
        <w:tc>
          <w:tcPr>
            <w:tcW w:w="10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2013</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2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6"/>
              </w:rPr>
              <w:t>Percent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6"/>
              </w:rPr>
              <w:t>Percent</w:t>
            </w:r>
          </w:p>
        </w:tc>
        <w:tc>
          <w:tcPr>
            <w:tcW w:w="160" w:type="dxa"/>
            <w:vAlign w:val="bottom"/>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Allowance</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of Loans to</w:t>
            </w:r>
          </w:p>
        </w:tc>
        <w:tc>
          <w:tcPr>
            <w:tcW w:w="120" w:type="dxa"/>
            <w:vAlign w:val="bottom"/>
          </w:tcPr>
          <w:p>
            <w:pPr>
              <w:spacing w:after="0"/>
              <w:rPr>
                <w:sz w:val="18"/>
                <w:szCs w:val="18"/>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Allowance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 Loans to</w:t>
            </w:r>
          </w:p>
        </w:tc>
      </w:tr>
      <w:tr>
        <w:trPr>
          <w:trHeight w:val="237"/>
        </w:trPr>
        <w:tc>
          <w:tcPr>
            <w:tcW w:w="2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Total Loans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Total Loans</w:t>
            </w:r>
          </w:p>
        </w:tc>
        <w:tc>
          <w:tcPr>
            <w:tcW w:w="160" w:type="dxa"/>
            <w:vAlign w:val="bottom"/>
          </w:tcPr>
          <w:p>
            <w:pPr>
              <w:spacing w:after="0"/>
              <w:rPr>
                <w:sz w:val="20"/>
                <w:szCs w:val="20"/>
                <w:color w:val="auto"/>
              </w:rPr>
            </w:pPr>
          </w:p>
        </w:tc>
      </w:tr>
      <w:tr>
        <w:trPr>
          <w:trHeight w:val="216"/>
        </w:trPr>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6"/>
          </w:tcPr>
          <w:p>
            <w:pPr>
              <w:jc w:val="right"/>
              <w:ind w:right="820"/>
              <w:spacing w:after="0"/>
              <w:rPr>
                <w:sz w:val="20"/>
                <w:szCs w:val="20"/>
                <w:color w:val="auto"/>
              </w:rPr>
            </w:pPr>
            <w:r>
              <w:rPr>
                <w:rFonts w:ascii="Arial" w:cs="Arial" w:eastAsia="Arial" w:hAnsi="Arial"/>
                <w:sz w:val="18"/>
                <w:szCs w:val="18"/>
                <w:color w:val="auto"/>
              </w:rPr>
              <w:t>(dollars in thousands)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Mortgage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17,195</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Payment plan receivables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32,325</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2100" w:hanging="5612"/>
        <w:spacing w:after="0" w:line="763"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Allowance of $0.06 million related to payment plan receivables was reclassified to loans held for sale at December 31, 2016.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79" w:lineRule="exact"/>
        <w:rPr>
          <w:sz w:val="20"/>
          <w:szCs w:val="20"/>
          <w:color w:val="auto"/>
        </w:rPr>
      </w:pPr>
    </w:p>
    <w:p>
      <w:pPr>
        <w:ind w:left="700" w:hanging="69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DEPOSITS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deposit balances and the weighted-average rates paid thereon 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2017</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2015</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4"/>
          </w:tcPr>
          <w:p>
            <w:pPr>
              <w:jc w:val="right"/>
              <w:ind w:right="740"/>
              <w:spacing w:after="0" w:line="201" w:lineRule="exact"/>
              <w:rPr>
                <w:sz w:val="20"/>
                <w:szCs w:val="20"/>
                <w:color w:val="auto"/>
              </w:rPr>
            </w:pPr>
            <w:r>
              <w:rPr>
                <w:rFonts w:ascii="Arial" w:cs="Arial" w:eastAsia="Arial" w:hAnsi="Arial"/>
                <w:sz w:val="18"/>
                <w:szCs w:val="18"/>
                <w:color w:val="auto"/>
                <w:w w:val="98"/>
              </w:rPr>
              <w:t>Average</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Average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Average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Rate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Rate</w:t>
            </w: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Rate</w:t>
            </w:r>
          </w:p>
        </w:tc>
        <w:tc>
          <w:tcPr>
            <w:tcW w:w="160" w:type="dxa"/>
            <w:vAlign w:val="bottom"/>
            <w:gridSpan w:val="2"/>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(dollars in thousands)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728,208</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688,697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619,206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Savings and interest-bearing checking</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1,052,215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1,018,685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988,504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540"/>
              <w:spacing w:after="0"/>
              <w:rPr>
                <w:sz w:val="20"/>
                <w:szCs w:val="20"/>
                <w:color w:val="auto"/>
              </w:rPr>
            </w:pPr>
            <w:r>
              <w:rPr>
                <w:rFonts w:ascii="Arial" w:cs="Arial" w:eastAsia="Arial" w:hAnsi="Arial"/>
                <w:sz w:val="18"/>
                <w:szCs w:val="18"/>
                <w:color w:val="auto"/>
                <w:w w:val="90"/>
              </w:rPr>
              <w:t>0.11%</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2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502,284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2,282,707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580"/>
              <w:spacing w:after="0"/>
              <w:rPr>
                <w:sz w:val="20"/>
                <w:szCs w:val="20"/>
                <w:color w:val="auto"/>
              </w:rPr>
            </w:pPr>
            <w:r>
              <w:rPr>
                <w:rFonts w:ascii="Arial" w:cs="Arial" w:eastAsia="Arial" w:hAnsi="Arial"/>
                <w:sz w:val="18"/>
                <w:szCs w:val="18"/>
                <w:color w:val="auto"/>
              </w:rPr>
              <w:t>0.30%  $</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2,154,625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0.23%  $</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1,993,745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540"/>
              <w:spacing w:after="0"/>
              <w:rPr>
                <w:sz w:val="20"/>
                <w:szCs w:val="20"/>
                <w:color w:val="auto"/>
              </w:rPr>
            </w:pPr>
            <w:r>
              <w:rPr>
                <w:rFonts w:ascii="Arial" w:cs="Arial" w:eastAsia="Arial" w:hAnsi="Arial"/>
                <w:sz w:val="18"/>
                <w:szCs w:val="18"/>
                <w:color w:val="auto"/>
                <w:w w:val="90"/>
              </w:rPr>
              <w:t>0.20%</w:t>
            </w:r>
          </w:p>
        </w:tc>
      </w:tr>
      <w:tr>
        <w:trPr>
          <w:trHeight w:val="21"/>
        </w:trPr>
        <w:tc>
          <w:tcPr>
            <w:tcW w:w="328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0400" w:type="dxa"/>
            <w:vAlign w:val="bottom"/>
            <w:gridSpan w:val="22"/>
          </w:tcPr>
          <w:p>
            <w:pPr>
              <w:spacing w:after="0"/>
              <w:rPr>
                <w:sz w:val="20"/>
                <w:szCs w:val="20"/>
                <w:color w:val="auto"/>
              </w:rPr>
            </w:pPr>
            <w:r>
              <w:rPr>
                <w:rFonts w:ascii="Arial" w:cs="Arial" w:eastAsia="Arial" w:hAnsi="Arial"/>
                <w:sz w:val="18"/>
                <w:szCs w:val="18"/>
                <w:color w:val="auto"/>
                <w:w w:val="97"/>
              </w:rPr>
              <w:t>The following table summarizes time deposits in amounts of $100,000 or more by time remaining until maturity at December 31, 2017:</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ind w:left="60"/>
              <w:spacing w:after="0"/>
              <w:rPr>
                <w:sz w:val="20"/>
                <w:szCs w:val="20"/>
                <w:color w:val="auto"/>
              </w:rPr>
            </w:pPr>
            <w:r>
              <w:rPr>
                <w:rFonts w:ascii="Arial" w:cs="Arial" w:eastAsia="Arial" w:hAnsi="Arial"/>
                <w:sz w:val="18"/>
                <w:szCs w:val="18"/>
                <w:color w:val="auto"/>
              </w:rPr>
              <w:t>(in thousands)</w:t>
            </w: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Over three through six months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54,246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Over six months through one year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Over one year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48,756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221,239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9"/>
        </w:trPr>
        <w:tc>
          <w:tcPr>
            <w:tcW w:w="780" w:type="dxa"/>
            <w:vAlign w:val="bottom"/>
            <w:gridSpan w:val="2"/>
          </w:tcPr>
          <w:p>
            <w:pPr>
              <w:spacing w:after="0"/>
              <w:rPr>
                <w:sz w:val="20"/>
                <w:szCs w:val="20"/>
                <w:color w:val="auto"/>
              </w:rPr>
            </w:pPr>
            <w:r>
              <w:rPr>
                <w:rFonts w:ascii="Arial" w:cs="Arial" w:eastAsia="Arial" w:hAnsi="Arial"/>
                <w:sz w:val="18"/>
                <w:szCs w:val="18"/>
                <w:color w:val="auto"/>
              </w:rPr>
              <w:t>VI.</w:t>
            </w:r>
          </w:p>
        </w:tc>
        <w:tc>
          <w:tcPr>
            <w:tcW w:w="2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RETURN ON EQUITY AND ASSETS</w:t>
            </w:r>
          </w:p>
        </w:tc>
        <w:tc>
          <w:tcPr>
            <w:tcW w:w="120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ratio of net income to average shareholders' equity and to average total assets, and certain other ratios, for the years ended December 31 follow: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Arial" w:cs="Arial" w:eastAsia="Arial" w:hAnsi="Arial"/>
                <w:sz w:val="16"/>
                <w:szCs w:val="16"/>
                <w:color w:val="auto"/>
              </w:rPr>
              <w:t>Net income as a percent of</w:t>
            </w:r>
            <w:r>
              <w:rPr>
                <w:rFonts w:ascii="Arial" w:cs="Arial" w:eastAsia="Arial" w:hAnsi="Arial"/>
                <w:sz w:val="25"/>
                <w:szCs w:val="25"/>
                <w:color w:val="auto"/>
                <w:vertAlign w:val="superscript"/>
              </w:rPr>
              <w:t>(1)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common equity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Average total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0.86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Dividends declared per share as a</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percent of diluted net income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44.21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32.38</w:t>
            </w:r>
          </w:p>
        </w:tc>
        <w:tc>
          <w:tcPr>
            <w:tcW w:w="1120" w:type="dxa"/>
            <w:vAlign w:val="bottom"/>
          </w:tcPr>
          <w:p>
            <w:pPr>
              <w:jc w:val="right"/>
              <w:spacing w:after="0"/>
              <w:rPr>
                <w:sz w:val="20"/>
                <w:szCs w:val="20"/>
                <w:color w:val="auto"/>
              </w:rPr>
            </w:pPr>
            <w:r>
              <w:rPr>
                <w:rFonts w:ascii="Arial" w:cs="Arial" w:eastAsia="Arial" w:hAnsi="Arial"/>
                <w:sz w:val="18"/>
                <w:szCs w:val="18"/>
                <w:color w:val="auto"/>
              </w:rPr>
              <w:t>30.23</w:t>
            </w: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23.38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Average shareholders' equity as a percent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of average total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9.98</w:t>
            </w:r>
          </w:p>
        </w:tc>
        <w:tc>
          <w:tcPr>
            <w:tcW w:w="1120" w:type="dxa"/>
            <w:vAlign w:val="bottom"/>
          </w:tcPr>
          <w:p>
            <w:pPr>
              <w:jc w:val="right"/>
              <w:spacing w:after="0"/>
              <w:rPr>
                <w:sz w:val="20"/>
                <w:szCs w:val="20"/>
                <w:color w:val="auto"/>
              </w:rPr>
            </w:pPr>
            <w:r>
              <w:rPr>
                <w:rFonts w:ascii="Arial" w:cs="Arial" w:eastAsia="Arial" w:hAnsi="Arial"/>
                <w:sz w:val="18"/>
                <w:szCs w:val="18"/>
                <w:color w:val="auto"/>
              </w:rPr>
              <w:t>10.93</w:t>
            </w: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10.83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These amounts are calculated using net income applicable to common stock.</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performance ratios are set forth in Selected Consolidated Financial Data in our annual report, to be delivered to shareholders in connection with the April 24, 2018 Annual Meeting of Shareholders (filed as exhibit 13 to this report on Form 10-K), and is incorporated herein by reference. Any significant changes in the current trend of the above ratios are reviewed in Management's Discussion and Analysis of Financial Condition and Results of Operations in our annual report, to be delivered to shareholders in connection with the April 24, 2018 Annual Meeting of Shareholders (filed as exhibit 13 to this report on Form 10-K), and is incorporated herein by reference.</w:t>
      </w: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SHORT-TERM BORROWINGS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Short-term borrowings are discussed in note 9 to the consolidated financial statements incorporated herein by reference to Part II, Item 8 of this report.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 w:name="page20"/>
    <w:bookmarkEnd w:id="19"/>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Investing in our common stock involves risks, including (among others) the following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political, economic or industry conditions, either domestically or internationally, may be less favorable than expected.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Local, domestic, and international economic, political and industry-specific conditions affect the financial services industry, directly and indirectly. Conditions such as or related to inflation, recession, unemployment, volatile interest rates, international conflicts and other factors outside of our control, such as real estate values, energy costs, fuel prices, state and local municipal budget deficits, and government spending and the U.S. national debt, may, directly and indirectly, adversely affect us. As has been the case with the impact of recent economic conditions, economic downturns could result in the delinquency of outstanding loans, which could have a material adverse impact on our earnings.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Governmental monetary and fiscal policies may adversely affect the financial services industry and therefore impact our financial condition and results of operations.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and disruptions in global capital and credit markets may adversely impact our business, financial condition and results of operations.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have led, and may further lead, to market-wide liquidity problems and could lead to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 or oversight may have a material adverse impact on our operations.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investigations and limitations related to our securities, the classification of our assets and determination of the level of our allowance for loan losses. Any change in such regulation and oversight, whether in the form of regulatory policy, regulations, legislation or supervisory action, may have a material adverse impact on our business, financial condition or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particular, Congress and other regulators have increased their focus on the regulation of the financial services industry in recent years. While recent changes in the executive branch may mitigate this impact, the effects on us of recent legislation and regulatory actions cannot reliably be fully determined at this time. Moreover, as some of the legislation and regulatory actions previously implemented in response to the recent financial crisis expire, the impact of the conclusion of these programs on the financial sector and on the economic recovery is unknown. Any delay in the economic recovery or a worsening of current financial market conditions could adversely affect us.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credit risk inherent in our loan portfolios, and our allowance for loan losses may not be sufficient to cover actual loan losses.</w:t>
      </w: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$8.2 million and $13.4 million at December 31, 2017 and December 31, 2016, respectively. Our allowance for loan losses coverage ratio of non-performing loans was 276.0% and 151.4% at December 31, 2017 and December 31, 2016, respectively. In determining the size of the allowance for loan losses, we rely on our experience and our evaluation of current economic conditions. If our assumptions or judgments prove to be incorrect, our current allowance for loan losses may not be sufficient to cover certain loan losses inherent in our loan portfolio, and adjustments may be necessary to account for different economic conditions or adverse developments in our loan portfolio. Material additions to our allowance for loan losses would adversely impact our operating results.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federal and state regulators periodically review our allowance for loan losses and may require us to increase our provision for loan losses or recognize additional loan charge-offs, notwithstanding any internal analysis that has been performed. Any increase in our allowance for loan losses or loan charge-offs required by these regulatory agencies could have a material adverse effect on our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credit risk in our securities portfolio.</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in our portfolio totaled approximately $3.8 million as of December 31, 2017 (compared to approximately $7.6 million as of December 31, 2016). We believe these unrealized losses are temporary in nature and are expected to be recovered within a reasonable time period as we believe we have the ability to hold the securities to maturity or until such time as the unrealized losses reverse. However, we evaluate securities available for sale for other than temporary impairment (OTTI) at least quarterly and more frequently when economic or market concerns warrant such evaluation. Those evaluations may result in OTTI charges to our earnings. In addition to these impairment charges, we may, in the future, experience additional losses in our securities portfolio which may result in charges that could materially adversely affect our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agreed to indemnify the purchaser of Mepco's business against certain losses it may incur as a result of its purchase of the business.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our sale of substantially all of the assets of our Mepco subsidiary in May of 2017,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this sale in our financial statements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December 31, 2017, the balance of these receivables had declined to $13.7 million, and to date the purchaser has made no claims for indemnification.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mortgage-banking revenues are susceptible to substantial variations, due in part to factors we do not control, such as market interest rates.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$11.8 million on mortgage loans during 2017 compared to $10.6 million during 2016 and $7.4 million during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liquidity risk in our operations, which could adversely impact our ability to fund various obligations.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company must rely on dividends or returns of capital from our bank for most of its cash flow.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challenges in acquiring Traverse City State Bank or integrating its business with ours.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entered into an Agreement and Plan of Merger with TCSB Bancorp, Inc., the parent company of Traverse City State Bank, pursuant to which we have agreed to acquire TCSB Bancorp, Inc. and Traverse City State Bank. Subject to the satisfaction or waiver of all closing conditions, we currently expect this acquisition to close in the second quarter of 2018. Challenges we encounter in integrating the business of TCSB Bancorp, Inc. with our business could cause such integration to be more difficult, costly, or time-consuming than expected. The difficulties of merging the operations of TCSB Bancorp, Inc. with our operations include, among others, integrating personnel with diverse business backgrounds, combining different corporate cultures, retaining key employees, and converting operating systems. The process of integrating operations could cause an interruption of, or loss of momentum in, the activities of the companies, and the loss of key personnel. The diversion of management's attention and any delays or difficulties encountered in connection with the merger and integration of TCSB Bancorp, Inc. into our company could have an adverse effect on our business and results of operations. As with any merger of banking institutions, there also may be business disruptions that cause us to lose customers or cause customers to take their deposits out of our bank. Our success following the merger may depend in large part on our ability to integrate the two businesses, business models and cultures. Inability to integrate our operations successfully and in a timely manner could result in the expected benefits of the merger not being realized. We expect to achieve cost savings from the merger once TCSB Bancorp, Inc. has been fully integrated into our business. Our cost savings estimates assume the ability to combine the businesses in a manner that permits those cost savings to be realized. If the estimates turn out to be incorrect or if we are not able to combine the two companies successfully, the anticipated cost savings may not be fully realized or realized at all, or may take longer to realize than expected.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future strategic acquisitions or divestitures may present certain risks to our business and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new capital requirements may adversely affect us.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The ultimate impact of the new capital requirements cannot be determined at this time and will depend on a number of factors, including treatment and implementation by the U.S. bank regulators. However, maintaining higher levels of capital may reduce our profitability and otherwise adversely affect our business, financial condition,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Declines in the businesses or industries of our customers could cause increased credit losses, which could adversely affect us.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customer base consists, in part, of customers in volatile businesses and industries such as the automotive production industry and the real estate business. These industries are sensitive to global economic conditions and supply chain factors. Any decline in one of those customers' businesses or industries could cause increased credit losses, which in turn could adversely affect 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utilize technology to efficiently and effectively develop, market, and deliver new products and services to our customers.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difficulties, failure of technology infrastructure or information security incidents could adversely affect our business and operations.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be subject to disruptions of our operating systems arising from events that are wholly or partially beyond our control, which may include, for example, computer viruses, cyber 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occurrence of any failure or interruption in our operations or information systems, or any security breach,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product and pricing pressures among financial institutions within our markets may change.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customer behavior may adversely impact our business, financial condition and 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maintain and expand customer relationships may differ from expectations.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key officers and employees may change.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reducing risk exposures might not be effective.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Terrorist activities or other hostilities may adversely affect the general economy, financial and capital markets, specific industries, and us.</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Terrorist attacks or other hostilities may disrupt our operations or those of our customers. In addition, these events have had and may continue to have an adverse impact on the U.S. and world economies in general and consumer confidence and spending in particular, which could harm our operations. Any of these events could increase volatility in the U.S. and world financial markets, which could harm our stock price and may limit the capital resources available to us and our customers. This could have a material adverse impact on our operating results, revenues and costs and may result in increased volatility in the market price of our common stock.</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Catastrophic events, including, but not limited to, hurricanes, tornadoes, earthquakes, fires and floods, may adversely affect the general economy, financial and capital markets, specific industries, and us.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could materially impact our financial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changes are made to the financial accounting and reporting standards that govern the preparation of our financial statements. These changes can be difficult to predict and can materially impact how we record and report our financial condition and results of operations. In some cases, we could be required to apply a new or revised standard retroactively, resulting in changes to previously reported financial results, or a cumulative charge to accumulated deficit.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appropriately apply certain critical accounting policies could result in our misstatement of our financial results and condition.</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24, 2018 Annual Meeting of Shareholders (filed as exhibit 13 to this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subject to significant fluctuations and volatility.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be subject to significant fluctuations due to, among other things:</w:t>
      </w:r>
    </w:p>
    <w:p>
      <w:pPr>
        <w:spacing w:after="0" w:line="25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quarterly or annual results of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dividends per share;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in asset quality, including declining real estate values;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actions, including changes to regulatory capital levels, the components of regulatory capital and how regulatory capital is calculated;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regulations that limit or significantly change our ability to continue to offer products or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of stock market prices and volumes;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additional shares of common stock or other debt or equity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securities analysts' estimates of financial performance or recommendations;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in the marketplace regarding the financial services industry, us and/or our competitors; and/or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any one or more of the risk factors described above.</w:t>
      </w:r>
    </w:p>
    <w:p>
      <w:pPr>
        <w:spacing w:after="0" w:line="27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and our bank operate a total of 83 facilities in Michigan and two leased facilities in Ohio. We own 64 and lease 19 of the facilities in Michigan.</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exception of the potential remodeling of certain facilities to provide for the efficient use of work space or to maintain an appropriate appearance, each property is considered reasonably adequate for current and anticipated needs.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The Court issued a preliminary approval of this settlement in the first quarter of 2017 and a final approval of this settlement in January 2018. This litigation concerned the Bank’s checking account transaction sequencing during a period from February 2009 to June 2011. Under the terms of the settlement, we agreed to pay $2.2 million and we are also responsible for class notification costs and certain other expenses which are estimated to total approximately $0.1 million. The $2.2 million was paid in January 2018.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litigation matters in the ordinary course of business. At the present time, we do not believe any of these other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other litigation matters are still in their early stages and involve claims for which, at this point, we believe have little to no merit, this maximum amount may change in the future.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ADDITIONAL ITEM</w:t>
      </w:r>
      <w:r>
        <w:rPr>
          <w:rFonts w:ascii="Arial" w:cs="Arial" w:eastAsia="Arial" w:hAnsi="Arial"/>
          <w:sz w:val="18"/>
          <w:szCs w:val="18"/>
          <w:color w:val="auto"/>
        </w:rPr>
        <w:t xml:space="preserve"> - </w:t>
      </w:r>
      <w:r>
        <w:rPr>
          <w:rFonts w:ascii="Arial" w:cs="Arial" w:eastAsia="Arial" w:hAnsi="Arial"/>
          <w:sz w:val="18"/>
          <w:szCs w:val="18"/>
          <w:u w:val="single" w:color="auto"/>
          <w:color w:val="auto"/>
        </w:rPr>
        <w:t>EXECUTIVE OFFICERS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with respect to our executive officers at February 23,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Name (Age)</w:t>
            </w:r>
          </w:p>
        </w:tc>
        <w:tc>
          <w:tcPr>
            <w:tcW w:w="6280" w:type="dxa"/>
            <w:vAlign w:val="bottom"/>
          </w:tcPr>
          <w:p>
            <w:pPr>
              <w:ind w:left="680"/>
              <w:spacing w:after="0"/>
              <w:rPr>
                <w:sz w:val="20"/>
                <w:szCs w:val="20"/>
                <w:color w:val="auto"/>
              </w:rPr>
            </w:pPr>
            <w:r>
              <w:rPr>
                <w:rFonts w:ascii="Arial" w:cs="Arial" w:eastAsia="Arial" w:hAnsi="Arial"/>
                <w:sz w:val="18"/>
                <w:szCs w:val="18"/>
                <w:color w:val="auto"/>
              </w:rPr>
              <w:t>Position</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First elected</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540" w:type="dxa"/>
            <w:vAlign w:val="bottom"/>
          </w:tcPr>
          <w:p>
            <w:pPr>
              <w:jc w:val="center"/>
              <w:ind w:left="590"/>
              <w:spacing w:after="0"/>
              <w:rPr>
                <w:sz w:val="20"/>
                <w:szCs w:val="20"/>
                <w:color w:val="auto"/>
              </w:rPr>
            </w:pPr>
            <w:r>
              <w:rPr>
                <w:rFonts w:ascii="Arial" w:cs="Arial" w:eastAsia="Arial" w:hAnsi="Arial"/>
                <w:sz w:val="18"/>
                <w:szCs w:val="18"/>
                <w:color w:val="auto"/>
                <w:w w:val="87"/>
              </w:rPr>
              <w:t>as an executive</w:t>
            </w:r>
          </w:p>
        </w:tc>
      </w:tr>
      <w:tr>
        <w:trPr>
          <w:trHeight w:val="237"/>
        </w:trPr>
        <w:tc>
          <w:tcPr>
            <w:tcW w:w="2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7"/>
              </w:rPr>
              <w:t>officer</w:t>
            </w: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William B. Kessel (53)</w:t>
            </w:r>
          </w:p>
        </w:tc>
        <w:tc>
          <w:tcPr>
            <w:tcW w:w="6280" w:type="dxa"/>
            <w:vAlign w:val="bottom"/>
          </w:tcPr>
          <w:p>
            <w:pPr>
              <w:ind w:left="680"/>
              <w:spacing w:after="0"/>
              <w:rPr>
                <w:sz w:val="20"/>
                <w:szCs w:val="20"/>
                <w:color w:val="auto"/>
              </w:rPr>
            </w:pPr>
            <w:r>
              <w:rPr>
                <w:rFonts w:ascii="Arial" w:cs="Arial" w:eastAsia="Arial" w:hAnsi="Arial"/>
                <w:sz w:val="18"/>
                <w:szCs w:val="18"/>
                <w:color w:val="auto"/>
              </w:rPr>
              <w:t>President, Chief Executive Officer and Director (1)</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2004</w:t>
            </w:r>
          </w:p>
        </w:tc>
      </w:tr>
      <w:tr>
        <w:trPr>
          <w:trHeight w:val="418"/>
        </w:trPr>
        <w:tc>
          <w:tcPr>
            <w:tcW w:w="2600" w:type="dxa"/>
            <w:vAlign w:val="bottom"/>
            <w:gridSpan w:val="2"/>
          </w:tcPr>
          <w:p>
            <w:pPr>
              <w:spacing w:after="0"/>
              <w:rPr>
                <w:sz w:val="20"/>
                <w:szCs w:val="20"/>
                <w:color w:val="auto"/>
              </w:rPr>
            </w:pPr>
            <w:r>
              <w:rPr>
                <w:rFonts w:ascii="Arial" w:cs="Arial" w:eastAsia="Arial" w:hAnsi="Arial"/>
                <w:sz w:val="18"/>
                <w:szCs w:val="18"/>
                <w:color w:val="auto"/>
              </w:rPr>
              <w:t>Robert N. Shuster (60)</w:t>
            </w:r>
          </w:p>
        </w:tc>
        <w:tc>
          <w:tcPr>
            <w:tcW w:w="6280" w:type="dxa"/>
            <w:vAlign w:val="bottom"/>
          </w:tcPr>
          <w:p>
            <w:pPr>
              <w:ind w:left="680"/>
              <w:spacing w:after="0"/>
              <w:rPr>
                <w:sz w:val="20"/>
                <w:szCs w:val="20"/>
                <w:color w:val="auto"/>
              </w:rPr>
            </w:pPr>
            <w:r>
              <w:rPr>
                <w:rFonts w:ascii="Arial" w:cs="Arial" w:eastAsia="Arial" w:hAnsi="Arial"/>
                <w:sz w:val="18"/>
                <w:szCs w:val="18"/>
                <w:color w:val="auto"/>
              </w:rPr>
              <w:t>Executive Vice President and Chief Financial Officer</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1999</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Stefanie M. Kimball (58)</w:t>
            </w:r>
          </w:p>
        </w:tc>
        <w:tc>
          <w:tcPr>
            <w:tcW w:w="6280" w:type="dxa"/>
            <w:vAlign w:val="bottom"/>
          </w:tcPr>
          <w:p>
            <w:pPr>
              <w:ind w:left="680"/>
              <w:spacing w:after="0"/>
              <w:rPr>
                <w:sz w:val="20"/>
                <w:szCs w:val="20"/>
                <w:color w:val="auto"/>
              </w:rPr>
            </w:pPr>
            <w:r>
              <w:rPr>
                <w:rFonts w:ascii="Arial" w:cs="Arial" w:eastAsia="Arial" w:hAnsi="Arial"/>
                <w:sz w:val="18"/>
                <w:szCs w:val="18"/>
                <w:color w:val="auto"/>
              </w:rPr>
              <w:t>Executive Vice President and Chief Risk Officer</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2007</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David C. Reglin (58)</w:t>
            </w:r>
          </w:p>
        </w:tc>
        <w:tc>
          <w:tcPr>
            <w:tcW w:w="6280" w:type="dxa"/>
            <w:vAlign w:val="bottom"/>
          </w:tcPr>
          <w:p>
            <w:pPr>
              <w:ind w:left="680"/>
              <w:spacing w:after="0"/>
              <w:rPr>
                <w:sz w:val="20"/>
                <w:szCs w:val="20"/>
                <w:color w:val="auto"/>
              </w:rPr>
            </w:pPr>
            <w:r>
              <w:rPr>
                <w:rFonts w:ascii="Arial" w:cs="Arial" w:eastAsia="Arial" w:hAnsi="Arial"/>
                <w:sz w:val="18"/>
                <w:szCs w:val="18"/>
                <w:color w:val="auto"/>
              </w:rPr>
              <w:t>Executive Vice President, Retail Banking</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1998</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Dennis J. Mack (56)</w:t>
            </w:r>
          </w:p>
        </w:tc>
        <w:tc>
          <w:tcPr>
            <w:tcW w:w="6280" w:type="dxa"/>
            <w:vAlign w:val="bottom"/>
          </w:tcPr>
          <w:p>
            <w:pPr>
              <w:ind w:left="680"/>
              <w:spacing w:after="0"/>
              <w:rPr>
                <w:sz w:val="20"/>
                <w:szCs w:val="20"/>
                <w:color w:val="auto"/>
              </w:rPr>
            </w:pPr>
            <w:r>
              <w:rPr>
                <w:rFonts w:ascii="Arial" w:cs="Arial" w:eastAsia="Arial" w:hAnsi="Arial"/>
                <w:sz w:val="18"/>
                <w:szCs w:val="18"/>
                <w:color w:val="auto"/>
              </w:rPr>
              <w:t>Executive Vice President and Chief Lending Officer (2)</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2012</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Larry R. Daniel (54)</w:t>
            </w:r>
          </w:p>
        </w:tc>
        <w:tc>
          <w:tcPr>
            <w:tcW w:w="6280" w:type="dxa"/>
            <w:vAlign w:val="bottom"/>
          </w:tcPr>
          <w:p>
            <w:pPr>
              <w:ind w:left="680"/>
              <w:spacing w:after="0"/>
              <w:rPr>
                <w:sz w:val="20"/>
                <w:szCs w:val="20"/>
                <w:color w:val="auto"/>
              </w:rPr>
            </w:pPr>
            <w:r>
              <w:rPr>
                <w:rFonts w:ascii="Arial" w:cs="Arial" w:eastAsia="Arial" w:hAnsi="Arial"/>
                <w:sz w:val="18"/>
                <w:szCs w:val="18"/>
                <w:color w:val="auto"/>
              </w:rPr>
              <w:t>Executive Vice President, Operations and Digital  Banking (3)</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2017</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Patrick J. Ervin (52)</w:t>
            </w:r>
          </w:p>
        </w:tc>
        <w:tc>
          <w:tcPr>
            <w:tcW w:w="6280" w:type="dxa"/>
            <w:vAlign w:val="bottom"/>
          </w:tcPr>
          <w:p>
            <w:pPr>
              <w:ind w:left="680"/>
              <w:spacing w:after="0"/>
              <w:rPr>
                <w:sz w:val="20"/>
                <w:szCs w:val="20"/>
                <w:color w:val="auto"/>
              </w:rPr>
            </w:pPr>
            <w:r>
              <w:rPr>
                <w:rFonts w:ascii="Arial" w:cs="Arial" w:eastAsia="Arial" w:hAnsi="Arial"/>
                <w:sz w:val="18"/>
                <w:szCs w:val="18"/>
                <w:color w:val="auto"/>
              </w:rPr>
              <w:t>Executive Vice President, Mortgage Banking (4)</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2017</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James J. Twarozynski (52)</w:t>
            </w:r>
          </w:p>
        </w:tc>
        <w:tc>
          <w:tcPr>
            <w:tcW w:w="6280" w:type="dxa"/>
            <w:vAlign w:val="bottom"/>
          </w:tcPr>
          <w:p>
            <w:pPr>
              <w:ind w:left="780"/>
              <w:spacing w:after="0"/>
              <w:rPr>
                <w:sz w:val="20"/>
                <w:szCs w:val="20"/>
                <w:color w:val="auto"/>
              </w:rPr>
            </w:pPr>
            <w:r>
              <w:rPr>
                <w:rFonts w:ascii="Arial" w:cs="Arial" w:eastAsia="Arial" w:hAnsi="Arial"/>
                <w:sz w:val="18"/>
                <w:szCs w:val="18"/>
                <w:color w:val="auto"/>
              </w:rPr>
              <w:t>Senior Vice President, Controller</w:t>
            </w:r>
          </w:p>
        </w:tc>
        <w:tc>
          <w:tcPr>
            <w:tcW w:w="2540" w:type="dxa"/>
            <w:vAlign w:val="bottom"/>
          </w:tcPr>
          <w:p>
            <w:pPr>
              <w:jc w:val="center"/>
              <w:ind w:left="610"/>
              <w:spacing w:after="0"/>
              <w:rPr>
                <w:sz w:val="20"/>
                <w:szCs w:val="20"/>
                <w:color w:val="auto"/>
              </w:rPr>
            </w:pPr>
            <w:r>
              <w:rPr>
                <w:rFonts w:ascii="Arial" w:cs="Arial" w:eastAsia="Arial" w:hAnsi="Arial"/>
                <w:sz w:val="18"/>
                <w:szCs w:val="18"/>
                <w:color w:val="auto"/>
                <w:w w:val="89"/>
              </w:rPr>
              <w:t>2002</w:t>
            </w:r>
          </w:p>
        </w:tc>
      </w:tr>
    </w:tbl>
    <w:p>
      <w:pPr>
        <w:spacing w:after="0" w:line="200" w:lineRule="exact"/>
        <w:rPr>
          <w:sz w:val="20"/>
          <w:szCs w:val="20"/>
          <w:color w:val="auto"/>
        </w:rPr>
      </w:pPr>
    </w:p>
    <w:p>
      <w:pPr>
        <w:spacing w:after="0" w:line="272" w:lineRule="exact"/>
        <w:rPr>
          <w:sz w:val="20"/>
          <w:szCs w:val="20"/>
          <w:color w:val="auto"/>
        </w:rPr>
      </w:pPr>
    </w:p>
    <w:p>
      <w:pPr>
        <w:ind w:left="920" w:hanging="91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Kessel assumed the role of President as of April 1, 2011, and assumed the roles of CEO and director starting January 1, 2013. Prior to being appointed President, Mr. Kessel was Executive Vice President and COO.</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being named Executive Vice President and Chief Lending Officer in 2012, Mr. Mack was a Senior Vice President and commercial credit officer since 2009 and a Senior Vice President at Comerica Incorporated since 2001.</w:t>
      </w:r>
    </w:p>
    <w:p>
      <w:pPr>
        <w:spacing w:after="0" w:line="197"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Daniel joined Independent Bank over 19 years ago as a commercial lender. Prior to being named Executive Vice President – Operations and Digital Banking in November 2017, he served as Senior Vice President of Retail and Mortgage Lending at Independent Bank, a position he held since 2012.</w:t>
      </w:r>
    </w:p>
    <w:p>
      <w:pPr>
        <w:spacing w:after="0" w:line="20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Ervin joined Independent Bank in August 2016, as Senior Vice President – Mortgage Banking. He was promoted to Executive Vice President – Mortgage Banking in November 2017. Prior to joining Independent Bank, Mr. Ervin served as Executive Managing Director Mortgage Banking and Servicing at Talmer Bank and Trust, a position he held since 2009.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u w:val="single" w:color="auto"/>
          <w:color w:val="auto"/>
        </w:rPr>
        <w:t>PART II.</w:t>
      </w:r>
    </w:p>
    <w:p>
      <w:pPr>
        <w:spacing w:after="0" w:line="252" w:lineRule="exact"/>
        <w:rPr>
          <w:sz w:val="20"/>
          <w:szCs w:val="20"/>
          <w:color w:val="auto"/>
        </w:rPr>
      </w:pPr>
    </w:p>
    <w:p>
      <w:pPr>
        <w:jc w:val="both"/>
        <w:ind w:left="960" w:hanging="958"/>
        <w:spacing w:after="0" w:line="277" w:lineRule="auto"/>
        <w:tabs>
          <w:tab w:leader="none" w:pos="94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OUR COMMON EQUITY, RELATED STOCKHOLDER MATTERS AND ISSUER PURCHASES OF EQUITY SECURITIES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under the caption "Quarterly Summary" in our annual report, to be delivered to shareholders in connection with the April 24, 2018 Annual Meeting of Shareholders (filed as exhibit 13 to this report on Form 10-K), is incorporated herein by reference.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2017, we issued 650 shares of common stock to non-employee directors on a current basis and 1,616 shares of common stock to the trust for distribution to directors on a deferred basis. The shares were issued on October 1, 2017, at a price of $22.65 per share, representing aggregate fees of $0.05 million. The price per share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purchases of common stock for the three-months ended December 31, 2017:</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Total Number of</w:t>
            </w:r>
          </w:p>
        </w:tc>
        <w:tc>
          <w:tcPr>
            <w:tcW w:w="20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Average Price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for Purchase</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Shares Purchased(1)</w:t>
            </w:r>
          </w:p>
        </w:tc>
        <w:tc>
          <w:tcPr>
            <w:tcW w:w="20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Paid Per Share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Announced Plan</w:t>
            </w:r>
          </w:p>
        </w:tc>
        <w:tc>
          <w:tcPr>
            <w:tcW w:w="10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Under the Plan</w:t>
            </w:r>
          </w:p>
        </w:tc>
      </w:tr>
      <w:tr>
        <w:trPr>
          <w:trHeight w:val="216"/>
        </w:trPr>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October 2017</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2,371</w:t>
            </w:r>
          </w:p>
        </w:tc>
        <w:tc>
          <w:tcPr>
            <w:tcW w:w="6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1,062,905</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December 2017</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withheld from the shares that would otherwise have been issued to a certain officer in order to satisfy tax withholding obligations and the stock option exercise price resulting from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share repurchase plan we had in place for 2017 expired on December 31, 2017.</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SELECTED FINANCIAL DATA</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set forth under the caption "Selected Consolidated Financial Data" in our annual report, to be delivered to shareholders in connection with the April 24, 2018 Annual Meeting of Shareholders (filed as exhibit 13 to this report on Form 10-K), is incorporated herein by reference.</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7"/>
          <w:szCs w:val="17"/>
          <w:u w:val="single" w:color="auto"/>
          <w:color w:val="auto"/>
        </w:rPr>
        <w:t>MANAGEMENT'S DISCUSSION AND ANALYSIS OF FINANCIAL CONDITION AND RESULTS OF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 "Management's Discussion and Analysis of Financial Condition and Results of Operations" in our annual report, to be delivered to shareholders in connection with the April 24, 2018 Annual Meeting of Shareholders (filed as exhibit 13 to this report on Form 10-K), is incorporated herein by reference.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tabs>
          <w:tab w:leader="none" w:pos="106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24, 2018 Annual Meeting of Shareholders (filed as exhibit 13 to this report on Form 10-K), is incorporated herein by reference.</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FINANCIAL STATEMENTS AND SUPPLEMENTARY DATA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consolidated financial statements and the independent auditor's report are set forth in our annual report, to be delivered to shareholders in connection with the April 24, 2018 Annual Meeting of Shareholders (filed as exhibit 13 to this report on Form 10-K), and are incorporated herein by reference.</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Financial Condition at</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December 31, 2017 and 2016</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for the years ended</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December 31, 2017, 2016 and 2015</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years ended December 31, 2017, 2016 and 2015</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Shareholders' Equity</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years ended December 31, 2017, 2016 and 2015</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for the years ended</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December 31, 2017, 2016 and 2015</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 xml:space="preserve">FINANCIAL STATEMENTS AND SUPPLEMENTARY DATA </w:t>
      </w:r>
      <w:r>
        <w:rPr>
          <w:rFonts w:ascii="Arial" w:cs="Arial" w:eastAsia="Arial" w:hAnsi="Arial"/>
          <w:sz w:val="17"/>
          <w:szCs w:val="17"/>
          <w:color w:val="auto"/>
        </w:rPr>
        <w:t>(continued)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supplementary data required by this item set forth under the caption "Quarterly Financial Data (Unaudited)" in our annual report, to be delivered to shareholders in connection with the April 24, 2018 Annual Meeting of Shareholders (filed as exhibit 13 to this report on Form 10-K), is incorporated herein by reference.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portions of our annual report, to be delivered to shareholders in connection with the April 24, 2018 Annual Meeting of Shareholders (filed as exhibit 13 to this report on Form 10-K), which are not specifically incorporated by reference as part of this Form 10-K are not deemed to be a part of this report.</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252" w:lineRule="exact"/>
        <w:rPr>
          <w:sz w:val="20"/>
          <w:szCs w:val="20"/>
          <w:color w:val="auto"/>
        </w:rPr>
      </w:pPr>
    </w:p>
    <w:p>
      <w:pPr>
        <w:jc w:val="both"/>
        <w:ind w:left="660" w:hanging="652"/>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2017 (the "Evaluation Date"), have concluded that, as of such date, our disclosure controls and procedures were effective.</w:t>
      </w:r>
    </w:p>
    <w:p>
      <w:pPr>
        <w:spacing w:after="0" w:line="173" w:lineRule="exact"/>
        <w:rPr>
          <w:rFonts w:ascii="Arial" w:cs="Arial" w:eastAsia="Arial" w:hAnsi="Arial"/>
          <w:sz w:val="16"/>
          <w:szCs w:val="16"/>
          <w:color w:val="auto"/>
        </w:rPr>
      </w:pPr>
    </w:p>
    <w:p>
      <w:pPr>
        <w:jc w:val="both"/>
        <w:ind w:left="660" w:hanging="652"/>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Internal Control Over Financial Reporting</w:t>
      </w:r>
      <w:r>
        <w:rPr>
          <w:rFonts w:ascii="Arial" w:cs="Arial" w:eastAsia="Arial" w:hAnsi="Arial"/>
          <w:sz w:val="17"/>
          <w:szCs w:val="17"/>
          <w:color w:val="auto"/>
        </w:rPr>
        <w:t>. "Management's Annual Report on Internal Control Over Financial Reporting" and our independent registered public accounting firm's audit of internal control over financial reporting as of December 31, 2017 included within the "Report of Independent Registered Public Accounting Firm," each as set forth in our annual report, to be delivered to shareholders in connection with the April 24, 2018 Annual Meeting of Shareholders (filed as exhibit 13 to this report on Form 10-K) are incorporated herein by reference.</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PART III.</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24, 2018 Annual Meeting of Shareholders, is incorporated herein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BENEFICIAL OWNERSHIP REPORTING – The information set forth under the caption "Section 16(a) Beneficial Ownership Reporting Compliance" in our definitive proxy statement, to be delivered to shareholders in connection with the April 24, 2018 Annual Meeting of Shareholders,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 Reference is made to the additional item under Part I of this report on Form 10-K.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CODE OF ETHICS - We have adopted a "Code of Ethics for Chief Executive Officer and Senior Financial Officers" that applies to our Chief Executive Officer, Chief Financial Officer, and Controller. A copy of our Code of Ethics is posted on our website at </w:t>
      </w:r>
      <w:r>
        <w:rPr>
          <w:rFonts w:ascii="Arial" w:cs="Arial" w:eastAsia="Arial" w:hAnsi="Arial"/>
          <w:sz w:val="18"/>
          <w:szCs w:val="18"/>
          <w:u w:val="single" w:color="auto"/>
          <w:color w:val="auto"/>
        </w:rPr>
        <w:t>www.IndependentBank.com</w:t>
      </w:r>
      <w:r>
        <w:rPr>
          <w:rFonts w:ascii="Arial" w:cs="Arial" w:eastAsia="Arial" w:hAnsi="Arial"/>
          <w:sz w:val="18"/>
          <w:szCs w:val="18"/>
          <w:color w:val="auto"/>
        </w:rPr>
        <w:t>, under Investor Relations, and a printed copy is available upon request by writing to our Chief Financial Officer, Independent Bank Corporation, 4200 East Beltline, Grand Rapids, Michigan 49525.</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GOVERNANCE – Information relating to our audit committee, set forth under the caption "Board Committees and Functions" in our definitive proxy statement, to be delivered to shareholders in connection with the April 24, 2018 Annual Meeting of Shareholders, is incorporated herein by reference.</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24, 2018 Annual Meeting of Shareholders, is incorporated herein by reference.</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7"/>
          <w:szCs w:val="17"/>
          <w:u w:val="single" w:color="auto"/>
          <w:color w:val="auto"/>
        </w:rPr>
        <w:t>SECURITY OWNERSHIP OF CERTAIN BENEFICIAL OWNERS AND MANAGEMENT AND RELATED STOCKHOLDER MATTERS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24, 2018 Annual Meeting of Shareholders, is incorporated herein by reference.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our equity compensation plans as of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to be issued upon</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Weighted-average</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of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 of</w:t>
            </w: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options, warrants</w:t>
            </w:r>
          </w:p>
        </w:tc>
        <w:tc>
          <w:tcPr>
            <w:tcW w:w="16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 options,</w:t>
            </w: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securities reflected</w:t>
            </w:r>
          </w:p>
        </w:tc>
        <w:tc>
          <w:tcPr>
            <w:tcW w:w="0" w:type="dxa"/>
            <w:vAlign w:val="bottom"/>
          </w:tcPr>
          <w:p>
            <w:pPr>
              <w:spacing w:after="0"/>
              <w:rPr>
                <w:sz w:val="1"/>
                <w:szCs w:val="1"/>
                <w:color w:val="auto"/>
              </w:rPr>
            </w:pPr>
          </w:p>
        </w:tc>
      </w:tr>
      <w:tr>
        <w:trPr>
          <w:trHeight w:val="190"/>
        </w:trPr>
        <w:tc>
          <w:tcPr>
            <w:tcW w:w="4040" w:type="dxa"/>
            <w:vAlign w:val="bottom"/>
            <w:gridSpan w:val="3"/>
          </w:tcPr>
          <w:p>
            <w:pPr>
              <w:spacing w:after="0" w:line="190" w:lineRule="exact"/>
              <w:rPr>
                <w:sz w:val="20"/>
                <w:szCs w:val="20"/>
                <w:color w:val="auto"/>
              </w:rPr>
            </w:pPr>
            <w:r>
              <w:rPr>
                <w:rFonts w:ascii="Arial" w:cs="Arial" w:eastAsia="Arial" w:hAnsi="Arial"/>
                <w:sz w:val="18"/>
                <w:szCs w:val="18"/>
                <w:color w:val="auto"/>
              </w:rPr>
              <w:t>Plan Category</w:t>
            </w:r>
          </w:p>
        </w:tc>
        <w:tc>
          <w:tcPr>
            <w:tcW w:w="2040" w:type="dxa"/>
            <w:vAlign w:val="bottom"/>
          </w:tcPr>
          <w:p>
            <w:pPr>
              <w:spacing w:after="0"/>
              <w:rPr>
                <w:sz w:val="16"/>
                <w:szCs w:val="16"/>
                <w:color w:val="auto"/>
              </w:rPr>
            </w:pPr>
          </w:p>
        </w:tc>
        <w:tc>
          <w:tcPr>
            <w:tcW w:w="178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1"/>
              </w:rPr>
              <w:t>and rights</w:t>
            </w:r>
          </w:p>
        </w:tc>
        <w:tc>
          <w:tcPr>
            <w:tcW w:w="100" w:type="dxa"/>
            <w:vAlign w:val="bottom"/>
          </w:tcPr>
          <w:p>
            <w:pPr>
              <w:spacing w:after="0"/>
              <w:rPr>
                <w:sz w:val="16"/>
                <w:szCs w:val="16"/>
                <w:color w:val="auto"/>
              </w:rPr>
            </w:pPr>
          </w:p>
        </w:tc>
        <w:tc>
          <w:tcPr>
            <w:tcW w:w="1560" w:type="dxa"/>
            <w:vAlign w:val="bottom"/>
            <w:gridSpan w:val="3"/>
          </w:tcPr>
          <w:p>
            <w:pPr>
              <w:jc w:val="center"/>
              <w:ind w:right="100"/>
              <w:spacing w:after="0" w:line="190" w:lineRule="exact"/>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16"/>
                <w:szCs w:val="16"/>
                <w:color w:val="auto"/>
              </w:rPr>
            </w:pPr>
          </w:p>
        </w:tc>
        <w:tc>
          <w:tcPr>
            <w:tcW w:w="178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2"/>
              </w:rPr>
              <w:t>in column (a))</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20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approved by security holders</w:t>
            </w:r>
          </w:p>
        </w:tc>
        <w:tc>
          <w:tcPr>
            <w:tcW w:w="3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176,055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5.24</w:t>
            </w: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507,823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Equity compensation plan</w:t>
            </w:r>
          </w:p>
        </w:tc>
        <w:tc>
          <w:tcPr>
            <w:tcW w:w="2040" w:type="dxa"/>
            <w:vAlign w:val="bottom"/>
            <w:tcBorders>
              <w:top w:val="single" w:sz="8" w:color="CCEEFF"/>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tcPr>
          <w:p>
            <w:pPr>
              <w:ind w:left="80"/>
              <w:spacing w:after="0"/>
              <w:rPr>
                <w:sz w:val="20"/>
                <w:szCs w:val="20"/>
                <w:color w:val="auto"/>
              </w:rPr>
            </w:pPr>
            <w:r>
              <w:rPr>
                <w:rFonts w:ascii="Arial" w:cs="Arial" w:eastAsia="Arial" w:hAnsi="Arial"/>
                <w:sz w:val="18"/>
                <w:szCs w:val="18"/>
                <w:color w:val="auto"/>
              </w:rPr>
              <w:t>not approved by security holders</w:t>
            </w:r>
          </w:p>
        </w:tc>
        <w:tc>
          <w:tcPr>
            <w:tcW w:w="204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205,785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vMerge w:val="restart"/>
          </w:tcPr>
          <w:p>
            <w:pPr>
              <w:jc w:val="right"/>
              <w:ind w:right="190"/>
              <w:spacing w:after="0"/>
              <w:rPr>
                <w:sz w:val="20"/>
                <w:szCs w:val="20"/>
                <w:color w:val="auto"/>
              </w:rPr>
            </w:pPr>
            <w:r>
              <w:rPr>
                <w:rFonts w:ascii="Arial" w:cs="Arial" w:eastAsia="Arial" w:hAnsi="Arial"/>
                <w:sz w:val="18"/>
                <w:szCs w:val="18"/>
                <w:color w:val="auto"/>
              </w:rPr>
              <w:t>32</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jc w:val="both"/>
        <w:ind w:left="960" w:hanging="944"/>
        <w:spacing w:after="0" w:line="277" w:lineRule="auto"/>
        <w:tabs>
          <w:tab w:leader="none" w:pos="940" w:val="left"/>
        </w:tabs>
        <w:rPr>
          <w:sz w:val="20"/>
          <w:szCs w:val="20"/>
          <w:color w:val="auto"/>
        </w:rPr>
      </w:pPr>
      <w:r>
        <w:rPr>
          <w:rFonts w:ascii="Arial" w:cs="Arial" w:eastAsia="Arial" w:hAnsi="Arial"/>
          <w:sz w:val="18"/>
          <w:szCs w:val="18"/>
          <w:u w:val="single" w:color="auto"/>
          <w:color w:val="auto"/>
        </w:rPr>
        <w:t>ITEM 12.</w:t>
        <w:tab/>
        <w:t xml:space="preserve">SECURITY OWNERSHIP OF CERTAIN BENEFICIAL OWNERS AND MANAGEMENT AND RELATED STOCKHOLDER MATTERS </w:t>
      </w:r>
      <w:r>
        <w:rPr>
          <w:rFonts w:ascii="Arial" w:cs="Arial" w:eastAsia="Arial" w:hAnsi="Arial"/>
          <w:sz w:val="18"/>
          <w:szCs w:val="18"/>
          <w:color w:val="auto"/>
        </w:rPr>
        <w:t>(continued)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under the captions "Transactions Involving Management" and "Determination of Independence of Board Members" in our definitive proxy statement, to be delivered to shareholders in connection with the April 24, 2018 Annual Meeting of Shareholders, is incorporated herein by reference.</w:t>
      </w:r>
    </w:p>
    <w:p>
      <w:pPr>
        <w:spacing w:after="0" w:line="15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ACCOUNTANT FEES AND SERVICES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the caption "Disclosure of Fees Paid to our Independent Auditors" in our definitive proxy statement, to be delivered to shareholders in connection with the April 24, 2018 Annual Meeting of Shareholders, is incorporated herein by reference.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PART IV.</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252"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p>
    <w:p>
      <w:pPr>
        <w:spacing w:after="0" w:line="23" w:lineRule="exact"/>
        <w:rPr>
          <w:sz w:val="20"/>
          <w:szCs w:val="20"/>
          <w:color w:val="auto"/>
        </w:rPr>
      </w:pPr>
    </w:p>
    <w:p>
      <w:pPr>
        <w:ind w:left="1220"/>
        <w:spacing w:after="0" w:line="290" w:lineRule="auto"/>
        <w:rPr>
          <w:sz w:val="20"/>
          <w:szCs w:val="20"/>
          <w:color w:val="auto"/>
        </w:rPr>
      </w:pPr>
      <w:r>
        <w:rPr>
          <w:rFonts w:ascii="Arial" w:cs="Arial" w:eastAsia="Arial" w:hAnsi="Arial"/>
          <w:sz w:val="17"/>
          <w:szCs w:val="17"/>
          <w:color w:val="auto"/>
        </w:rPr>
        <w:t>All of our financial statements are incorporated herein by reference as set forth in the annual report to be delivered to shareholders in connection with the April 24, 2018 Annual Meeting of Shareholders (filed as exhibit 13 to this report on Form 10-K.)</w:t>
      </w:r>
    </w:p>
    <w:p>
      <w:pPr>
        <w:spacing w:after="0" w:line="162" w:lineRule="exact"/>
        <w:rPr>
          <w:sz w:val="20"/>
          <w:szCs w:val="20"/>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Exhibits (Numbered in accordance with Item 601 of Regulation S-K)</w:t>
      </w:r>
    </w:p>
    <w:p>
      <w:pPr>
        <w:spacing w:after="0" w:line="2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The Exhibit Index is located on the final three pages of this report on Form 10-K.</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dated March 7,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INDEPENDENT BANK CORPORATION</w:t>
      </w:r>
    </w:p>
    <w:p>
      <w:pPr>
        <w:spacing w:after="0" w:line="25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s/Robert N. Shuster</w:t>
      </w:r>
      <w:r>
        <w:rPr>
          <w:sz w:val="20"/>
          <w:szCs w:val="20"/>
          <w:color w:val="auto"/>
        </w:rPr>
        <w:tab/>
      </w:r>
      <w:r>
        <w:rPr>
          <w:rFonts w:ascii="Arial" w:cs="Arial" w:eastAsia="Arial" w:hAnsi="Arial"/>
          <w:sz w:val="16"/>
          <w:szCs w:val="16"/>
          <w:color w:val="auto"/>
        </w:rPr>
        <w:t>Robert N. Shuster, Executive Vice President and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701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Robert N. Shuster and each of them severally, as his or her attorney-in-fact, to sign in his or her name and on his or her behalf, as a director, and to file with the Securities and Exchange Commission any and all amendments to this Annual Report on Form 10-K.</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William B. Kessel, President, Chief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Officer, and Director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N. Shuster, Executive Vice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President and Chief Financial Officer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J. Twarozynski, Senior Vice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President and Controller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Michael M. Magee, Jr.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Chairman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William J. Boer,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Joan A. Budden,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J. Cok,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Stephen L. Gulis, Jr.,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Terry L. Haske,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Christina L. Keller,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William B. Kessel,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James E. McCarty,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Charles C. Van Loan,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B. Kessel</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62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N. Shuster</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62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s/James J. Twarozynski</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64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M. Magee Jr.</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439"/>
        </w:trPr>
        <w:tc>
          <w:tcPr>
            <w:tcW w:w="350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s/Joan A. Budden</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1, 2018</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J. Cok</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s/Stephen L. Gulis, Jr.</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s/Terry L. Haske</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s/Christina L. Keller</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B. Kessel</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7, 2018</w:t>
            </w:r>
          </w:p>
        </w:tc>
      </w:tr>
      <w:tr>
        <w:trPr>
          <w:trHeight w:val="439"/>
        </w:trPr>
        <w:tc>
          <w:tcPr>
            <w:tcW w:w="350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s/James E. McCarty</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1, 2018</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s/Charles C. Van Loan</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March 2, 2018</w:t>
            </w:r>
          </w:p>
        </w:tc>
      </w:tr>
    </w:tbl>
    <w:p>
      <w:pPr>
        <w:spacing w:after="0" w:line="200" w:lineRule="exact"/>
        <w:rPr>
          <w:sz w:val="20"/>
          <w:szCs w:val="20"/>
          <w:color w:val="auto"/>
        </w:rPr>
      </w:pPr>
    </w:p>
    <w:p>
      <w:pPr>
        <w:sectPr>
          <w:pgSz w:w="11900" w:h="16838" w:orient="portrait"/>
          <w:cols w:equalWidth="0" w:num="2">
            <w:col w:w="4580" w:space="720"/>
            <w:col w:w="6120"/>
          </w:cols>
          <w:pgMar w:left="240" w:top="125"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number and 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EXHIBITS FILED HEREWITH</w:t>
      </w:r>
    </w:p>
    <w:p>
      <w:pPr>
        <w:spacing w:after="0" w:line="9" w:lineRule="exact"/>
        <w:rPr>
          <w:sz w:val="20"/>
          <w:szCs w:val="20"/>
          <w:color w:val="auto"/>
        </w:rPr>
      </w:pPr>
    </w:p>
    <w:p>
      <w:pPr>
        <w:ind w:left="900" w:hanging="892"/>
        <w:spacing w:after="0" w:line="250" w:lineRule="auto"/>
        <w:tabs>
          <w:tab w:leader="none" w:pos="900" w:val="left"/>
        </w:tabs>
        <w:numPr>
          <w:ilvl w:val="0"/>
          <w:numId w:val="18"/>
        </w:numPr>
        <w:rPr>
          <w:rFonts w:ascii="Arial" w:cs="Arial" w:eastAsia="Arial" w:hAnsi="Arial"/>
          <w:sz w:val="18"/>
          <w:szCs w:val="18"/>
          <w:u w:val="single" w:color="auto"/>
          <w:color w:val="0000EE"/>
        </w:rPr>
      </w:pPr>
      <w:r>
        <w:rPr>
          <w:rFonts w:ascii="Arial" w:cs="Arial" w:eastAsia="Arial" w:hAnsi="Arial"/>
          <w:sz w:val="18"/>
          <w:szCs w:val="18"/>
          <w:color w:val="auto"/>
        </w:rPr>
        <w:t>Annual report, relating to the April 24, 2018 Annual Meeting of Shareholders. This annual report will be delivered to our shareholders in compliance with Rule 14(a)-3 of the Securities Exchange Act of 1934, as amended.</w:t>
      </w:r>
    </w:p>
    <w:p>
      <w:pPr>
        <w:spacing w:after="0" w:line="1" w:lineRule="exact"/>
        <w:rPr>
          <w:sz w:val="20"/>
          <w:szCs w:val="20"/>
          <w:color w:val="auto"/>
        </w:rPr>
      </w:pPr>
    </w:p>
    <w:p>
      <w:pPr>
        <w:ind w:left="900" w:hanging="892"/>
        <w:spacing w:after="0"/>
        <w:tabs>
          <w:tab w:leader="none" w:pos="900" w:val="left"/>
        </w:tabs>
        <w:numPr>
          <w:ilvl w:val="0"/>
          <w:numId w:val="19"/>
        </w:numPr>
        <w:rPr>
          <w:rFonts w:ascii="Arial" w:cs="Arial" w:eastAsia="Arial" w:hAnsi="Arial"/>
          <w:sz w:val="18"/>
          <w:szCs w:val="18"/>
          <w:u w:val="single" w:color="auto"/>
          <w:color w:val="0000EE"/>
        </w:rPr>
      </w:pPr>
      <w:r>
        <w:rPr>
          <w:rFonts w:ascii="Arial" w:cs="Arial" w:eastAsia="Arial" w:hAnsi="Arial"/>
          <w:sz w:val="18"/>
          <w:szCs w:val="18"/>
          <w:color w:val="auto"/>
        </w:rPr>
        <w:t>List of Subsidiaries.</w:t>
      </w:r>
    </w:p>
    <w:p>
      <w:pPr>
        <w:spacing w:after="0" w:line="9" w:lineRule="exact"/>
        <w:rPr>
          <w:sz w:val="20"/>
          <w:szCs w:val="20"/>
          <w:color w:val="auto"/>
        </w:rPr>
      </w:pPr>
    </w:p>
    <w:p>
      <w:pPr>
        <w:ind w:left="900" w:hanging="892"/>
        <w:spacing w:after="0"/>
        <w:tabs>
          <w:tab w:leader="none" w:pos="90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(Crowe Horwath LLP).</w:t>
      </w:r>
    </w:p>
    <w:p>
      <w:pPr>
        <w:spacing w:after="0" w:line="9" w:lineRule="exact"/>
        <w:rPr>
          <w:rFonts w:ascii="Arial" w:cs="Arial" w:eastAsia="Arial" w:hAnsi="Arial"/>
          <w:sz w:val="18"/>
          <w:szCs w:val="18"/>
          <w:u w:val="single" w:color="auto"/>
          <w:color w:val="0000EE"/>
        </w:rPr>
      </w:pPr>
    </w:p>
    <w:p>
      <w:pPr>
        <w:ind w:left="900" w:hanging="892"/>
        <w:spacing w:after="0"/>
        <w:tabs>
          <w:tab w:leader="none" w:pos="90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Power of Attorney (included on page 35).</w:t>
      </w:r>
    </w:p>
    <w:p>
      <w:pPr>
        <w:spacing w:after="0" w:line="9" w:lineRule="exact"/>
        <w:rPr>
          <w:sz w:val="20"/>
          <w:szCs w:val="20"/>
          <w:color w:val="auto"/>
        </w:rPr>
      </w:pPr>
    </w:p>
    <w:p>
      <w:pPr>
        <w:spacing w:after="0"/>
        <w:tabs>
          <w:tab w:leader="none" w:pos="880" w:val="left"/>
        </w:tabs>
        <w:rPr>
          <w:rFonts w:ascii="Arial" w:cs="Arial" w:eastAsia="Arial" w:hAnsi="Arial"/>
          <w:sz w:val="18"/>
          <w:szCs w:val="18"/>
          <w:color w:val="0000EE"/>
        </w:rPr>
      </w:pPr>
      <w:hyperlink w:anchor="page136">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302 of the Sarbanes-Oxley Act of 2002.</w:t>
      </w:r>
    </w:p>
    <w:p>
      <w:pPr>
        <w:spacing w:after="0" w:line="9" w:lineRule="exact"/>
        <w:rPr>
          <w:sz w:val="20"/>
          <w:szCs w:val="20"/>
          <w:color w:val="auto"/>
        </w:rPr>
      </w:pPr>
    </w:p>
    <w:p>
      <w:pPr>
        <w:spacing w:after="0"/>
        <w:tabs>
          <w:tab w:leader="none" w:pos="880" w:val="left"/>
        </w:tabs>
        <w:rPr>
          <w:rFonts w:ascii="Arial" w:cs="Arial" w:eastAsia="Arial" w:hAnsi="Arial"/>
          <w:sz w:val="18"/>
          <w:szCs w:val="18"/>
          <w:color w:val="0000EE"/>
        </w:rPr>
      </w:pPr>
      <w:hyperlink w:anchor="page137">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302 of the Sarbanes-Oxley Act of 2002.</w:t>
      </w:r>
    </w:p>
    <w:p>
      <w:pPr>
        <w:spacing w:after="0" w:line="9" w:lineRule="exact"/>
        <w:rPr>
          <w:sz w:val="20"/>
          <w:szCs w:val="20"/>
          <w:color w:val="auto"/>
        </w:rPr>
      </w:pPr>
    </w:p>
    <w:p>
      <w:pPr>
        <w:spacing w:after="0"/>
        <w:tabs>
          <w:tab w:leader="none" w:pos="880" w:val="left"/>
        </w:tabs>
        <w:rPr>
          <w:rFonts w:ascii="Arial" w:cs="Arial" w:eastAsia="Arial" w:hAnsi="Arial"/>
          <w:sz w:val="18"/>
          <w:szCs w:val="18"/>
          <w:color w:val="0000EE"/>
        </w:rPr>
      </w:pPr>
      <w:hyperlink w:anchor="page138">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906 of the Sarbanes-Oxley Act of 2002.</w:t>
      </w:r>
    </w:p>
    <w:p>
      <w:pPr>
        <w:spacing w:after="0" w:line="9" w:lineRule="exact"/>
        <w:rPr>
          <w:sz w:val="20"/>
          <w:szCs w:val="20"/>
          <w:color w:val="auto"/>
        </w:rPr>
      </w:pPr>
    </w:p>
    <w:p>
      <w:pPr>
        <w:spacing w:after="0"/>
        <w:tabs>
          <w:tab w:leader="none" w:pos="880" w:val="left"/>
        </w:tabs>
        <w:rPr>
          <w:rFonts w:ascii="Arial" w:cs="Arial" w:eastAsia="Arial" w:hAnsi="Arial"/>
          <w:sz w:val="18"/>
          <w:szCs w:val="18"/>
          <w:color w:val="0000EE"/>
        </w:rPr>
      </w:pPr>
      <w:hyperlink w:anchor="page139">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101.INS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EXHIBITS INCORPORATED BY REFERENCE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w w:val="92"/>
              </w:rPr>
              <w:t>Restated Articles of Incorporation (incorporated herein by reference to Exhibit 3.1 to our quarterly report on Form 10-Q filed November 3, 2017).</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5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0" w:type="dxa"/>
            <w:vAlign w:val="bottom"/>
          </w:tcPr>
          <w:p>
            <w:pPr>
              <w:ind w:left="200"/>
              <w:spacing w:after="0" w:line="196" w:lineRule="exact"/>
              <w:rPr>
                <w:sz w:val="20"/>
                <w:szCs w:val="20"/>
                <w:color w:val="auto"/>
              </w:rPr>
            </w:pPr>
            <w:r>
              <w:rPr>
                <w:rFonts w:ascii="Arial" w:cs="Arial" w:eastAsia="Arial" w:hAnsi="Arial"/>
                <w:sz w:val="18"/>
                <w:szCs w:val="18"/>
                <w:color w:val="auto"/>
                <w:w w:val="99"/>
              </w:rPr>
              <w:t>Amended and Restated Bylaws (incorporated here by reference to Exhibit 3.2 to our annual report on Form 10-K filed March 7, 2017).</w:t>
            </w:r>
          </w:p>
        </w:tc>
      </w:tr>
      <w:tr>
        <w:trPr>
          <w:trHeight w:val="196"/>
        </w:trPr>
        <w:tc>
          <w:tcPr>
            <w:tcW w:w="620" w:type="dxa"/>
            <w:vAlign w:val="bottom"/>
            <w:gridSpan w:val="4"/>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800" w:type="dxa"/>
            <w:vAlign w:val="bottom"/>
          </w:tcPr>
          <w:p>
            <w:pPr>
              <w:ind w:left="200"/>
              <w:spacing w:after="0" w:line="196" w:lineRule="exact"/>
              <w:rPr>
                <w:sz w:val="20"/>
                <w:szCs w:val="20"/>
                <w:color w:val="auto"/>
              </w:rPr>
            </w:pPr>
            <w:r>
              <w:rPr>
                <w:rFonts w:ascii="Arial" w:cs="Arial" w:eastAsia="Arial" w:hAnsi="Arial"/>
                <w:sz w:val="18"/>
                <w:szCs w:val="18"/>
                <w:color w:val="auto"/>
                <w:w w:val="93"/>
              </w:rPr>
              <w:t>The form of Indemnity Agreement, as executed with all of the directors of the registrant (incorporated herein by reference to Exhibit 10.3 to the</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Form S-4 we filed on December 29, 2017).</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0"/>
              </w:rPr>
              <w:t>The form of Management Continuity Agreement as executed with executive officers and certain senior managers (incorporated herein by reference</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to Exhibit 10.4 to the Form S-4 we filed on December 29, 2017).</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5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1"/>
              </w:rPr>
              <w:t>Long-Term Incentive Plan, as amended through January 24, 2017 (incorporated herein by reference to Appendix A to our proxy statement filed on</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Schedule 14A on March 7, 2017).</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5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5"/>
              </w:rPr>
              <w:t>Amended and Restated Deferred Compensation and Stock Purchase Plan for Nonemployee Directors, as amended through March 8, 2011</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(incorporated herein by reference to Exhibit 10.2 to our annual report on Form 10-K filed March 10, 2011).</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5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0"/>
              </w:rPr>
              <w:t>First Amendment to Amended and Restated Deferred Compensation and Stock Purchase Plan for Nonemployee Directors, effective March 1, 2012</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(incorporated herein by reference to Exhibit 10.1 to our annual report on Form 10-K filed March 13, 2012).</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5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3"/>
              </w:rPr>
              <w:t>Form of Restricted Stock Unit Grant Agreement as executed with certain executive officers (incorporated herein by reference to Exhibit 10.2 to</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our quarterly report on Form 10-Q filed May 9, 2011).</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59">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1"/>
              </w:rPr>
              <w:t>Form of TSR Performance Share Award Agreement as executed with certain executive officers (incorporated herein by reference to Exhibit 10.12</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to our annual report on Form 10-K filed March 7, 2014).</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60">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2"/>
              </w:rPr>
              <w:t>Summary of Independent Bank Corporation Management Incentive Compensation Plan (incorporated herein by reference to Exhibit 10.10 to our</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annual report on Form 10-K filed March 6, 2015).</w:t>
            </w:r>
          </w:p>
        </w:tc>
      </w:tr>
      <w:tr>
        <w:trPr>
          <w:trHeight w:val="190"/>
        </w:trPr>
        <w:tc>
          <w:tcPr>
            <w:tcW w:w="420" w:type="dxa"/>
            <w:vAlign w:val="bottom"/>
            <w:gridSpan w:val="3"/>
          </w:tcPr>
          <w:p>
            <w:pPr>
              <w:spacing w:after="0" w:line="190" w:lineRule="exact"/>
              <w:rPr>
                <w:rFonts w:ascii="Arial" w:cs="Arial" w:eastAsia="Arial" w:hAnsi="Arial"/>
                <w:sz w:val="18"/>
                <w:szCs w:val="18"/>
                <w:color w:val="0000EE"/>
              </w:rPr>
            </w:pPr>
            <w:hyperlink r:id="rId61">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0" w:type="dxa"/>
            <w:vAlign w:val="bottom"/>
          </w:tcPr>
          <w:p>
            <w:pPr>
              <w:spacing w:after="0"/>
              <w:rPr>
                <w:sz w:val="16"/>
                <w:szCs w:val="16"/>
                <w:color w:val="auto"/>
              </w:rPr>
            </w:pPr>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1"/>
              </w:rPr>
              <w:t>Agreement and Plan of Merger between Independent Bank Corporation and TCSB Bancorp, Inc. (incorporated here by reference to Exhibit 2.1 to</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our current report on Form 8-K filed December 5, 2017).</w:t>
            </w:r>
          </w:p>
        </w:tc>
      </w:tr>
      <w:tr>
        <w:trPr>
          <w:trHeight w:val="190"/>
        </w:trPr>
        <w:tc>
          <w:tcPr>
            <w:tcW w:w="620" w:type="dxa"/>
            <w:vAlign w:val="bottom"/>
            <w:gridSpan w:val="4"/>
          </w:tcPr>
          <w:p>
            <w:pPr>
              <w:spacing w:after="0" w:line="190" w:lineRule="exact"/>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800" w:type="dxa"/>
            <w:vAlign w:val="bottom"/>
          </w:tcPr>
          <w:p>
            <w:pPr>
              <w:ind w:left="200"/>
              <w:spacing w:after="0" w:line="190" w:lineRule="exact"/>
              <w:rPr>
                <w:sz w:val="20"/>
                <w:szCs w:val="20"/>
                <w:color w:val="auto"/>
              </w:rPr>
            </w:pPr>
            <w:r>
              <w:rPr>
                <w:rFonts w:ascii="Arial" w:cs="Arial" w:eastAsia="Arial" w:hAnsi="Arial"/>
                <w:sz w:val="18"/>
                <w:szCs w:val="18"/>
                <w:color w:val="auto"/>
                <w:w w:val="94"/>
              </w:rPr>
              <w:t>Voting Agreement of directors of TCSB Bancorp, Inc., dated December 4, 2017 (incorporated here by reference to Exhibit 10.1 to our current</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report on Form 8-K filed December 5, 2017).</w:t>
            </w:r>
          </w:p>
        </w:tc>
      </w:tr>
      <w:tr>
        <w:trPr>
          <w:trHeight w:val="635"/>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0" w:type="dxa"/>
            <w:vAlign w:val="bottom"/>
          </w:tcPr>
          <w:p>
            <w:pPr>
              <w:ind w:left="5000"/>
              <w:spacing w:after="0"/>
              <w:rPr>
                <w:sz w:val="20"/>
                <w:szCs w:val="20"/>
                <w:color w:val="auto"/>
              </w:rPr>
            </w:pPr>
            <w:r>
              <w:rPr>
                <w:rFonts w:ascii="Arial" w:cs="Arial" w:eastAsia="Arial" w:hAnsi="Arial"/>
                <w:sz w:val="18"/>
                <w:szCs w:val="18"/>
                <w:color w:val="auto"/>
              </w:rPr>
              <w:t>36</w:t>
            </w:r>
          </w:p>
        </w:tc>
      </w:tr>
      <w:tr>
        <w:trPr>
          <w:trHeight w:val="61"/>
        </w:trPr>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ind w:left="820" w:hanging="809"/>
        <w:spacing w:after="0" w:line="277" w:lineRule="auto"/>
        <w:tabs>
          <w:tab w:leader="none" w:pos="800" w:val="left"/>
        </w:tabs>
        <w:rPr>
          <w:rFonts w:ascii="Arial" w:cs="Arial" w:eastAsia="Arial" w:hAnsi="Arial"/>
          <w:sz w:val="18"/>
          <w:szCs w:val="18"/>
          <w:color w:val="0000EE"/>
        </w:rPr>
      </w:pPr>
      <w:hyperlink r:id="rId63">
        <w:r>
          <w:rPr>
            <w:rFonts w:ascii="Arial" w:cs="Arial" w:eastAsia="Arial" w:hAnsi="Arial"/>
            <w:sz w:val="18"/>
            <w:szCs w:val="18"/>
            <w:u w:val="single" w:color="auto"/>
            <w:color w:val="0000EE"/>
          </w:rPr>
          <w:t>10.11</w:t>
        </w:r>
      </w:hyperlink>
      <w:r>
        <w:rPr>
          <w:rFonts w:ascii="Arial" w:cs="Arial" w:eastAsia="Arial" w:hAnsi="Arial"/>
          <w:sz w:val="18"/>
          <w:szCs w:val="18"/>
          <w:color w:val="0000EE"/>
        </w:rPr>
        <w:tab/>
        <w:t>Form of Non-Competition and Non-Solicitation Agreement signed by each director of TCSB Bancorp, Inc., dated December 4, 2017 (incorporated here by reference to Exhibit 10.2 to our current report on Form 8-K filed December 5, 2017).</w:t>
      </w:r>
    </w:p>
    <w:p>
      <w:pPr>
        <w:spacing w:after="0" w:line="83"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Represents a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7540" w:type="dxa"/>
            <w:vAlign w:val="bottom"/>
            <w:gridSpan w:val="10"/>
          </w:tcPr>
          <w:p>
            <w:pPr>
              <w:spacing w:after="0"/>
              <w:rPr>
                <w:rFonts w:ascii="Arial" w:cs="Arial" w:eastAsia="Arial" w:hAnsi="Arial"/>
                <w:sz w:val="14"/>
                <w:szCs w:val="14"/>
                <w:b w:val="1"/>
                <w:bCs w:val="1"/>
                <w:color w:val="0000EE"/>
              </w:rPr>
            </w:pPr>
            <w:hyperlink w:anchor="page39">
              <w:r>
                <w:rPr>
                  <w:rFonts w:ascii="Arial" w:cs="Arial" w:eastAsia="Arial" w:hAnsi="Arial"/>
                  <w:sz w:val="14"/>
                  <w:szCs w:val="14"/>
                  <w:b w:val="1"/>
                  <w:bCs w:val="1"/>
                  <w:color w:val="0000EE"/>
                </w:rPr>
                <w:t>TABLE OF CONTENTS</w:t>
              </w:r>
            </w:hyperlink>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0000EE"/>
            </w:tcBorders>
            <w:vMerge w:val="restart"/>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20" w:type="dxa"/>
            <w:vAlign w:val="bottom"/>
            <w:gridSpan w:val="9"/>
            <w:shd w:val="clear" w:color="auto" w:fill="CCEEFF"/>
          </w:tcPr>
          <w:p>
            <w:pPr>
              <w:spacing w:after="0" w:line="189"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Performance Graph</w:t>
              </w:r>
            </w:hyperlink>
          </w:p>
        </w:tc>
        <w:tc>
          <w:tcPr>
            <w:tcW w:w="202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20" w:type="dxa"/>
            <w:vAlign w:val="bottom"/>
            <w:gridSpan w:val="9"/>
          </w:tcPr>
          <w:p>
            <w:pPr>
              <w:spacing w:after="0" w:line="189"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Selected Consolidated Financial Data</w:t>
              </w:r>
            </w:hyperlink>
          </w:p>
        </w:tc>
        <w:tc>
          <w:tcPr>
            <w:tcW w:w="2020" w:type="dxa"/>
            <w:vAlign w:val="bottom"/>
            <w:gridSpan w:val="5"/>
          </w:tcPr>
          <w:p>
            <w:pPr>
              <w:jc w:val="right"/>
              <w:ind w:right="100"/>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5"/>
            <w:shd w:val="clear" w:color="auto" w:fill="CCEEFF"/>
          </w:tcPr>
          <w:p>
            <w:pPr>
              <w:spacing w:after="0" w:line="189" w:lineRule="exact"/>
              <w:rPr>
                <w:rFonts w:ascii="Arial" w:cs="Arial" w:eastAsia="Arial" w:hAnsi="Arial"/>
                <w:sz w:val="18"/>
                <w:szCs w:val="18"/>
                <w:b w:val="1"/>
                <w:bCs w:val="1"/>
                <w:color w:val="0000EE"/>
                <w:w w:val="87"/>
              </w:rPr>
            </w:pPr>
            <w:hyperlink w:anchor="page42">
              <w:r>
                <w:rPr>
                  <w:rFonts w:ascii="Arial" w:cs="Arial" w:eastAsia="Arial" w:hAnsi="Arial"/>
                  <w:sz w:val="18"/>
                  <w:szCs w:val="18"/>
                  <w:b w:val="1"/>
                  <w:bCs w:val="1"/>
                  <w:color w:val="0000EE"/>
                  <w:w w:val="87"/>
                </w:rPr>
                <w:t>Management’s Discussion and Analysis</w:t>
              </w:r>
            </w:hyperlink>
          </w:p>
        </w:tc>
        <w:tc>
          <w:tcPr>
            <w:tcW w:w="4520" w:type="dxa"/>
            <w:vAlign w:val="bottom"/>
            <w:gridSpan w:val="4"/>
            <w:shd w:val="clear" w:color="auto" w:fill="CCEEFF"/>
          </w:tcPr>
          <w:p>
            <w:pPr>
              <w:spacing w:after="0"/>
              <w:rPr>
                <w:sz w:val="16"/>
                <w:szCs w:val="16"/>
                <w:color w:val="auto"/>
              </w:rPr>
            </w:pPr>
          </w:p>
        </w:tc>
        <w:tc>
          <w:tcPr>
            <w:tcW w:w="17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20" w:type="dxa"/>
            <w:vAlign w:val="bottom"/>
            <w:gridSpan w:val="9"/>
          </w:tcPr>
          <w:p>
            <w:pPr>
              <w:spacing w:after="0" w:line="189"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Management’s Annual Report on Internal Control Over Financial Reporting</w:t>
              </w:r>
            </w:hyperlink>
          </w:p>
        </w:tc>
        <w:tc>
          <w:tcPr>
            <w:tcW w:w="2020" w:type="dxa"/>
            <w:vAlign w:val="bottom"/>
            <w:gridSpan w:val="5"/>
          </w:tcPr>
          <w:p>
            <w:pPr>
              <w:jc w:val="right"/>
              <w:ind w:right="100"/>
              <w:spacing w:after="0" w:line="189" w:lineRule="exact"/>
              <w:rPr>
                <w:rFonts w:ascii="Arial" w:cs="Arial" w:eastAsia="Arial" w:hAnsi="Arial"/>
                <w:sz w:val="18"/>
                <w:szCs w:val="18"/>
                <w:color w:val="0000EE"/>
              </w:rPr>
            </w:pPr>
            <w:hyperlink w:anchor="page65">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gridSpan w:val="7"/>
            <w:shd w:val="clear" w:color="auto" w:fill="CCEEFF"/>
          </w:tcPr>
          <w:p>
            <w:pPr>
              <w:spacing w:after="0" w:line="189" w:lineRule="exact"/>
              <w:rPr>
                <w:rFonts w:ascii="Arial" w:cs="Arial" w:eastAsia="Arial" w:hAnsi="Arial"/>
                <w:sz w:val="18"/>
                <w:szCs w:val="18"/>
                <w:b w:val="1"/>
                <w:bCs w:val="1"/>
                <w:color w:val="0000EE"/>
                <w:w w:val="89"/>
              </w:rPr>
            </w:pPr>
            <w:hyperlink w:anchor="page66">
              <w:r>
                <w:rPr>
                  <w:rFonts w:ascii="Arial" w:cs="Arial" w:eastAsia="Arial" w:hAnsi="Arial"/>
                  <w:sz w:val="18"/>
                  <w:szCs w:val="18"/>
                  <w:b w:val="1"/>
                  <w:bCs w:val="1"/>
                  <w:color w:val="0000EE"/>
                  <w:w w:val="89"/>
                </w:rPr>
                <w:t>Report of Independent Registered Public Accounting Firm</w:t>
              </w:r>
            </w:hyperlink>
          </w:p>
        </w:tc>
        <w:tc>
          <w:tcPr>
            <w:tcW w:w="3040" w:type="dxa"/>
            <w:vAlign w:val="bottom"/>
            <w:gridSpan w:val="2"/>
            <w:shd w:val="clear" w:color="auto" w:fill="CCEEFF"/>
          </w:tcPr>
          <w:p>
            <w:pPr>
              <w:spacing w:after="0"/>
              <w:rPr>
                <w:sz w:val="16"/>
                <w:szCs w:val="16"/>
                <w:color w:val="auto"/>
              </w:rPr>
            </w:pPr>
          </w:p>
        </w:tc>
        <w:tc>
          <w:tcPr>
            <w:tcW w:w="17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gridSpan w:val="7"/>
          </w:tcPr>
          <w:p>
            <w:pPr>
              <w:spacing w:after="0" w:line="189"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Consolidated Financial Statements</w:t>
              </w:r>
            </w:hyperlink>
          </w:p>
        </w:tc>
        <w:tc>
          <w:tcPr>
            <w:tcW w:w="3040" w:type="dxa"/>
            <w:vAlign w:val="bottom"/>
            <w:gridSpan w:val="2"/>
          </w:tcPr>
          <w:p>
            <w:pPr>
              <w:spacing w:after="0"/>
              <w:rPr>
                <w:sz w:val="16"/>
                <w:szCs w:val="16"/>
                <w:color w:val="auto"/>
              </w:rPr>
            </w:pPr>
          </w:p>
        </w:tc>
        <w:tc>
          <w:tcPr>
            <w:tcW w:w="1740" w:type="dxa"/>
            <w:vAlign w:val="bottom"/>
            <w:gridSpan w:val="2"/>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6"/>
            <w:shd w:val="clear" w:color="auto" w:fill="CCEEFF"/>
          </w:tcPr>
          <w:p>
            <w:pPr>
              <w:spacing w:after="0" w:line="189" w:lineRule="exact"/>
              <w:rPr>
                <w:rFonts w:ascii="Arial" w:cs="Arial" w:eastAsia="Arial" w:hAnsi="Arial"/>
                <w:sz w:val="18"/>
                <w:szCs w:val="18"/>
                <w:b w:val="1"/>
                <w:bCs w:val="1"/>
                <w:color w:val="0000EE"/>
                <w:w w:val="87"/>
              </w:rPr>
            </w:pPr>
            <w:hyperlink w:anchor="page73">
              <w:r>
                <w:rPr>
                  <w:rFonts w:ascii="Arial" w:cs="Arial" w:eastAsia="Arial" w:hAnsi="Arial"/>
                  <w:sz w:val="18"/>
                  <w:szCs w:val="18"/>
                  <w:b w:val="1"/>
                  <w:bCs w:val="1"/>
                  <w:color w:val="0000EE"/>
                  <w:w w:val="87"/>
                </w:rPr>
                <w:t>Notes to Consolidated Financial Statements</w:t>
              </w:r>
            </w:hyperlink>
          </w:p>
        </w:tc>
        <w:tc>
          <w:tcPr>
            <w:tcW w:w="4200" w:type="dxa"/>
            <w:vAlign w:val="bottom"/>
            <w:gridSpan w:val="3"/>
            <w:shd w:val="clear" w:color="auto" w:fill="CCEEFF"/>
          </w:tcPr>
          <w:p>
            <w:pPr>
              <w:spacing w:after="0"/>
              <w:rPr>
                <w:sz w:val="16"/>
                <w:szCs w:val="16"/>
                <w:color w:val="auto"/>
              </w:rPr>
            </w:pPr>
          </w:p>
        </w:tc>
        <w:tc>
          <w:tcPr>
            <w:tcW w:w="17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41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60" w:type="dxa"/>
            <w:vAlign w:val="bottom"/>
          </w:tcPr>
          <w:p>
            <w:pPr>
              <w:spacing w:after="0" w:line="189" w:lineRule="exact"/>
              <w:rPr>
                <w:rFonts w:ascii="Arial" w:cs="Arial" w:eastAsia="Arial" w:hAnsi="Arial"/>
                <w:sz w:val="18"/>
                <w:szCs w:val="18"/>
                <w:b w:val="1"/>
                <w:bCs w:val="1"/>
                <w:color w:val="0000EE"/>
                <w:w w:val="91"/>
              </w:rPr>
            </w:pPr>
            <w:hyperlink w:anchor="page133">
              <w:r>
                <w:rPr>
                  <w:rFonts w:ascii="Arial" w:cs="Arial" w:eastAsia="Arial" w:hAnsi="Arial"/>
                  <w:sz w:val="18"/>
                  <w:szCs w:val="18"/>
                  <w:b w:val="1"/>
                  <w:bCs w:val="1"/>
                  <w:color w:val="0000EE"/>
                  <w:w w:val="91"/>
                </w:rPr>
                <w:t>Quarterly Data</w:t>
              </w:r>
            </w:hyperlink>
          </w:p>
        </w:tc>
        <w:tc>
          <w:tcPr>
            <w:tcW w:w="2160" w:type="dxa"/>
            <w:vAlign w:val="bottom"/>
            <w:gridSpan w:val="5"/>
          </w:tcPr>
          <w:p>
            <w:pPr>
              <w:spacing w:after="0"/>
              <w:rPr>
                <w:sz w:val="16"/>
                <w:szCs w:val="16"/>
                <w:color w:val="auto"/>
              </w:rPr>
            </w:pPr>
          </w:p>
        </w:tc>
        <w:tc>
          <w:tcPr>
            <w:tcW w:w="4200" w:type="dxa"/>
            <w:vAlign w:val="bottom"/>
            <w:gridSpan w:val="3"/>
          </w:tcPr>
          <w:p>
            <w:pPr>
              <w:spacing w:after="0"/>
              <w:rPr>
                <w:sz w:val="16"/>
                <w:szCs w:val="16"/>
                <w:color w:val="auto"/>
              </w:rPr>
            </w:pPr>
          </w:p>
        </w:tc>
        <w:tc>
          <w:tcPr>
            <w:tcW w:w="2020" w:type="dxa"/>
            <w:vAlign w:val="bottom"/>
            <w:gridSpan w:val="5"/>
          </w:tcPr>
          <w:p>
            <w:pPr>
              <w:jc w:val="right"/>
              <w:ind w:right="100"/>
              <w:spacing w:after="0" w:line="189" w:lineRule="exact"/>
              <w:rPr>
                <w:rFonts w:ascii="Arial" w:cs="Arial" w:eastAsia="Arial" w:hAnsi="Arial"/>
                <w:sz w:val="18"/>
                <w:szCs w:val="18"/>
                <w:color w:val="0000EE"/>
              </w:rPr>
            </w:pPr>
            <w:hyperlink w:anchor="page133">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466"/>
        </w:trPr>
        <w:tc>
          <w:tcPr>
            <w:tcW w:w="1180" w:type="dxa"/>
            <w:vAlign w:val="bottom"/>
            <w:tcBorders>
              <w:top w:val="single" w:sz="8" w:color="0000EE"/>
            </w:tcBorders>
            <w:gridSpan w:val="2"/>
          </w:tcPr>
          <w:p>
            <w:pPr>
              <w:spacing w:after="0"/>
              <w:rPr>
                <w:sz w:val="24"/>
                <w:szCs w:val="24"/>
                <w:color w:val="auto"/>
              </w:rPr>
            </w:pPr>
          </w:p>
        </w:tc>
        <w:tc>
          <w:tcPr>
            <w:tcW w:w="4720" w:type="dxa"/>
            <w:vAlign w:val="bottom"/>
            <w:gridSpan w:val="7"/>
          </w:tcPr>
          <w:p>
            <w:pPr>
              <w:jc w:val="right"/>
              <w:ind w:right="1080"/>
              <w:spacing w:after="0"/>
              <w:rPr>
                <w:sz w:val="20"/>
                <w:szCs w:val="20"/>
                <w:color w:val="auto"/>
              </w:rPr>
            </w:pPr>
            <w:r>
              <w:rPr>
                <w:rFonts w:ascii="Arial" w:cs="Arial" w:eastAsia="Arial" w:hAnsi="Arial"/>
                <w:sz w:val="18"/>
                <w:szCs w:val="18"/>
                <w:color w:val="auto"/>
              </w:rPr>
              <w:t>7</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127"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2012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60325</wp:posOffset>
            </wp:positionV>
            <wp:extent cx="5076825" cy="4485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076825" cy="448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SELECTED CONSOLIDATED FINANCIAL DATA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3"/>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91"/>
              </w:rPr>
              <w:t>(Dollars in thousands, except per share amounts)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98,309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86,523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80,842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80,555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87,121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73,256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gains on securities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on branch sale</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Non-interest expenses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income tax</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discount</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Net income applicable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20,475</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20,017</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18,021</w:t>
            </w: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82,062</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Cash dividends declared and paid</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Book value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SELECTED BALANCES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2,789,355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2,548,950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2,409,066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2,248,730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2,209,943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2,018,817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1,608,248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1,515,050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1,409,962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1,374,570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25,990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2,400,534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2,225,719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2,085,963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1,924,302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1,884,806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264,933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248,980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251,092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250,371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231,581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SELECTED RATIOS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to average interest earning</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income to (2)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shareholders’ equity to average assets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Non-performing loans to Portfolio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7" w:hanging="347"/>
        <w:spacing w:after="0" w:line="264"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significant variations in the results of operations for the five years presented above is a result of a number of factors, including changes in asset quality metrics, our exit from the Troubled Asset Relief Program in 2013 and significant income tax expense/benefits realized in 2017 and 2013.</w:t>
      </w:r>
    </w:p>
    <w:p>
      <w:pPr>
        <w:spacing w:after="0" w:line="73" w:lineRule="exact"/>
        <w:rPr>
          <w:rFonts w:ascii="Arial" w:cs="Arial" w:eastAsia="Arial" w:hAnsi="Arial"/>
          <w:sz w:val="18"/>
          <w:szCs w:val="18"/>
          <w:color w:val="auto"/>
        </w:rPr>
      </w:pPr>
    </w:p>
    <w:p>
      <w:pPr>
        <w:ind w:left="347" w:hanging="347"/>
        <w:spacing w:after="0"/>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amounts are calculated using net income applicable to common stock.</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313690</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Disclaimer Regarding Forward-Looking Statements. </w:t>
      </w:r>
      <w:r>
        <w:rPr>
          <w:rFonts w:ascii="Arial" w:cs="Arial" w:eastAsia="Arial" w:hAnsi="Arial"/>
          <w:sz w:val="17"/>
          <w:szCs w:val="17"/>
          <w:color w:val="auto"/>
        </w:rPr>
        <w:t>Statements in this report that are not statements of historical fact,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70"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loan losses;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11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2017,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7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Introduction. </w:t>
      </w:r>
      <w:r>
        <w:rPr>
          <w:rFonts w:ascii="Arial" w:cs="Arial" w:eastAsia="Arial" w:hAnsi="Arial"/>
          <w:sz w:val="18"/>
          <w:szCs w:val="18"/>
          <w:color w:val="auto"/>
        </w:rPr>
        <w:t>The following section presents additional information to assess the financial condition and results of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Bank 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8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We provide banking services to customers located primarily in Michigan’s Lower Peninsula. As a result, our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to a great extent upon the economic conditions in Michigan’s Lower Peninsula. At times, we have experienced a difficult economy in Michigan. Economic conditions in Michigan began to show signs of improvement during 2010. Generally, these improvements have continued into 2017, albeit at an uneven pace. There has been an overall decline in the unemployment rate as well as generally improving housing prices and other related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statistics (such as home sales and new building permits).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7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Recent Developments. </w:t>
      </w:r>
      <w:r>
        <w:rPr>
          <w:rFonts w:ascii="Arial" w:cs="Arial" w:eastAsia="Arial" w:hAnsi="Arial"/>
          <w:sz w:val="17"/>
          <w:szCs w:val="17"/>
          <w:color w:val="auto"/>
        </w:rPr>
        <w:t>On December 22, 2017, President Donald Trump signed into law “H.R. 1”, also known as the “Tax Cuts</w:t>
      </w:r>
      <w:r>
        <w:rPr>
          <w:rFonts w:ascii="Arial" w:cs="Arial" w:eastAsia="Arial" w:hAnsi="Arial"/>
          <w:sz w:val="17"/>
          <w:szCs w:val="17"/>
          <w:i w:val="1"/>
          <w:iCs w:val="1"/>
          <w:color w:val="auto"/>
        </w:rPr>
        <w:t xml:space="preserve"> </w:t>
      </w:r>
      <w:r>
        <w:rPr>
          <w:rFonts w:ascii="Arial" w:cs="Arial" w:eastAsia="Arial" w:hAnsi="Arial"/>
          <w:sz w:val="17"/>
          <w:szCs w:val="17"/>
          <w:color w:val="auto"/>
        </w:rPr>
        <w:t>and Jobs Act”, which among other things, reduced the federal corporate income tax rate to 21% effective January 1, 2018. As a result, we concluded that our deferred tax assets, net (“DTA”) had to be remeasured. Our DTA represents expected corporate tax benefits anticipated to be realized in the future. The reduction in the federal corporate income tax rate reduces these anticipated future benefits. The remeasurement of our DTA at December 31, 2017 resulted in a reduction of these net assets and a corresponding increase in income tax expense of $6.0 million that was recorded in the fourth quarter of 2017.</w:t>
      </w:r>
    </w:p>
    <w:p>
      <w:pPr>
        <w:spacing w:after="0" w:line="7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On December 4, 2017, we entered into an Agreement and Plan of Merger with TCSB Bancorp, Inc. (“TCSB”) (the “Merger Agreement”) providing for a business combination of IBCP and TCSB. The Merger Agreement provides that, upon the terms and subject to the conditions set forth in the Merger Agreement, TCSB will be merged with and into IBCP, with IBCP as the surviving corporation (the “Merger”). In addition, IBCP intends to consolidate Traverse City State Bank, TCSB's wholly-owned subsidiary bank, with and into Independent Bank (with Independent Bank as the surviving institution).</w:t>
      </w:r>
    </w:p>
    <w:p>
      <w:pPr>
        <w:spacing w:after="0" w:line="6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Subject to the terms and conditions of the Merger Agreement, we will pay aggregate Merger consideration of approximately $63.2 million in IBCP common stock or stock options for all of the shares of TCSB common stock and TCSB stock options issued and outstanding immediately before the effective time of the Merger. The Merger consideration is subject to adjustment in certain limited circumstances, as set forth in the Merger Agreement.</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Completion of the Merger is subject to certain closing conditions. These include, among others, (i) in the case of both parties, receipt of the requisite approval of TCSB's shareholders, receipt of required regulatory approvals, the absence of any law or order prohibiting completion of the Merger and the absence of a material adverse effect (as defined in the Merger Agreement), and (ii) in the case of IBCP, the consolidated shareholders' equity of TCSB must be at least $33 million (subject to adjustment as provided in the Merger Agreement) as of the final statement date (as defined in the Merger Agreement). The Merger Agreement provides certain termination rights for both IBCP and TCSB and further provides that, upon termination of the Merger Agreement under certain circumstances, TCSB will be obligated to pay IBCP a termination fee of approximately $2.5 million. Currently, we anticipate that the Merger will be effective on or about April 1, 2018. Our 2017 non-interest expenses include $0.3 million of costs incurred through December 31, 2017 related to the Merger.</w:t>
      </w:r>
    </w:p>
    <w:p>
      <w:pPr>
        <w:spacing w:after="0" w:line="74"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Effective on January 1, 2017, we adopted the fair value accounting method for capitalized mortgage loan servicing rights. The adoption of this accounting method resulted in the following changes to the January 1, 2017 beginning balances: an increase in capitalized mortgage loan servicing rights of $0.54 million; a decrease in deferred income taxes of $0.19 million and a decrease in our accumulated deficit of $0.35 million. See note #1 to the Consolidated Financial Statements.</w:t>
      </w:r>
    </w:p>
    <w:p>
      <w:pPr>
        <w:spacing w:after="0" w:line="6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On December 30, 2016, the Bank and its wholly-owned subsidiary, Mepco Finance Corporation (“Mepco”), entered into an Asset Purchase Agreement (“APA”) with Seabury Asset Management LLC (“Seabury”). Pursuant to the terms of the APA, we sold our payment plan processing business, payment plan receivables, and certain other assets to Seabury, who also assumed certain liabilities of Mepco. These assets and liabilities were categorized as “held for sale” in the December 31, 2016 Consolidated Statement of Financial Condition. We also recorded a $0.32 million loss related to the sale of these assets in the fourth quarter of 2016. 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Mepco was renamed IB Holding Company in May 2017 and was liquidated on June 30, 2017, with the remaining assets and liabilities transferred to the Bank. We do not believe that the sale of the Mepco business and assets will have a significant impact on our future overall financial condition or results of operations.</w:t>
      </w:r>
    </w:p>
    <w:p>
      <w:pPr>
        <w:spacing w:after="0" w:line="7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the fourth quarter of 2016, we reached a tentative settlement regarding litigation initiated against the Bank in Wayne County, Michigan Circuit Court. The Court issued a preliminary approval of this settlement in the first quarter of 2017 and a final approval of this settlement in January 2018. This litigation concerned the Bank’s checking account transaction sequencing during a period from February 2009 to June 2011. Under the terms of the settlement, we agreed to pay $2.2 million and we are also responsible for class notification costs and certain other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which are estimated to total approximately $0.1 million. The $2.2 million was paid in January 2018.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79"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On July 2, 2013, the Federal Reserve Board approved a final rule that establishes an integrated regulatory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(the “New Capital 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2017, 1.25% is being added to the minimum ratio for adequately capitalized institutions. To avoid limits on capital distributions and certain discretionary bonus payments we must meet the minimum ratio for adequately capitalized institutions plus the phased in buffer (now 5.75% in 2017).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December 31, 2017 and 2016 we exceeded all of the capital ratio requirements of the New Capital Rules.</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2017 as compared to earlier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i w:val="1"/>
          <w:iCs w:val="1"/>
          <w:color w:val="auto"/>
        </w:rPr>
        <w:t xml:space="preserve">Summary. </w:t>
      </w:r>
      <w:r>
        <w:rPr>
          <w:rFonts w:ascii="Arial" w:cs="Arial" w:eastAsia="Arial" w:hAnsi="Arial"/>
          <w:sz w:val="16"/>
          <w:szCs w:val="16"/>
          <w:color w:val="auto"/>
        </w:rPr>
        <w:t>We recorded net income of $20.5 million, or $0.95 per diluted share, in 2017, net income of $22.8 million, or $1.05</w:t>
      </w:r>
      <w:r>
        <w:rPr>
          <w:rFonts w:ascii="Arial" w:cs="Arial" w:eastAsia="Arial" w:hAnsi="Arial"/>
          <w:sz w:val="16"/>
          <w:szCs w:val="16"/>
          <w:i w:val="1"/>
          <w:iCs w:val="1"/>
          <w:color w:val="auto"/>
        </w:rPr>
        <w:t xml:space="preserve"> </w:t>
      </w:r>
      <w:r>
        <w:rPr>
          <w:rFonts w:ascii="Arial" w:cs="Arial" w:eastAsia="Arial" w:hAnsi="Arial"/>
          <w:sz w:val="16"/>
          <w:szCs w:val="16"/>
          <w:color w:val="auto"/>
        </w:rPr>
        <w:t>per diluted share, in 2016, and net income of $20.0 million, or $0.86 per diluted share, in 2015. 2017 results include an additional $6.0 million of income tax expense related to the remeasurement of our DTA as described earlier under “Recent Developments.”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RATIOS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 to</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Average common equity</w:t>
            </w:r>
          </w:p>
        </w:tc>
        <w:tc>
          <w:tcPr>
            <w:tcW w:w="18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90"/>
              </w:rPr>
              <w:t>7.89%</w:t>
            </w:r>
          </w:p>
        </w:tc>
      </w:tr>
      <w:tr>
        <w:trPr>
          <w:trHeight w:val="249"/>
        </w:trPr>
        <w:tc>
          <w:tcPr>
            <w:tcW w:w="20" w:type="dxa"/>
            <w:vAlign w:val="bottom"/>
          </w:tcPr>
          <w:p>
            <w:pPr>
              <w:spacing w:after="0"/>
              <w:rPr>
                <w:sz w:val="21"/>
                <w:szCs w:val="21"/>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0.96</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interest income totaled $89.2 million during 2017, compared to $79.6 million and $75.0 million during 2016 and 2015, respectively. The increase in net interest income in 2017 compared to 2016 primarily reflects a $191.2 million increase in average interest-earning assets and a 13 basis point increase in our tax equivalent net interest income as a percent of average interest-earning assets (the “net interest margin”).</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increase in average interest-earning assets primarily reflects loan growth utilizing funds from increases in deposits and borrowed funds. The increase in the net interest margin reflects a change in the mix of average-interest earning assets (higher percentage of loans) as well as increases in short-term market interest rates.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increase in net interest income in 2016 compared to 2015 primarily reflects a $173.7 million increase in average interest-earning assets that was partially offset by a six basis point decrease in our net interest margin.</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net interest income is also impacted by our level of non-accrual loans. Average non-accrual loans totaled $9.5 million, $10.9 million and $13.8 million in 2017, 2016 and 2015,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AND RATES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24"/>
              <w:spacing w:after="0" w:line="156"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25"/>
              <w:spacing w:after="0" w:line="156"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04"/>
              <w:spacing w:after="0" w:line="156"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2"/>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2"/>
              </w:rPr>
              <w:t>Interest</w:t>
            </w:r>
          </w:p>
        </w:tc>
        <w:tc>
          <w:tcPr>
            <w:tcW w:w="180" w:type="dxa"/>
            <w:vAlign w:val="bottom"/>
            <w:gridSpan w:val="2"/>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2"/>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ind w:left="400"/>
              <w:spacing w:after="0"/>
              <w:rPr>
                <w:sz w:val="20"/>
                <w:szCs w:val="20"/>
                <w:color w:val="auto"/>
              </w:rPr>
            </w:pPr>
            <w:r>
              <w:rPr>
                <w:rFonts w:ascii="Arial" w:cs="Arial" w:eastAsia="Arial" w:hAnsi="Arial"/>
                <w:sz w:val="14"/>
                <w:szCs w:val="14"/>
                <w:b w:val="1"/>
                <w:bCs w:val="1"/>
                <w:color w:val="auto"/>
                <w:w w:val="89"/>
              </w:rPr>
              <w:t>(Dollars in thousands)</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Taxable loans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1,845,661</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84,169</w:t>
            </w:r>
          </w:p>
        </w:tc>
        <w:tc>
          <w:tcPr>
            <w:tcW w:w="780" w:type="dxa"/>
            <w:vAlign w:val="bottom"/>
            <w:gridSpan w:val="5"/>
          </w:tcPr>
          <w:p>
            <w:pPr>
              <w:ind w:left="300"/>
              <w:spacing w:after="0"/>
              <w:rPr>
                <w:sz w:val="20"/>
                <w:szCs w:val="20"/>
                <w:color w:val="auto"/>
              </w:rPr>
            </w:pPr>
            <w:r>
              <w:rPr>
                <w:rFonts w:ascii="Arial" w:cs="Arial" w:eastAsia="Arial" w:hAnsi="Arial"/>
                <w:sz w:val="15"/>
                <w:szCs w:val="15"/>
                <w:color w:val="auto"/>
              </w:rPr>
              <w:t>4.56%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1,596,136</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74,014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tcPr>
          <w:p>
            <w:pPr>
              <w:ind w:left="120"/>
              <w:spacing w:after="0"/>
              <w:rPr>
                <w:sz w:val="20"/>
                <w:szCs w:val="20"/>
                <w:color w:val="auto"/>
              </w:rPr>
            </w:pPr>
            <w:r>
              <w:rPr>
                <w:rFonts w:ascii="Arial" w:cs="Arial" w:eastAsia="Arial" w:hAnsi="Arial"/>
                <w:sz w:val="15"/>
                <w:szCs w:val="15"/>
                <w:color w:val="auto"/>
              </w:rPr>
              <w:t>4.64%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1,457,508</w:t>
            </w: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70,770</w:t>
            </w:r>
          </w:p>
        </w:tc>
        <w:tc>
          <w:tcPr>
            <w:tcW w:w="700" w:type="dxa"/>
            <w:vAlign w:val="bottom"/>
            <w:gridSpan w:val="5"/>
          </w:tcPr>
          <w:p>
            <w:pPr>
              <w:ind w:left="300"/>
              <w:spacing w:after="0"/>
              <w:rPr>
                <w:sz w:val="20"/>
                <w:szCs w:val="20"/>
                <w:color w:val="auto"/>
              </w:rPr>
            </w:pPr>
            <w:r>
              <w:rPr>
                <w:rFonts w:ascii="Arial" w:cs="Arial" w:eastAsia="Arial" w:hAnsi="Arial"/>
                <w:sz w:val="15"/>
                <w:szCs w:val="15"/>
                <w:color w:val="auto"/>
                <w:w w:val="89"/>
              </w:rPr>
              <w:t>4.86%</w:t>
            </w: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Tax-exempt loans (1)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5.38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2"/>
              </w:rPr>
              <w:t>5.85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6.19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Taxable securities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485,343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10,928</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2.25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534,233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9,921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1.86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529,571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7,805</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1.47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Tax-exempt securities (1)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3,063</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3.52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2"/>
              </w:rPr>
              <w:t>3.52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34,039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4.08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Interest bearing cash</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37,119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264</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0.71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78,606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0.51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66,595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275</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investments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5.38</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82"/>
              </w:rPr>
              <w:t>5.12</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17,171</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5.39</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ind w:left="360"/>
              <w:spacing w:after="0"/>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2,473,767</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99,432</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4.02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2,282,602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3.82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2,108,856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81,409</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3.86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Cash and due from banks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31,980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44,842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gridSpan w:val="2"/>
          </w:tcPr>
          <w:p>
            <w:pPr>
              <w:ind w:left="180"/>
              <w:spacing w:after="0"/>
              <w:rPr>
                <w:sz w:val="20"/>
                <w:szCs w:val="20"/>
                <w:color w:val="auto"/>
              </w:rPr>
            </w:pPr>
            <w:r>
              <w:rPr>
                <w:rFonts w:ascii="Arial" w:cs="Arial" w:eastAsia="Arial" w:hAnsi="Arial"/>
                <w:sz w:val="15"/>
                <w:szCs w:val="15"/>
                <w:color w:val="auto"/>
              </w:rPr>
              <w:t>Other assets, net</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144,442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155,778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166,363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2,650,189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2,475,211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2,320,061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spacing w:after="0"/>
              <w:rPr>
                <w:sz w:val="20"/>
                <w:szCs w:val="20"/>
                <w:color w:val="auto"/>
              </w:rPr>
            </w:pPr>
            <w:r>
              <w:rPr>
                <w:rFonts w:ascii="Arial" w:cs="Arial" w:eastAsia="Arial" w:hAnsi="Arial"/>
                <w:sz w:val="15"/>
                <w:szCs w:val="15"/>
                <w:color w:val="auto"/>
              </w:rPr>
              <w:t>LIABILITIES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Savings and interest-bearing</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checking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1,052,215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1,530</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0.15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1,018,685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2"/>
              </w:rPr>
              <w:t>0.11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988,504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0.11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Time deposits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502,284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5,245</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1.04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447,243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3,826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0.86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386,035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2,953</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borrowings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74,876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2,348</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3.14</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47,058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82"/>
              </w:rPr>
              <w:t>4.12</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47,842</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1,847</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3.86</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ind w:left="360"/>
              <w:spacing w:after="0"/>
              <w:rPr>
                <w:sz w:val="20"/>
                <w:szCs w:val="20"/>
                <w:color w:val="auto"/>
              </w:rPr>
            </w:pPr>
            <w:r>
              <w:rPr>
                <w:rFonts w:ascii="Arial" w:cs="Arial" w:eastAsia="Arial" w:hAnsi="Arial"/>
                <w:sz w:val="15"/>
                <w:szCs w:val="15"/>
                <w:color w:val="auto"/>
              </w:rPr>
              <w:t>Interest bearing liabilities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1,629,375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9,123</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0.56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1,512,986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6,882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0.45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1,422,381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5,856</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0.41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Non-interest bearing deposits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728,208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688,697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619,206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30,838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26,439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24,840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Shareholders’ equity</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261,768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247,089</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253,634</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Total liabilities and</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2,650,189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2,475,211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2,320,061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shareholders’ equity</w:t>
            </w: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Net interest income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90,309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80,385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75,553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60" w:type="dxa"/>
            <w:vAlign w:val="bottom"/>
            <w:tcBorders>
              <w:top w:val="single" w:sz="8" w:color="CCEEFF"/>
            </w:tcBorders>
            <w:gridSpan w:val="3"/>
          </w:tcPr>
          <w:p>
            <w:pPr>
              <w:ind w:left="360"/>
              <w:spacing w:after="0" w:line="162" w:lineRule="exact"/>
              <w:rPr>
                <w:sz w:val="20"/>
                <w:szCs w:val="20"/>
                <w:color w:val="auto"/>
              </w:rPr>
            </w:pPr>
            <w:r>
              <w:rPr>
                <w:rFonts w:ascii="Arial" w:cs="Arial" w:eastAsia="Arial" w:hAnsi="Arial"/>
                <w:sz w:val="15"/>
                <w:szCs w:val="15"/>
                <w:color w:val="auto"/>
              </w:rPr>
              <w:t>Net interest income as a</w:t>
            </w: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percent of average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5"/>
            <w:vMerge w:val="restart"/>
          </w:tcPr>
          <w:p>
            <w:pPr>
              <w:ind w:left="300"/>
              <w:spacing w:after="0"/>
              <w:rPr>
                <w:sz w:val="20"/>
                <w:szCs w:val="20"/>
                <w:color w:val="auto"/>
              </w:rPr>
            </w:pPr>
            <w:r>
              <w:rPr>
                <w:rFonts w:ascii="Arial" w:cs="Arial" w:eastAsia="Arial" w:hAnsi="Arial"/>
                <w:sz w:val="15"/>
                <w:szCs w:val="15"/>
                <w:color w:val="auto"/>
              </w:rPr>
              <w:t>3.65%</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restart"/>
          </w:tcPr>
          <w:p>
            <w:pPr>
              <w:ind w:left="120"/>
              <w:spacing w:after="0"/>
              <w:rPr>
                <w:sz w:val="20"/>
                <w:szCs w:val="20"/>
                <w:color w:val="auto"/>
              </w:rPr>
            </w:pPr>
            <w:r>
              <w:rPr>
                <w:rFonts w:ascii="Arial" w:cs="Arial" w:eastAsia="Arial" w:hAnsi="Arial"/>
                <w:sz w:val="15"/>
                <w:szCs w:val="15"/>
                <w:color w:val="auto"/>
              </w:rPr>
              <w:t>3.52%</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5"/>
            <w:vMerge w:val="restart"/>
          </w:tcPr>
          <w:p>
            <w:pPr>
              <w:ind w:left="300"/>
              <w:spacing w:after="0"/>
              <w:rPr>
                <w:sz w:val="20"/>
                <w:szCs w:val="20"/>
                <w:color w:val="auto"/>
              </w:rPr>
            </w:pPr>
            <w:r>
              <w:rPr>
                <w:rFonts w:ascii="Arial" w:cs="Arial" w:eastAsia="Arial" w:hAnsi="Arial"/>
                <w:sz w:val="15"/>
                <w:szCs w:val="15"/>
                <w:color w:val="auto"/>
                <w:w w:val="89"/>
              </w:rPr>
              <w:t>3.58%</w:t>
            </w:r>
          </w:p>
        </w:tc>
        <w:tc>
          <w:tcPr>
            <w:tcW w:w="0" w:type="dxa"/>
            <w:vAlign w:val="bottom"/>
          </w:tcPr>
          <w:p>
            <w:pPr>
              <w:spacing w:after="0"/>
              <w:rPr>
                <w:sz w:val="1"/>
                <w:szCs w:val="1"/>
                <w:color w:val="auto"/>
              </w:rPr>
            </w:pPr>
          </w:p>
        </w:tc>
      </w:tr>
      <w:tr>
        <w:trPr>
          <w:trHeight w:val="162"/>
        </w:trPr>
        <w:tc>
          <w:tcPr>
            <w:tcW w:w="216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 on tax-exempt loans and securities is presented on a fully tax equivalent basis assuming a marginal tax rate of 35%.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90"/>
              </w:rPr>
              <w:t>(Dollars in thousands)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79,641</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74,986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Add: taxable equivalent adjustment</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90,309</w:t>
            </w:r>
          </w:p>
        </w:tc>
        <w:tc>
          <w:tcPr>
            <w:tcW w:w="24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75,553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Net interest margin (GAAP)</w:t>
            </w:r>
          </w:p>
        </w:tc>
        <w:tc>
          <w:tcPr>
            <w:tcW w:w="4280" w:type="dxa"/>
            <w:vAlign w:val="bottom"/>
            <w:gridSpan w:val="3"/>
          </w:tcPr>
          <w:p>
            <w:pPr>
              <w:jc w:val="right"/>
              <w:ind w:right="100"/>
              <w:spacing w:after="0"/>
              <w:rPr>
                <w:sz w:val="20"/>
                <w:szCs w:val="20"/>
                <w:color w:val="auto"/>
              </w:rPr>
            </w:pPr>
            <w:r>
              <w:rPr>
                <w:rFonts w:ascii="Arial" w:cs="Arial" w:eastAsia="Arial" w:hAnsi="Arial"/>
                <w:sz w:val="18"/>
                <w:szCs w:val="18"/>
                <w:color w:val="auto"/>
              </w:rPr>
              <w:t>3.61%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r>
      <w:tr>
        <w:trPr>
          <w:trHeight w:val="28"/>
        </w:trPr>
        <w:tc>
          <w:tcPr>
            <w:tcW w:w="3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(FTE)</w:t>
            </w:r>
          </w:p>
        </w:tc>
        <w:tc>
          <w:tcPr>
            <w:tcW w:w="4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r>
      <w:tr>
        <w:trPr>
          <w:trHeight w:val="432"/>
        </w:trPr>
        <w:tc>
          <w:tcPr>
            <w:tcW w:w="3360" w:type="dxa"/>
            <w:vAlign w:val="bottom"/>
            <w:tcBorders>
              <w:top w:val="single" w:sz="8" w:color="CCEEFF"/>
            </w:tcBorders>
          </w:tcPr>
          <w:p>
            <w:pPr>
              <w:spacing w:after="0"/>
              <w:rPr>
                <w:sz w:val="24"/>
                <w:szCs w:val="24"/>
                <w:color w:val="auto"/>
              </w:rPr>
            </w:pPr>
          </w:p>
        </w:tc>
        <w:tc>
          <w:tcPr>
            <w:tcW w:w="3260" w:type="dxa"/>
            <w:vAlign w:val="bottom"/>
            <w:tcBorders>
              <w:top w:val="single" w:sz="8" w:color="CCEEFF"/>
            </w:tcBorders>
          </w:tcPr>
          <w:p>
            <w:pPr>
              <w:jc w:val="right"/>
              <w:ind w:right="1670"/>
              <w:spacing w:after="0"/>
              <w:rPr>
                <w:sz w:val="20"/>
                <w:szCs w:val="20"/>
                <w:color w:val="auto"/>
              </w:rPr>
            </w:pPr>
            <w:r>
              <w:rPr>
                <w:rFonts w:ascii="Arial" w:cs="Arial" w:eastAsia="Arial" w:hAnsi="Arial"/>
                <w:sz w:val="18"/>
                <w:szCs w:val="18"/>
                <w:color w:val="auto"/>
              </w:rPr>
              <w:t>14</w:t>
            </w: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59"/>
        </w:trPr>
        <w:tc>
          <w:tcPr>
            <w:tcW w:w="3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8"/>
        </w:trPr>
        <w:tc>
          <w:tcPr>
            <w:tcW w:w="3360" w:type="dxa"/>
            <w:vAlign w:val="bottom"/>
            <w:shd w:val="clear" w:color="auto" w:fill="000000"/>
          </w:tcPr>
          <w:p>
            <w:pPr>
              <w:spacing w:after="0"/>
              <w:rPr>
                <w:sz w:val="5"/>
                <w:szCs w:val="5"/>
                <w:color w:val="auto"/>
              </w:rPr>
            </w:pPr>
          </w:p>
        </w:tc>
        <w:tc>
          <w:tcPr>
            <w:tcW w:w="32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 IN NET INTEREST INCOME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2017 compared to 2016</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291"/>
              <w:spacing w:after="0"/>
              <w:rPr>
                <w:sz w:val="20"/>
                <w:szCs w:val="20"/>
                <w:color w:val="auto"/>
              </w:rPr>
            </w:pPr>
            <w:r>
              <w:rPr>
                <w:rFonts w:ascii="Arial" w:cs="Arial" w:eastAsia="Arial" w:hAnsi="Arial"/>
                <w:sz w:val="14"/>
                <w:szCs w:val="14"/>
                <w:b w:val="1"/>
                <w:bCs w:val="1"/>
                <w:color w:val="auto"/>
              </w:rPr>
              <w:t>2016 compared to 2015</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6"/>
              </w:rPr>
              <w:t>Volume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Volume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Increase (decrease) in interest income (1)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Taxable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11,398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(1,243)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10,155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6,526</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3,244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5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Tax-exempt loans (2)</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Taxable securities</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2,116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5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Tax-exempt securities (2)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Interest bearing cash</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 interest income</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11,291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12,165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7,287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(1,429)</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5,858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Increase (decrease) in interest expense (1)</w:t>
            </w: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Savings and interest bearing checking</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5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Other borrowings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520" w:type="dxa"/>
            <w:vAlign w:val="bottom"/>
            <w:tcBorders>
              <w:bottom w:val="single" w:sz="8" w:color="CCEEFF"/>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520"/>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9,924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6,785</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4,832</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on tax-exempt loans and securities is presented on a fully tax equivalent basis assuming a marginal tax rate of 35%.</w:t>
      </w:r>
    </w:p>
    <w:p>
      <w:pPr>
        <w:spacing w:after="0" w:line="2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COMPOSITION OF AVERAGE INTEREST EARNING ASSETS AND INTEREST BEARING LIABILITIES</w:t>
      </w:r>
    </w:p>
    <w:p>
      <w:pPr>
        <w:spacing w:after="0" w:line="7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average interest earning assets</w:t>
            </w:r>
          </w:p>
        </w:tc>
        <w:tc>
          <w:tcPr>
            <w:tcW w:w="8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interest earning assets</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Average interest earning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Savings and NOW</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Brokered CDs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borrowings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interest bearing liabilities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2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Earning asset ratio</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2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Free-funds ratio (1)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Average interest earning assets less average interest bearing liabilities.</w:t>
      </w:r>
    </w:p>
    <w:p>
      <w:pPr>
        <w:spacing w:after="0" w:line="117" w:lineRule="exact"/>
        <w:rPr>
          <w:sz w:val="20"/>
          <w:szCs w:val="20"/>
          <w:color w:val="auto"/>
        </w:rPr>
      </w:pPr>
    </w:p>
    <w:p>
      <w:pPr>
        <w:jc w:val="both"/>
        <w:ind w:left="7" w:firstLine="360"/>
        <w:spacing w:after="0" w:line="293" w:lineRule="auto"/>
        <w:rPr>
          <w:sz w:val="20"/>
          <w:szCs w:val="20"/>
          <w:color w:val="auto"/>
        </w:rPr>
      </w:pPr>
      <w:r>
        <w:rPr>
          <w:rFonts w:ascii="Arial" w:cs="Arial" w:eastAsia="Arial" w:hAnsi="Arial"/>
          <w:sz w:val="16"/>
          <w:szCs w:val="16"/>
          <w:i w:val="1"/>
          <w:iCs w:val="1"/>
          <w:color w:val="auto"/>
        </w:rPr>
        <w:t xml:space="preserve">Provision for loan losses. </w:t>
      </w:r>
      <w:r>
        <w:rPr>
          <w:rFonts w:ascii="Arial" w:cs="Arial" w:eastAsia="Arial" w:hAnsi="Arial"/>
          <w:sz w:val="16"/>
          <w:szCs w:val="16"/>
          <w:color w:val="auto"/>
        </w:rPr>
        <w:t>The provision for loan losses was an expense of $1.2 million in 2017 and was a credit of $1.3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$2.7 million during 2016 and 2015, 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$42.5 million during 2017 compared to $42.3 million and $40.1 million during 2016 and 2015, respectively. In May 2014, the Financial Accounting Standards Board (“FASB”) issued Accounting Standards Update (“ASU”) No. 2014-09 “Revenue from Contracts with Customers (Topic 606)” (“ASU 2014-09”). ASU 2014-09 is effective for us on January 1, 2018. Our interest income is excluded from the scope of ASU 2014-09 and for the reasons described in note #1 to our Consolidated Financial Statements, we do not believe that there will be any material impact on our non-interest income. The components of non-interest income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$ 12,389</w:t>
            </w:r>
          </w:p>
        </w:tc>
        <w:tc>
          <w:tcPr>
            <w:tcW w:w="60" w:type="dxa"/>
            <w:vAlign w:val="bottom"/>
            <w:shd w:val="clear" w:color="auto" w:fill="CCEEFF"/>
          </w:tcPr>
          <w:p>
            <w:pPr>
              <w:spacing w:after="0"/>
              <w:rPr>
                <w:sz w:val="21"/>
                <w:szCs w:val="2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Interchange income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8,481</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37"/>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7,448</w:t>
            </w:r>
          </w:p>
        </w:tc>
        <w:tc>
          <w:tcPr>
            <w:tcW w:w="60" w:type="dxa"/>
            <w:vAlign w:val="bottom"/>
          </w:tcPr>
          <w:p>
            <w:pPr>
              <w:spacing w:after="0"/>
              <w:rPr>
                <w:sz w:val="20"/>
                <w:szCs w:val="20"/>
                <w:color w:val="auto"/>
              </w:rPr>
            </w:pPr>
          </w:p>
        </w:tc>
      </w:tr>
      <w:tr>
        <w:trPr>
          <w:trHeight w:val="249"/>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1"/>
                <w:szCs w:val="2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60" w:type="dxa"/>
            <w:vAlign w:val="bottom"/>
            <w:shd w:val="clear" w:color="auto" w:fill="CCEEFF"/>
          </w:tcPr>
          <w:p>
            <w:pPr>
              <w:spacing w:after="0"/>
              <w:rPr>
                <w:sz w:val="22"/>
                <w:szCs w:val="22"/>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branch sale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22"/>
                <w:szCs w:val="22"/>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5,739</w:t>
            </w:r>
          </w:p>
        </w:tc>
        <w:tc>
          <w:tcPr>
            <w:tcW w:w="60" w:type="dxa"/>
            <w:vAlign w:val="bottom"/>
          </w:tcPr>
          <w:p>
            <w:pPr>
              <w:spacing w:after="0"/>
              <w:rPr>
                <w:sz w:val="21"/>
                <w:szCs w:val="21"/>
                <w:color w:val="auto"/>
              </w:rPr>
            </w:pPr>
          </w:p>
        </w:tc>
      </w:tr>
      <w:tr>
        <w:trPr>
          <w:trHeight w:val="271"/>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42,533</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$ 40,130</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Service charges on deposit accounts totaled $12.7 million in 2017 as compared to $12.4 million during both 2016 and 2015. The 2017 increase was principally due to higher service charges on commercial accounts and a modest increase in non-sufficient funds occurrences.</w:t>
      </w:r>
    </w:p>
    <w:p>
      <w:pPr>
        <w:spacing w:after="0" w:line="73"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Interchange income totaled $8.0 million in 2017 compared to $7.9 million in 2016 and $8.5 million in 2015. The increase in interchange income in 2017 as compared to 2016 is primarily due to increased transaction volume. The decrease in interchange income in 2016 as compared to 2015 was primarily due to lower incentives under our Debit Brand Agreement with MasterCard. In addition, although transaction volume increased 1.5% in 2016 as compared to 2015, interchange revenue per transaction declined by 3.1%, primarily due to a higher mix of debit (PIN-based) versus credit (signature-based) transactions.</w:t>
      </w:r>
    </w:p>
    <w:p>
      <w:pPr>
        <w:spacing w:after="0" w:line="6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realized net gains of $11.8 million on mortgage loans during 2017, compared to $10.6 million and $7.4 million during 2016 and 2015 respectively. Mortgage loan activity is summarized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2440" w:type="dxa"/>
            <w:vAlign w:val="bottom"/>
            <w:tcBorders>
              <w:bottom w:val="single" w:sz="8" w:color="auto"/>
            </w:tcBorders>
            <w:gridSpan w:val="5"/>
          </w:tcPr>
          <w:p>
            <w:pPr>
              <w:jc w:val="center"/>
              <w:ind w:left="677"/>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320" w:type="dxa"/>
            <w:vAlign w:val="bottom"/>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83"/>
        </w:trPr>
        <w:tc>
          <w:tcPr>
            <w:tcW w:w="6320" w:type="dxa"/>
            <w:vAlign w:val="bottom"/>
          </w:tcPr>
          <w:p>
            <w:pPr>
              <w:spacing w:after="0"/>
              <w:rPr>
                <w:sz w:val="15"/>
                <w:szCs w:val="15"/>
                <w:color w:val="auto"/>
              </w:rPr>
            </w:pPr>
          </w:p>
        </w:tc>
        <w:tc>
          <w:tcPr>
            <w:tcW w:w="244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871,222</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428,249</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336,618</w:t>
            </w:r>
          </w:p>
        </w:tc>
        <w:tc>
          <w:tcPr>
            <w:tcW w:w="100" w:type="dxa"/>
            <w:vAlign w:val="bottom"/>
            <w:shd w:val="clear" w:color="auto" w:fill="CCEEFF"/>
          </w:tcPr>
          <w:p>
            <w:pPr>
              <w:spacing w:after="0"/>
              <w:rPr>
                <w:sz w:val="21"/>
                <w:szCs w:val="2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Mortgage loans sold</w:t>
            </w:r>
          </w:p>
        </w:tc>
        <w:tc>
          <w:tcPr>
            <w:tcW w:w="940" w:type="dxa"/>
            <w:vAlign w:val="bottom"/>
          </w:tcPr>
          <w:p>
            <w:pPr>
              <w:jc w:val="right"/>
              <w:spacing w:after="0"/>
              <w:rPr>
                <w:sz w:val="20"/>
                <w:szCs w:val="20"/>
                <w:color w:val="auto"/>
              </w:rPr>
            </w:pPr>
            <w:r>
              <w:rPr>
                <w:rFonts w:ascii="Arial" w:cs="Arial" w:eastAsia="Arial" w:hAnsi="Arial"/>
                <w:sz w:val="18"/>
                <w:szCs w:val="18"/>
                <w:color w:val="auto"/>
              </w:rPr>
              <w:t>423,327</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313,985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281,494</w:t>
            </w:r>
          </w:p>
        </w:tc>
        <w:tc>
          <w:tcPr>
            <w:tcW w:w="100" w:type="dxa"/>
            <w:vAlign w:val="bottom"/>
          </w:tcPr>
          <w:p>
            <w:pPr>
              <w:spacing w:after="0"/>
              <w:rPr>
                <w:sz w:val="20"/>
                <w:szCs w:val="20"/>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22"/>
                <w:szCs w:val="22"/>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increase in mortgage loan originations, sales and net gains in 2017 and 2016 as compared to 2015 is due primarily to the expansion of our mortgage-banking operations. In addition, an improving housing market has resulted in an increase in purchase money mortgage origination volume.</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During the last quarter of 2016 and the first half of 2017, we significantly expanded our mortgage-banking operations by adding new employees and opening new loan production offices (Ann Arbor, Brighton, Dearborn, Grosse Pointe, Traverse City and Troy, Michigan and Columbus and Fairlawn, Ohio). Overall, we have increased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93" w:lineRule="auto"/>
        <w:rPr>
          <w:sz w:val="20"/>
          <w:szCs w:val="20"/>
          <w:color w:val="auto"/>
        </w:rPr>
      </w:pPr>
      <w:r>
        <w:rPr>
          <w:rFonts w:ascii="Arial" w:cs="Arial" w:eastAsia="Arial" w:hAnsi="Arial"/>
          <w:sz w:val="16"/>
          <w:szCs w:val="16"/>
          <w:color w:val="auto"/>
        </w:rPr>
        <w:t>average full-time equivalent employees in mortgage lending sales and operations by 58.4% in 2017 as compared to 2016. This business expansion has increased net gains on mortgage loans and has accelerated the growth of portfolio mortgage loans and mortgage loans serviced for others, leading to increased mortgage loan interest income and mortgage loan servicing revenue. However, this expansion has also increased non-interest expenses, particularly compensation and employee benefits and occupancy. In addition, due to higher interest rates, mortgage loan refinance volume has declined in 2017 on an industry-wide basis. It is important to our future results of operations that we effectively and successfully manage this business expansion.</w:t>
      </w:r>
    </w:p>
    <w:p>
      <w:pPr>
        <w:spacing w:after="0" w:line="57" w:lineRule="exact"/>
        <w:rPr>
          <w:sz w:val="20"/>
          <w:szCs w:val="20"/>
          <w:color w:val="auto"/>
        </w:rPr>
      </w:pPr>
    </w:p>
    <w:p>
      <w:pPr>
        <w:jc w:val="both"/>
        <w:ind w:left="7" w:firstLine="360"/>
        <w:spacing w:after="0" w:line="302" w:lineRule="auto"/>
        <w:rPr>
          <w:sz w:val="20"/>
          <w:szCs w:val="20"/>
          <w:color w:val="auto"/>
        </w:rPr>
      </w:pPr>
      <w:r>
        <w:rPr>
          <w:rFonts w:ascii="Arial" w:cs="Arial" w:eastAsia="Arial" w:hAnsi="Arial"/>
          <w:sz w:val="16"/>
          <w:szCs w:val="16"/>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46" w:lineRule="exact"/>
        <w:rPr>
          <w:sz w:val="20"/>
          <w:szCs w:val="20"/>
          <w:color w:val="auto"/>
        </w:rPr>
      </w:pPr>
    </w:p>
    <w:p>
      <w:pPr>
        <w:jc w:val="both"/>
        <w:ind w:left="7" w:firstLine="360"/>
        <w:spacing w:after="0" w:line="290" w:lineRule="auto"/>
        <w:rPr>
          <w:sz w:val="20"/>
          <w:szCs w:val="20"/>
          <w:color w:val="auto"/>
        </w:rPr>
      </w:pPr>
      <w:r>
        <w:rPr>
          <w:rFonts w:ascii="Arial" w:cs="Arial" w:eastAsia="Arial" w:hAnsi="Arial"/>
          <w:sz w:val="16"/>
          <w:szCs w:val="16"/>
          <w:color w:val="auto"/>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these fair value accounting adjustments, the Loan Sales Margin would have been 2.85% in 2017, 3.25% in 2016 and 2.49% in 2015. The higher Loan Sales Margin in 2016 as compared to 2017 and 2015, was principally due to more favorable competitive conditions including wider primary-to-secondary market pricing spreads for much of that year. In 2017, our Loan Sales Margin contracted due to competitive factors. In general, as overall industry-wide mortgage loan origination levels drop, pricing becomes more competitive. The changes in the fair value accounting adjustments are primarily due to changes in the amount of commitments to originate mortgage loans for sale during each period.</w:t>
      </w:r>
    </w:p>
    <w:p>
      <w:pPr>
        <w:spacing w:after="0" w:line="58"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color w:val="auto"/>
        </w:rPr>
        <w:t>We generated net gains on securities of $0.3 million, $0.6 million and $0.02 million in 2017, 2016 and 2015, respectively. The 2017 net gain was due primarily to a $0.045 million increase in the fair value of trading securities and $17.3 million of securities sales that produced net gains of $0.215 million. The 2016 net gain was due primarily to a $0.3 million increase in the fair value of trading securities and $64.1 million of securities sales that produced net gains of $0.3 million. The 2015 net gain was due primarily to the sales of U.S. agency residential mortgage-backed securities that were partially offset by a $0.06 million decline in the fair value of trading securities. We recorded no net impairment losses in 2017, 2016 or 2015 for other than temporary impairment of securities available for sale.</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GAINS AND LOSSES ON SECURITIES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Proceeds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Gains (1)</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Losses (2)</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2017</w:t>
            </w:r>
          </w:p>
        </w:tc>
        <w:tc>
          <w:tcPr>
            <w:tcW w:w="40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17,308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1"/>
                <w:szCs w:val="21"/>
                <w:color w:val="auto"/>
              </w:rPr>
            </w:pPr>
          </w:p>
        </w:tc>
      </w:tr>
      <w:tr>
        <w:trPr>
          <w:trHeight w:val="230"/>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2016</w:t>
            </w:r>
          </w:p>
        </w:tc>
        <w:tc>
          <w:tcPr>
            <w:tcW w:w="40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r>
      <w:tr>
        <w:trPr>
          <w:trHeight w:val="256"/>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2015</w:t>
            </w:r>
          </w:p>
        </w:tc>
        <w:tc>
          <w:tcPr>
            <w:tcW w:w="40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Gains in 2017 and 2016 include $0.045 million and $0.262 million, respectively related to an increase in the fair value of trading securities.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Losses in 2015 include $0.055 million related to a decrease in the fair value of trading securities.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Mortgage loan servicing generated net earnings of $1.6 million, $2.2 million and $1.8 million in 2017, 2016 and 2015, respectively. This activity is summarized in the following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SERVICING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 servicing:</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Revenue,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4,391</w:t>
            </w:r>
          </w:p>
        </w:tc>
        <w:tc>
          <w:tcPr>
            <w:tcW w:w="16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0"/>
                <w:szCs w:val="20"/>
                <w:color w:val="auto"/>
              </w:rPr>
            </w:pPr>
          </w:p>
        </w:tc>
      </w:tr>
      <w:tr>
        <w:trPr>
          <w:trHeight w:val="24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change due to price</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Fair value change due to pay-downs</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Impairment (charge) recovery</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r>
      <w:tr>
        <w:trPr>
          <w:trHeight w:val="271"/>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Effective on January 1, 2017, we adopted the fair value accounting method for capitalized mortgage loan servicing rights.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capitalized mortgage loan servicing rights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MORTGAGE LOAN SERVICING RIGHTS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accounting</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as adjusted</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00" w:type="dxa"/>
            <w:vAlign w:val="bottom"/>
            <w:shd w:val="clear" w:color="auto" w:fill="CCEEFF"/>
          </w:tcPr>
          <w:p>
            <w:pPr>
              <w:spacing w:after="0"/>
              <w:rPr>
                <w:sz w:val="20"/>
                <w:szCs w:val="20"/>
                <w:color w:val="auto"/>
              </w:rPr>
            </w:pPr>
          </w:p>
        </w:tc>
      </w:tr>
      <w:tr>
        <w:trPr>
          <w:trHeight w:val="23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0"/>
                <w:szCs w:val="20"/>
                <w:color w:val="auto"/>
              </w:rPr>
            </w:pPr>
          </w:p>
        </w:tc>
      </w:tr>
      <w:tr>
        <w:trPr>
          <w:trHeight w:val="24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w:t>
            </w:r>
          </w:p>
        </w:tc>
      </w:tr>
      <w:tr>
        <w:trPr>
          <w:trHeight w:val="23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r>
      <w:tr>
        <w:trPr>
          <w:trHeight w:val="24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tcBorders>
              <w:top w:val="single" w:sz="8" w:color="CCEEFF"/>
            </w:tcBorders>
          </w:tcPr>
          <w:p>
            <w:pPr>
              <w:spacing w:after="0"/>
              <w:rPr>
                <w:sz w:val="19"/>
                <w:szCs w:val="19"/>
                <w:color w:val="auto"/>
              </w:rPr>
            </w:pPr>
          </w:p>
        </w:tc>
      </w:tr>
      <w:tr>
        <w:trPr>
          <w:trHeight w:val="28"/>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at December 31,</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At December 31, 2017, we were servicing approximately $1.82 billion in mortgage loans for others on which servicing rights have been capitalized. This servicing portfolio had a weighted average coupon rate of 4.17% and a weighted average service fee of approximately 25.8 basis points. Remaining capitalized mortgage loan servicing rights at December 31, 2017 totaled $15.7 million, representing approximately 86 basis points on the related amount of mortgage loans serviced for others.</w:t>
      </w:r>
    </w:p>
    <w:p>
      <w:pPr>
        <w:spacing w:after="0" w:line="6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Investment and insurance commissions totaled $2.0 million in 2017, as compared to $1.6 million and $1.8 million in 2016 and 2015, respectively. The increase in 2017 as compared to 2016 was due primarily to growth in sales and assets under management. The decline in 2016 as compared to 2015 was due primarily to open sales positions during part of that year.</w:t>
      </w:r>
    </w:p>
    <w:p>
      <w:pPr>
        <w:spacing w:after="0" w:line="5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earned $1.1 million, $1.1 million and $1.3 million in 2017, 2016 and 2015, respectively, on our separate account bank owned life insurance principally as a result of increases in the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$54.6 million and $54.0 million at December 31, 2017 and 2016, respectively.</w:t>
      </w:r>
    </w:p>
    <w:p>
      <w:pPr>
        <w:spacing w:after="0" w:line="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On April 29, 2015 the Bank entered into a Purchase and Assumption Agreement (“PAA”) with Isabella Bank (based in Mt. Pleasant, Michigan). Pursuant to the PAA, on August 28, 2015, we sold the fixed assets, real property and certain other assets of our bank branch located in Midland, Michigan (the “Midland Branch”) to Isabella Bank. The deposit liabilities of the Midland Branch were assumed by Isabella Bank. Under the terms of the PAA, Isabella Bank paid a premium of $0.6 million (which was equal to 6.0% of the average deposit liabilities of $9.7 million based on the 20-day average ending two business days prior to the closing date of August 28, 2015) and $0.85 million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real property and fixed assets (including the ATM). The real property and the fixed assets had a net book value of approximately $0.2 million as of August 28, 2015. We recorded a net gain of $1.2 million in the third quarter of 2015 on the sale of the Midland Branch.</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Other non-interest income totaled $5.1 million, $5.8 million and $5.7 million in 2017, 2016 and 2015, respectively. The decrease in 2017 as compared to 2016 and 2015 is primarily due to a reduction in title insurance fees and lower rental income on other real estate.</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is an important component of our results of operations. We strive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cost structure.</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Non-interest expense totaled $92.1 million in 2017, $90.3 million in 2016, and $88.5 million in 2015. The components of non-interest expense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8"/>
          </w:tcPr>
          <w:p>
            <w:pPr>
              <w:jc w:val="center"/>
              <w:ind w:left="331"/>
              <w:spacing w:after="0"/>
              <w:rPr>
                <w:sz w:val="20"/>
                <w:szCs w:val="20"/>
                <w:color w:val="auto"/>
              </w:rPr>
            </w:pPr>
            <w:r>
              <w:rPr>
                <w:rFonts w:ascii="Arial" w:cs="Arial" w:eastAsia="Arial" w:hAnsi="Arial"/>
                <w:sz w:val="14"/>
                <w:szCs w:val="14"/>
                <w:b w:val="1"/>
                <w:bCs w:val="1"/>
                <w:color w:val="auto"/>
                <w:w w:val="91"/>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5"/>
                <w:szCs w:val="15"/>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35,397</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32,677</w:t>
            </w:r>
          </w:p>
        </w:tc>
        <w:tc>
          <w:tcPr>
            <w:tcW w:w="100" w:type="dxa"/>
            <w:vAlign w:val="bottom"/>
            <w:shd w:val="clear" w:color="auto" w:fill="CCEEFF"/>
          </w:tcPr>
          <w:p>
            <w:pPr>
              <w:spacing w:after="0"/>
              <w:rPr>
                <w:sz w:val="21"/>
                <w:szCs w:val="21"/>
                <w:color w:val="auto"/>
              </w:rPr>
            </w:pP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20"/>
                <w:szCs w:val="20"/>
                <w:color w:val="auto"/>
              </w:rPr>
            </w:pPr>
          </w:p>
        </w:tc>
      </w:tr>
      <w:tr>
        <w:trPr>
          <w:trHeight w:val="24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Compensation and employee benefits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48,186</w:t>
            </w:r>
          </w:p>
        </w:tc>
        <w:tc>
          <w:tcPr>
            <w:tcW w:w="100" w:type="dxa"/>
            <w:vAlign w:val="bottom"/>
          </w:tcPr>
          <w:p>
            <w:pPr>
              <w:spacing w:after="0"/>
              <w:rPr>
                <w:sz w:val="19"/>
                <w:szCs w:val="19"/>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net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Interchange expense</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2"/>
                <w:szCs w:val="22"/>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Merger related expenses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(credit) for loss reimbursement on sold loans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 expense</w:t>
            </w: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Loss on sale of payment plan business</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Total non-interest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92,082</w:t>
            </w:r>
          </w:p>
        </w:tc>
        <w:tc>
          <w:tcPr>
            <w:tcW w:w="16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90,347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88,450</w:t>
            </w:r>
          </w:p>
        </w:tc>
        <w:tc>
          <w:tcPr>
            <w:tcW w:w="100" w:type="dxa"/>
            <w:vAlign w:val="bottom"/>
          </w:tcPr>
          <w:p>
            <w:pPr>
              <w:spacing w:after="0"/>
              <w:rPr>
                <w:sz w:val="19"/>
                <w:szCs w:val="19"/>
                <w:color w:val="auto"/>
              </w:rPr>
            </w:pPr>
          </w:p>
        </w:tc>
      </w:tr>
      <w:tr>
        <w:trPr>
          <w:trHeight w:val="21"/>
        </w:trPr>
        <w:tc>
          <w:tcPr>
            <w:tcW w:w="6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Compensation expense, which is primarily salaries, totaled $35.4 million, $33.1 million and $32.7 million in 2017, 2016 and 2015, respectively. The increase in 2017 as compared to 2016 is primarily due to annual merit based salary increases and a 6.8% rise in average total full-time equivalent employees due principally to the aforementioned expansion of our mortgage banking operations. The increase in 2016 as compared to 2015 is primarily due to annual merit based salary increases. 2016 average total full-time equivalent employee levels were unchanged compared to 2015.</w:t>
      </w:r>
    </w:p>
    <w:p>
      <w:pPr>
        <w:spacing w:after="0" w:line="6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Performance-based compensation expense totaled $9.9 million, $7.9 million and $7.4 million in 2017, 2016 and 2015, respectively. The increases in 2017 as compared to 2016, and in 2016 as compared to 2015, are both primarily related to higher compensation under our Management Incentive Compensation Plan (“MICP”) based on our performance relative to plan targets and increased mortgage loan officer retention bonuses. In computing MICP results in 2017, our Board of Directors determined that it was appropriate to exclude the impact of the $6.0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additional income tax expense related to the remeasurement of our DTA as described earlier under “Recent Developments”, consistent with the prior practice of excluding unique, one-time, adjustments to our reported financial results.</w:t>
      </w:r>
    </w:p>
    <w:p>
      <w:pPr>
        <w:spacing w:after="0" w:line="3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maintain performance-based compensation plans. In addition to commissions and cash incentive awards, such plans include an employee stock ownership plan (ESOP) and a long-term equity based incentive plan. The amount of expense recognized in 2017, 2016 and 2015 for share-based awards under our long-term equity based incentive plan was $1.6 million, $1.5 million and $1.4 million, respectively. In 2017, 2016 and 2015, the Board and Compensation Committee of the Board authorized the grant of restricted stock and performance share awards under the plan.</w:t>
      </w:r>
    </w:p>
    <w:p>
      <w:pPr>
        <w:spacing w:after="0" w:line="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Payroll taxes and employee benefits expense totaled $9.8 million, $8.6 million and $8.1 million in 2017, 2016 and 2015, respectively. The increase in 2017 as compared to 2016 is primarily due to a $0.6 million increase in payroll taxes, a $0.4 million increase in health care insurance and a $0.2 million increase in recruiting costs. The increase in 2016 as compared to 2015 is primarily due to a $0.2 million increase in our 401(k) plan match and a $0.2 million increase in employee training costs (primarily sales training). In 2015, we added auto-enrollment to our 401(k) plan. In 2016, we increased our 401(k) plan match from 2% to 3% of eligible compensation.</w:t>
      </w:r>
    </w:p>
    <w:p>
      <w:pPr>
        <w:spacing w:after="0" w:line="85"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Occupancy expenses, net, totaled $8.1 million, $8.0 million and $8.4 million in 2017, 2016 and 2015, respectively. The increase in 2017 as compared to 2016 is primarily due to increased lease costs for new loan production offices related to the aforementioned expansion of our mortgage banking operations. The decrease in 2016 as compared to 2015 is primarily due to a decline in utilities and real estate property taxes due to branch closings or sales that took place during 2015 as well as a decline in leasehold improvement depreciation expense at Mepco related to its former Chicago location.</w:t>
      </w:r>
    </w:p>
    <w:p>
      <w:pPr>
        <w:spacing w:after="0" w:line="6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Data processing expenses totaled $7.7 million, $8.0 million, and $7.9 million in 2017, 2016 and 2015, respectively. The decrease in 2017 as compared to 2016 is primarily due to a $0.8 million decline related to the sale of our payment processing business in May 2017 that was partially offset by a $0.5 million increase related to higher mobile banking activity and software costs for new or expanded lending systems. Although data processing expenses were relatively unchanged in 2016 as compared to 2015 on a consolidated basis, such expenses declined by $0.6 million at Mepco (due primarily to a decrease in software amortization); however, this decline was offset by a comparable increase in such expenses at the Bank (various new or expanded electronic banking services and network security costs).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Furniture, fixtures and equipment expense was relatively unchanged during 2017, 2016 and 2015.</w:t>
      </w:r>
    </w:p>
    <w:p>
      <w:pPr>
        <w:spacing w:after="0" w:line="11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Communications expense decreased by $0.5 million in 2017 as compared to 2016 and increased by $0.2 million in 2016 as compared to 2015. The decrease in 2017 as compared to 2016 is primarily due to the sale of our payment plan processing business in May 2017, reduced checking account related direct mail and a change in our telecommunications provider as well as 2016 including a debit card mailing. The increase in 2016 as compared to 2015 was due primarily to an increase in postage costs principally as a result of mailing new chip-enabled debit cards to our entire debit card customer base.</w:t>
      </w:r>
    </w:p>
    <w:p>
      <w:pPr>
        <w:spacing w:after="0" w:line="64"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Loan and collection expenses primarily reflect costs related to the management and collection of non-performing loans and other problem credits. These expenses have declined steadily during the past several years primarily due to decreases in non-performing loans, new loan defaults and watch/problem credits as well as recoveries of previously incurred collection costs.</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Advertising expense totaled $1.9 million, $1.9 million, and $2.1 million in 2017, 2016 and 2015, respectively. The decrease in 2017 and 2016 as compared to 2015 was primarily due to declines in outdoor (billboard) advertising, television and radio advertising and market research that were partially offset by an increase in checking account acquisition costs (principally direct mail).</w:t>
      </w:r>
    </w:p>
    <w:p>
      <w:pPr>
        <w:spacing w:after="0" w:line="7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Legal and professional fees totaled $1.9 million, $1.7 million, and $2.0 million in 2017, 2016 and 2015, respectively. The increase in 2017 as compared to 2016 is primarily due to higher co-sourced internal audit costs and higher consulting costs for certain deposit account programs. The decrease in 2016 as compared to 2015 was due primarily to a $0.4 million decline in such costs at Mepco resulting from the resolution of certain litigation matters and a related reduction in legal fees.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Interchange expense primarily represents fees paid to our core information systems processor and debit card licensor related to debit card and ATM transactions. This expense was relatively unchanged during 2017, 2016 and 2015.</w:t>
      </w:r>
    </w:p>
    <w:p>
      <w:pPr>
        <w:spacing w:after="0" w:line="3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FDIC deposit insurance expense totaled $0.9 million, $1.0 million, and $1.4 million in 2017, 2016 and 2015, respectively. The declines in 2017 and 2016 as compared to 2015 principally results from the FDIC Deposit Insurance Fund reserve ratio reaching a 1.15% reserve ratio at June 30, 2016, which triggered a new assessment method and generally lower deposit insurance premiums for banks with less than $10 billion in assets.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Supplies expense has declined over the past two years consistent with our cost reduction efforts including “go-green” initiatives to reduce paper usage and printing.</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Credit card and bank service fees primarily relate to card processing fees incurred by Mepco in its payment plan processing business. This business was sold in May 2017. (See “Recent Developments.”)</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changes in costs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7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$1.6 million and $1.9 million at December 31, 2017 and 2016 respectively. See note #7 to the Consolidated Financial Statements for a schedule of future amortization of intangible assets.</w:t>
      </w:r>
    </w:p>
    <w:p>
      <w:pPr>
        <w:spacing w:after="0" w:line="6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Merger related expenses in 2017 primarily represent legal and investment banking fees incurred with respect to our pending acquisition of TCSB. (See “Recent Developments.”)</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provision for loss reimbursement on sold loans was an expense of $0.17 million and $0.03 million in 2017 and 2016, respectively, compared to a credit of $0.06 million in 2015. This provision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reserve for loss reimbursements on sold mortgage loans totaled $0.67 million and $0.56 million at December 31, 2017 and 2016, respectively. This reserve is included in accrued expenses and other liabilities in our Consolidated Statements of Financial Condition. We believe that the amounts that we have accrued for incurred losses on sold mortgage loans are appropriate based upon our prior experience and other assumptions. However, future losses could exceed our current estimate.</w:t>
      </w:r>
    </w:p>
    <w:p>
      <w:pPr>
        <w:spacing w:after="0" w:line="7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Net (gains) losses on other real estate and repossessed assets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net gain of $0.6 million in 2017 was primarily due to the sale of a commercial property in the fourth quarter of that year. The net loss of $0.25 million in 2016 was primarily due to $0.46 million of write-downs on a group of commercial income-producing properties that were subsequently sold in 2017. The net gain of $0.2 million in 2015 primarily reflected stable to improving real estate prices.</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incurred a $2.3 million expense in 2016 for the settlement of a litigation matter as described earlier under “Recent Developments.”</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incurred a $0.3 million loss in 2016 on the expected sale of Mepco’s payment plan business as described earlier under “Recent Developments.”</w:t>
      </w:r>
    </w:p>
    <w:p>
      <w:pPr>
        <w:spacing w:after="0" w:line="62"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Other non-interest expenses totaled $4.7 million, $4.7 million, and $5.0 million in 2017, 2016 and 2015, respectively. The $0.3 million decrease in 2017 and 2016 as compared to 2015 is primarily due to declines in corporate insurance costs, vehicle service contract counterparty contingency expense and fraud costs related to deposit account and debit card activities.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an income tax expense of $18.0 million, $10.1 million and $9.4 million in 2017,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2017 includes an additional $6.0 million of income tax expense related to the remeasurement of our DTA as described earlier under “Recent Developments.”</w:t>
      </w:r>
    </w:p>
    <w:p>
      <w:pPr>
        <w:spacing w:after="0" w:line="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actual federal income tax expense is different than the amount computed by applying our statutory federal income tax rate to our pre-tax income primarily due to tax-exempt interest income and tax-exempt income from the increase in the cash surrender value on life insurance (and for 2017, the remeasurement of our DTA as well). As a result of the reduced federal corporate income tax rate effective January 1, 2018, we expect our actual federal income tax to be approximately 19% to 20% of our income before income tax.</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 addition, 2016 included a $0.3 million income tax benefit resulting from the adoption of FASB ASU 2016-09 “Compensation – Stock Compensation (718) Improvements to Employee Share-Based Payment Accounting.”</w:t>
      </w:r>
    </w:p>
    <w:p>
      <w:pPr>
        <w:spacing w:after="0" w:line="6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DTA based on the consideration of all available evidence using a “more likely than not” standard. The ultimate realization of this asset is primarily based on generating future income. We concluded at December 31, 2017 and 2016 that the realization of substantially all of our DTA continues to be more likely than not.</w:t>
      </w:r>
    </w:p>
    <w:p>
      <w:pPr>
        <w:spacing w:after="0" w:line="7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We had maintained a valuation allowance against our DTA of approximately $1.1 million at December 31, 2016. This valuation allowance on our DTA related to state income taxes at Mepco. In this instance, we determined that the future realization of this particular DTA was not more likely than not. That conclusion was based on the pending sale of Mepco’s payment plan business. After accounting for the May 2017 sale of our payment plan business, all that remained of this DTA was loss carryforwards that we wrote off against the related valuation allowance as of June 30, 2017 as we will no longer be doing business in those states.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Summary. </w:t>
      </w:r>
      <w:r>
        <w:rPr>
          <w:rFonts w:ascii="Arial" w:cs="Arial" w:eastAsia="Arial" w:hAnsi="Arial"/>
          <w:sz w:val="17"/>
          <w:szCs w:val="17"/>
          <w:color w:val="auto"/>
        </w:rPr>
        <w:t>Our total assets increased to $2.79 billion at December 31, 2017, compared to $2.55 billion at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loans. Loans, excluding loans held for sale (“Portfolio Loans”), totaled $2.02 billion at December 31, 2017, an increase of 25.5% from $1.61 billion at December 31, 2016. (See “Portfolio Loans and asset quality”). The increase in Portfolio Loans during the last few years is part of our overall strategy to grow revenues, earnings and improve our operating leverage by increasing our loans to deposits ratio. The expansion of our mortgage banking operations, as described earlier, is part of this strategy along with continuing to increase our commercial and consumer installment lending.</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Deposits totaled $2.40 billion at December 31, 2017, compared to $2.23 billion at December 31, 2016. The $174.8 million increase in total deposits during the period reflects growth in all categories, except time deposits, which declined by $79.0 million. The decline in time deposits primarily reflects maturities with one municipal customer, where we elected to allow the deposits to run-off rather than rebidding for these funds.</w:t>
      </w:r>
    </w:p>
    <w:p>
      <w:pPr>
        <w:spacing w:after="0" w:line="7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We maintain diversified securities portfolios, which include obligations of U.S. government-sponsored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by states and 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 Securities available for sale declined by $87.7 million during 2017 as these funds were utilized to support net Portfolio Loan growth.</w:t>
      </w:r>
    </w:p>
    <w:p>
      <w:pPr>
        <w:spacing w:after="0" w:line="8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adopted FASB ASU 2017-08, “Receivables-Nonrefundable Fees and Other Costs (Subtopic 310-20) Premium Amortization on Purchased Callable Debt Securities” during the first quarter of 2017 using a modified retrospective approach. As a result, the amortized cost of securities as of January 1, 2017 was adjusted lower by $0.46 million (see note #1 to the Consolidated Financial Statements).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net impairment losses related to other than temporary impairment on securities available for sale in 2017, 2016 or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Fair</w:t>
            </w:r>
          </w:p>
        </w:tc>
      </w:tr>
      <w:tr>
        <w:trPr>
          <w:trHeight w:val="183"/>
        </w:trPr>
        <w:tc>
          <w:tcPr>
            <w:tcW w:w="6220" w:type="dxa"/>
            <w:vAlign w:val="bottom"/>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Losses</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r>
      <w:tr>
        <w:trPr>
          <w:trHeight w:val="196"/>
        </w:trPr>
        <w:tc>
          <w:tcPr>
            <w:tcW w:w="6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$ 523,520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$ 3,197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$ 3,792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$ 522,925</w:t>
            </w:r>
          </w:p>
        </w:tc>
        <w:tc>
          <w:tcPr>
            <w:tcW w:w="100" w:type="dxa"/>
            <w:vAlign w:val="bottom"/>
          </w:tcPr>
          <w:p>
            <w:pPr>
              <w:spacing w:after="0"/>
              <w:rPr>
                <w:sz w:val="20"/>
                <w:szCs w:val="20"/>
                <w:color w:val="auto"/>
              </w:rPr>
            </w:pPr>
          </w:p>
        </w:tc>
      </w:tr>
      <w:tr>
        <w:trPr>
          <w:trHeight w:val="24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610,616</w:t>
            </w:r>
          </w:p>
        </w:tc>
        <w:tc>
          <w:tcPr>
            <w:tcW w:w="10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firstLine="360"/>
        <w:spacing w:after="0" w:line="287" w:lineRule="auto"/>
        <w:rPr>
          <w:sz w:val="20"/>
          <w:szCs w:val="20"/>
          <w:color w:val="auto"/>
        </w:rPr>
      </w:pPr>
      <w:r>
        <w:rPr>
          <w:rFonts w:ascii="Arial" w:cs="Arial" w:eastAsia="Arial" w:hAnsi="Arial"/>
          <w:sz w:val="16"/>
          <w:szCs w:val="16"/>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LOAN PORTFOLIO COMPOSITION</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1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12"/>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(1)</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Residential first mortgages</w:t>
            </w:r>
          </w:p>
        </w:tc>
        <w:tc>
          <w:tcPr>
            <w:tcW w:w="22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672,592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453,348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Residential home equity and other junior mortgages</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136,560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Construction and land development</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143,188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77,287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(2)</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538,880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525,748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291,091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234,632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231,786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206,607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gridSpan w:val="4"/>
          </w:tcPr>
          <w:p>
            <w:pPr>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2,018,817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1,608,248</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640" w:type="dxa"/>
            <w:vAlign w:val="bottom"/>
            <w:gridSpan w:val="4"/>
          </w:tcPr>
          <w:p>
            <w:pPr>
              <w:spacing w:after="0"/>
              <w:rPr>
                <w:sz w:val="20"/>
                <w:szCs w:val="20"/>
                <w:color w:val="auto"/>
              </w:rPr>
            </w:pPr>
            <w:r>
              <w:rPr>
                <w:rFonts w:ascii="Arial" w:cs="Arial" w:eastAsia="Arial" w:hAnsi="Arial"/>
                <w:sz w:val="18"/>
                <w:szCs w:val="18"/>
                <w:color w:val="auto"/>
                <w:w w:val="92"/>
              </w:rPr>
              <w:t>(1)  Includes both residential and non-residential commercial loans secured by real estate.</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5"/>
          </w:tcPr>
          <w:p>
            <w:pPr>
              <w:spacing w:after="0"/>
              <w:rPr>
                <w:sz w:val="20"/>
                <w:szCs w:val="20"/>
                <w:color w:val="auto"/>
              </w:rPr>
            </w:pPr>
            <w:r>
              <w:rPr>
                <w:rFonts w:ascii="Arial" w:cs="Arial" w:eastAsia="Arial" w:hAnsi="Arial"/>
                <w:sz w:val="18"/>
                <w:szCs w:val="18"/>
                <w:color w:val="auto"/>
                <w:w w:val="92"/>
              </w:rPr>
              <w:t>(2)  Includes loans secured by multi-family residential and non-farm, non-residential property.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NON-PERFORMING ASSETS (1)</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1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gridSpan w:val="3"/>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gridSpan w:val="3"/>
          </w:tcPr>
          <w:p>
            <w:pPr>
              <w:spacing w:after="0"/>
              <w:rPr>
                <w:sz w:val="20"/>
                <w:szCs w:val="20"/>
                <w:color w:val="auto"/>
              </w:rPr>
            </w:pPr>
            <w:r>
              <w:rPr>
                <w:rFonts w:ascii="Arial" w:cs="Arial" w:eastAsia="Arial" w:hAnsi="Arial"/>
                <w:sz w:val="18"/>
                <w:szCs w:val="18"/>
                <w:color w:val="auto"/>
              </w:rPr>
              <w:t>Other real estate and repossessed assets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5,004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18,368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00" w:type="dxa"/>
            <w:vAlign w:val="bottom"/>
            <w:tcBorders>
              <w:top w:val="single" w:sz="8" w:color="CCEEFF"/>
            </w:tcBorders>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0.83%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Non-performing assets to total assets</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275.99</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loans classified as “troubled debt restructured” that are performing and vehicle service contract counterparty receivables, net.</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6" w:name="page57"/>
    <w:bookmarkEnd w:id="56"/>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TROUBLED DEBT RESTRUCTURINGS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center"/>
              <w:ind w:left="637"/>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60,115</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0"/>
                <w:szCs w:val="20"/>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4,506</w:t>
            </w:r>
            <w:r>
              <w:rPr>
                <w:rFonts w:ascii="Arial" w:cs="Arial" w:eastAsia="Arial" w:hAnsi="Arial"/>
                <w:sz w:val="14"/>
                <w:szCs w:val="14"/>
                <w:color w:val="auto"/>
              </w:rPr>
              <w:t>(3)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0"/>
                <w:szCs w:val="20"/>
                <w:color w:val="auto"/>
              </w:rPr>
            </w:pPr>
          </w:p>
        </w:tc>
      </w:tr>
      <w:tr>
        <w:trPr>
          <w:trHeight w:val="277"/>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56,873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14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7"/>
          </w:tcPr>
          <w:p>
            <w:pPr>
              <w:jc w:val="center"/>
              <w:ind w:left="637"/>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70,286</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3,565</w:t>
            </w:r>
          </w:p>
        </w:tc>
        <w:tc>
          <w:tcPr>
            <w:tcW w:w="160" w:type="dxa"/>
            <w:vAlign w:val="bottom"/>
          </w:tcPr>
          <w:p>
            <w:pPr>
              <w:spacing w:after="0"/>
              <w:rPr>
                <w:sz w:val="20"/>
                <w:szCs w:val="20"/>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4,071</w:t>
            </w:r>
            <w:r>
              <w:rPr>
                <w:rFonts w:ascii="Arial" w:cs="Arial" w:eastAsia="Arial" w:hAnsi="Arial"/>
                <w:sz w:val="14"/>
                <w:szCs w:val="14"/>
                <w:color w:val="auto"/>
              </w:rPr>
              <w:t>(3)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Pr>
          <w:p>
            <w:pPr>
              <w:spacing w:after="0"/>
              <w:rPr>
                <w:sz w:val="20"/>
                <w:szCs w:val="20"/>
                <w:color w:val="auto"/>
              </w:rPr>
            </w:pPr>
          </w:p>
        </w:tc>
      </w:tr>
      <w:tr>
        <w:trPr>
          <w:trHeight w:val="277"/>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63,797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117"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color w:val="auto"/>
        </w:rPr>
        <w:t>Non-performing loans totaled $8.2 million, $13.4 million and $10.7 million at December 31, 2017, 2016 and 2015, respectively. The decline in 2017 as compared to 2016 primarily reflects the pay-off or liquidation of non-performing commercial loans. The increase in 2016 as compared to 2015 is primarily due to the default of one commercial loan relationship and one mortgage loan relationship in the fourth quarter of 2016. In general, stable economic conditions in our market areas, as well as our collection and resolution efforts, have resulted in relatively low levels non-performing loans the last few years. However, we are still experiencing some loan defaults, particularly related to commercial loans secured by income-producing property and mortgage loans secured by resort/vacation property.</w:t>
      </w:r>
    </w:p>
    <w:p>
      <w:pPr>
        <w:spacing w:after="0" w:line="81"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$60.1 million, or 3.0% of total Portfolio Loans, and $70.3 million, or 4.4% of total Portfolio Loans, at December 31, 2017 and 2016, respectively. The decrease in the amount of performing TDRs during 2017 reflects declines in both commercial loan and mortgage loan TDRs due primarily to payoffs and amortization.</w:t>
      </w:r>
    </w:p>
    <w:p>
      <w:pPr>
        <w:spacing w:after="0" w:line="79"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ORE and repossessed assets totaled $1.6 million at December 31, 2017, compared to $5.0 million at December 31, 2016. The decrease in ORE during 2017 primarily reflects the sale of properties during the year being in excess of the inward migration of new properties.</w:t>
      </w:r>
    </w:p>
    <w:p>
      <w:pPr>
        <w:spacing w:after="0" w:line="73"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ALLOCATION OF THE ALLOWANCE FOR LOAN LOSSES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shd w:val="clear" w:color="auto" w:fill="CCEEFF"/>
          </w:tcPr>
          <w:p>
            <w:pPr>
              <w:spacing w:after="0"/>
              <w:rPr>
                <w:sz w:val="21"/>
                <w:szCs w:val="2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CEEFF"/>
          </w:tcPr>
          <w:p>
            <w:pPr>
              <w:spacing w:after="0"/>
              <w:rPr>
                <w:sz w:val="22"/>
                <w:szCs w:val="22"/>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1"/>
                <w:szCs w:val="21"/>
                <w:color w:val="auto"/>
              </w:rPr>
            </w:pPr>
          </w:p>
        </w:tc>
      </w:tr>
      <w:tr>
        <w:trPr>
          <w:trHeight w:val="27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Some loans will not be repaid in full. Therefore, an allowance for loan losses (“AFLL”) is maintained at a level which represents our best estimate of losses incurred. In determining the AFLL and the related provision for loan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46"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6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AFLL increased $2.4 million to $22.6 million at December 31, 2017 from $20.2 million at December 31, 2016 and was equal to 1.12% of total Portfolio Loans at December 31, 2017 compared to 1.26% at December 31, 2016.</w:t>
      </w:r>
    </w:p>
    <w:p>
      <w:pPr>
        <w:spacing w:after="0" w:line="6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Three of the four components of the allowance for loan losses outlined above increased during 2017. The allowance for loan losses related to specific loans decreased $2.3 million in 2017 due primarily to a $14.3 million, or 17.9%,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$0.7 million in 2017 primarily due to an increase in the balance of such loans included in this component to $27.2 million at December 31, 2017 from $11.8 million at December 31, 2016. The allowance for loan losses related to historical losses increased $2.2 million during 2017 due principally to slight upward adjustments in our probability of default and expected loss rates for commercial loans, an additional component of approximately $0.6 million added for loans secured by commercial real estate due primarily to emerging risks in this sector (such as retail store closings and potential overdevelopment in certain markets) and Portfolio Loan growth. We also extended our historical lookback period to be more representative of the probability of default and account for infrequent migration events and extremely low levels of watch credits. The allowance for loan losses related to subjective factors increased $1.7 million during 2017 primarily due to Portfolio Loan growth.</w:t>
      </w:r>
    </w:p>
    <w:p>
      <w:pPr>
        <w:spacing w:after="0" w:line="6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By comparison, three of the four components of the allowance for loan losses outlined above declined during 2016. The allowance for loan losses related to specific loans decreased $1.8 million in 2016 due primarily to a $9.3 million, or 10.4%, decline in the balance of individually impaired loans as well as charge-offs. The allowance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loan losses related to other adversely rated commercial loans decreased $0.6 million in 2016 as the total balance of such loans included in this component decreased to $11.8 million at December 31, 2016, from $27.8 million at December 31, 2015. The allowance for loan losses related to historical losses decreased $0.3 million during 2016 due principally to the use of a lower estimated probability of default for homogenous mortgage and installment loans (resulting from lower loan net charge-offs and reduced levels of new defaults on loans over the relevant measurement period). The allowance for loan losses related to subjective factors increased $0.4 million due primarily to Portfolio Loan growth.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LOANS AND UNFUNDED COMMITMENTS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72"/>
              <w:spacing w:after="0" w:line="160" w:lineRule="exact"/>
              <w:rPr>
                <w:sz w:val="20"/>
                <w:szCs w:val="20"/>
                <w:color w:val="auto"/>
              </w:rPr>
            </w:pPr>
            <w:r>
              <w:rPr>
                <w:rFonts w:ascii="Arial" w:cs="Arial" w:eastAsia="Arial" w:hAnsi="Arial"/>
                <w:sz w:val="14"/>
                <w:szCs w:val="14"/>
                <w:b w:val="1"/>
                <w:bCs w:val="1"/>
                <w:color w:val="auto"/>
                <w:w w:val="91"/>
              </w:rPr>
              <w:t>Unfunded</w:t>
            </w:r>
          </w:p>
        </w:tc>
        <w:tc>
          <w:tcPr>
            <w:tcW w:w="180" w:type="dxa"/>
            <w:vAlign w:val="bottom"/>
          </w:tcPr>
          <w:p>
            <w:pPr>
              <w:spacing w:after="0"/>
              <w:rPr>
                <w:sz w:val="13"/>
                <w:szCs w:val="13"/>
                <w:color w:val="auto"/>
              </w:rPr>
            </w:pPr>
          </w:p>
        </w:tc>
        <w:tc>
          <w:tcPr>
            <w:tcW w:w="740" w:type="dxa"/>
            <w:vAlign w:val="bottom"/>
          </w:tcPr>
          <w:p>
            <w:pPr>
              <w:jc w:val="right"/>
              <w:ind w:right="143"/>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40"/>
              <w:spacing w:after="0" w:line="160" w:lineRule="exact"/>
              <w:rPr>
                <w:sz w:val="20"/>
                <w:szCs w:val="20"/>
                <w:color w:val="auto"/>
              </w:rPr>
            </w:pPr>
            <w:r>
              <w:rPr>
                <w:rFonts w:ascii="Arial" w:cs="Arial" w:eastAsia="Arial" w:hAnsi="Arial"/>
                <w:sz w:val="14"/>
                <w:szCs w:val="14"/>
                <w:b w:val="1"/>
                <w:bCs w:val="1"/>
                <w:color w:val="auto"/>
                <w:w w:val="91"/>
              </w:rPr>
              <w:t>Unfunded</w:t>
            </w:r>
          </w:p>
        </w:tc>
        <w:tc>
          <w:tcPr>
            <w:tcW w:w="7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Loan</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91"/>
              </w:rPr>
              <w:t>Unfunded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Commitments</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Commitments</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Commitments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$20,234</w:t>
            </w:r>
          </w:p>
        </w:tc>
        <w:tc>
          <w:tcPr>
            <w:tcW w:w="1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92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$ 22,570</w:t>
            </w:r>
          </w:p>
        </w:tc>
        <w:tc>
          <w:tcPr>
            <w:tcW w:w="34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$ 25,990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Additions (deductions)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60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8"/>
                <w:szCs w:val="18"/>
                <w:color w:val="auto"/>
              </w:rPr>
              <w:t>4,619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Reclassification to loans held for sale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(deductions) included in non-</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Borders>
              <w:right w:val="single" w:sz="8" w:color="CCEEFF"/>
            </w:tcBorders>
            <w:shd w:val="clear" w:color="auto" w:fill="CCEEFF"/>
          </w:tcPr>
          <w:p>
            <w:pPr>
              <w:spacing w:after="0"/>
              <w:rPr>
                <w:sz w:val="19"/>
                <w:szCs w:val="19"/>
                <w:color w:val="auto"/>
              </w:rPr>
            </w:pPr>
          </w:p>
        </w:tc>
        <w:tc>
          <w:tcPr>
            <w:tcW w:w="740" w:type="dxa"/>
            <w:vAlign w:val="bottom"/>
            <w:tcBorders>
              <w:right w:val="single" w:sz="8" w:color="CCEEFF"/>
            </w:tcBorders>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22,587</w:t>
            </w:r>
          </w:p>
        </w:tc>
        <w:tc>
          <w:tcPr>
            <w:tcW w:w="120" w:type="dxa"/>
            <w:vAlign w:val="bottom"/>
          </w:tcPr>
          <w:p>
            <w:pPr>
              <w:spacing w:after="0"/>
              <w:rPr>
                <w:sz w:val="19"/>
                <w:szCs w:val="19"/>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1,125</w:t>
            </w:r>
          </w:p>
        </w:tc>
        <w:tc>
          <w:tcPr>
            <w:tcW w:w="920" w:type="dxa"/>
            <w:vAlign w:val="bottom"/>
            <w:gridSpan w:val="2"/>
          </w:tcPr>
          <w:p>
            <w:pPr>
              <w:jc w:val="right"/>
              <w:ind w:right="3"/>
              <w:spacing w:after="0"/>
              <w:rPr>
                <w:sz w:val="20"/>
                <w:szCs w:val="20"/>
                <w:color w:val="auto"/>
              </w:rPr>
            </w:pPr>
            <w:r>
              <w:rPr>
                <w:rFonts w:ascii="Arial" w:cs="Arial" w:eastAsia="Arial" w:hAnsi="Arial"/>
                <w:sz w:val="18"/>
                <w:szCs w:val="18"/>
                <w:color w:val="auto"/>
              </w:rPr>
              <w:t>$ 20,234</w:t>
            </w:r>
          </w:p>
        </w:tc>
        <w:tc>
          <w:tcPr>
            <w:tcW w:w="340" w:type="dxa"/>
            <w:vAlign w:val="bottom"/>
            <w:gridSpan w:val="2"/>
          </w:tcPr>
          <w:p>
            <w:pPr>
              <w:jc w:val="center"/>
              <w:ind w:lef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$ 22,570</w:t>
            </w:r>
          </w:p>
        </w:tc>
        <w:tc>
          <w:tcPr>
            <w:tcW w:w="80" w:type="dxa"/>
            <w:vAlign w:val="bottom"/>
          </w:tcPr>
          <w:p>
            <w:pPr>
              <w:spacing w:after="0"/>
              <w:rPr>
                <w:sz w:val="19"/>
                <w:szCs w:val="19"/>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loans charged against the allowance to</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Portfolio Loans</w:t>
            </w:r>
          </w:p>
        </w:tc>
        <w:tc>
          <w:tcPr>
            <w:tcW w:w="900" w:type="dxa"/>
            <w:vAlign w:val="bottom"/>
            <w:tcBorders>
              <w:right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2017, we recorded a net recovery of 0.06% to average loans (or $1.2 million). This compares to loan net charge-offs to average loans of 0.06% in 2016 (or $1.0 million) and 0.05% in 2015 (or $0.7 million). The net recoveries in 2017 occurred in the commercial loan and mortgage loan categories and primarily reflect reduced levels of non-performing loans, improvement in collateral liquidation values and on-going collection efforts on previously charged-off loans. The slight increase in loan net charge-offs in 2016 as compared to 2015 were in mortgage loans and deposit overdrafts.</w:t>
      </w:r>
    </w:p>
    <w:p>
      <w:pPr>
        <w:spacing w:after="0" w:line="80"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i w:val="1"/>
          <w:iCs w:val="1"/>
          <w:color w:val="auto"/>
        </w:rPr>
        <w:t xml:space="preserve">Deposits and borrowings. </w:t>
      </w:r>
      <w:r>
        <w:rPr>
          <w:rFonts w:ascii="Arial" w:cs="Arial" w:eastAsia="Arial" w:hAnsi="Arial"/>
          <w:sz w:val="18"/>
          <w:szCs w:val="18"/>
          <w:color w:val="auto"/>
        </w:rPr>
        <w:t>Historically, the loyalty of our customer base has allowed us to price deposits competitively,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79"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57"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7"/>
          <w:szCs w:val="17"/>
          <w:color w:val="auto"/>
        </w:rPr>
        <w:t>Deposits totaled $2.40 billion and $2.23 billion at December 31, 2017 and 2016, respectively. The $174.8 million increase in deposits in 2017 is due to growth in checking, savings, reciprocal and brokered deposit account balances. Reciprocal deposits totaled $51.0 million and $38.7 million at December 31, 2017 and 2016, respectively. These deposits represent demand, money market and time deposits from our customers that have been placed through Promontory Interfinancial Network’s Insured Cash Sweep</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7"/>
          <w:szCs w:val="17"/>
          <w:color w:val="auto"/>
        </w:rPr>
        <w:t>. These services allow our customers to access multi-million dollar FDIC deposit insurance on deposit balances greater than the standard FDIC insurance maximum. We also added $142.0 million of brokered time deposits during 2017. This increase, replaced in part, the run-off of time deposits with one municipal customer as described earlier under “Financial Condition - Summary.”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December 31, 2017, we had an estimated $530.5 million of uninsured deposits. A reduction in core deposits would likely increase our need to rely on wholesale funding sources.</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Other borrowings, comprised primarily of federal funds purchased and advances from the Federal Home Loan Bank (the “FHLB”), totaled $54.6 million and $9.4 million at December 31, 2017 and 2016, respectively.</w:t>
      </w:r>
    </w:p>
    <w:p>
      <w:pPr>
        <w:spacing w:after="0" w:line="6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As described above, we utilize wholesale funding, including federal funds purchased, FHLB borrowings and Brokered CDs to augment our core deposits and fund a portion of our assets. At December 31, 2017, our use of such wholesale funding sources (including reciprocal deposits) amounted to approximately $247.5 million, or 10.1%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6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We discontinued the active use of derivative financial instruments during 2008. We began to again utilize interest-rate swaps in 2014, primarily relating to our commercial lending activities. During 2017, 2016 and 2015, we entered into $39.1 million, $24.1 million and $24.3 million (original aggregate notional amounts), respectively, of interest rate swaps with commercial loan customers, which were offset with interest rate swaps that the Bank entered into with a broker-dealer. We recorded $0.413 million, $0.380 million and $0.412 million of fee income related to these transactions during 2017, 2016 and 2015, respectively. Also in 2017, we entered into $15.0 million (notional amount) of pay fixed interest rate swaps and $45.0 million (notional amount) of interest rate caps. These swaps and caps are hedging short-term wholesale funding.</w:t>
      </w:r>
    </w:p>
    <w:p>
      <w:pPr>
        <w:spacing w:after="0" w:line="7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funding cost or 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investment securities) as well as developing access to a variety of borrowing sources to supplement our deposit gathering activities and provide funds for purchasing investment securities or originating Portfolio Loans as well as to be able to respond to unforeseen liquidity needs.</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commercial banks, and access to the capital markets (for Brokered CDs).</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At December 31, 2017, we had $446.8 million of time deposits that mature in the next 12 months. Historically, a majority of these maturing time deposits are renewed by our customers. Additionally, $1.85 billion of our deposits at December 31, 2017,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86" w:lineRule="auto"/>
        <w:rPr>
          <w:sz w:val="20"/>
          <w:szCs w:val="20"/>
          <w:color w:val="auto"/>
        </w:rPr>
      </w:pPr>
      <w:r>
        <w:rPr>
          <w:rFonts w:ascii="Arial" w:cs="Arial" w:eastAsia="Arial" w:hAnsi="Arial"/>
          <w:sz w:val="17"/>
          <w:szCs w:val="17"/>
          <w:color w:val="auto"/>
        </w:rPr>
        <w:t>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57"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73" w:lineRule="exact"/>
        <w:rPr>
          <w:sz w:val="20"/>
          <w:szCs w:val="20"/>
          <w:color w:val="auto"/>
        </w:rPr>
      </w:pPr>
    </w:p>
    <w:p>
      <w:pPr>
        <w:jc w:val="both"/>
        <w:ind w:left="7" w:firstLine="360"/>
        <w:spacing w:after="0" w:line="312" w:lineRule="auto"/>
        <w:rPr>
          <w:sz w:val="20"/>
          <w:szCs w:val="20"/>
          <w:color w:val="auto"/>
        </w:rPr>
      </w:pPr>
      <w:r>
        <w:rPr>
          <w:rFonts w:ascii="Arial" w:cs="Arial" w:eastAsia="Arial" w:hAnsi="Arial"/>
          <w:sz w:val="16"/>
          <w:szCs w:val="16"/>
          <w:color w:val="auto"/>
        </w:rPr>
        <w:t>We also believe that the available cash on hand at the parent company (including time deposits) of approximately $21.5 million as of December 31, 2017 provides sufficient liquidity resources at the parent company to meet operating expenses, to make interest payments on the subordinated debentures and to pay a cash dividend on our common stock for the foreseeable future.</w:t>
      </w:r>
    </w:p>
    <w:p>
      <w:pPr>
        <w:spacing w:after="0" w:line="39" w:lineRule="exact"/>
        <w:rPr>
          <w:sz w:val="20"/>
          <w:szCs w:val="20"/>
          <w:color w:val="auto"/>
        </w:rPr>
      </w:pPr>
    </w:p>
    <w:p>
      <w:pPr>
        <w:jc w:val="both"/>
        <w:ind w:left="7" w:firstLine="360"/>
        <w:spacing w:after="0" w:line="286" w:lineRule="auto"/>
        <w:rPr>
          <w:sz w:val="20"/>
          <w:szCs w:val="20"/>
          <w:color w:val="auto"/>
        </w:rPr>
      </w:pPr>
      <w:r>
        <w:rPr>
          <w:rFonts w:ascii="Arial" w:cs="Arial" w:eastAsia="Arial" w:hAnsi="Arial"/>
          <w:sz w:val="17"/>
          <w:szCs w:val="17"/>
          <w:color w:val="auto"/>
        </w:rPr>
        <w:t>In the normal course of business, we enter into certain contractual obligations. Such obligations include requirements to make future payments on debt and lease arrangements, contractual commitments for capital expenditures, and service contracts. The table below summarizes our significant contractual obligations at December 31, 2017.</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CONTRACTUAL COMMITMENTS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1 Year or Less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5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 maturities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446,835</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$ 26,036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$ 554,818</w:t>
            </w:r>
          </w:p>
        </w:tc>
        <w:tc>
          <w:tcPr>
            <w:tcW w:w="100" w:type="dxa"/>
            <w:vAlign w:val="bottom"/>
            <w:shd w:val="clear" w:color="auto" w:fill="CCEEFF"/>
          </w:tcPr>
          <w:p>
            <w:pPr>
              <w:spacing w:after="0"/>
              <w:rPr>
                <w:sz w:val="21"/>
                <w:szCs w:val="2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47,841</w:t>
            </w:r>
          </w:p>
        </w:tc>
        <w:tc>
          <w:tcPr>
            <w:tcW w:w="100" w:type="dxa"/>
            <w:vAlign w:val="bottom"/>
          </w:tcPr>
          <w:p>
            <w:pPr>
              <w:spacing w:after="0"/>
              <w:rPr>
                <w:sz w:val="20"/>
                <w:szCs w:val="20"/>
                <w:color w:val="auto"/>
              </w:rPr>
            </w:pPr>
          </w:p>
        </w:tc>
      </w:tr>
      <w:tr>
        <w:trPr>
          <w:trHeight w:val="25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35,569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00" w:type="dxa"/>
            <w:vAlign w:val="bottom"/>
            <w:shd w:val="clear" w:color="auto" w:fill="CCEEFF"/>
          </w:tcPr>
          <w:p>
            <w:pPr>
              <w:spacing w:after="0"/>
              <w:rPr>
                <w:sz w:val="22"/>
                <w:szCs w:val="22"/>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0"/>
                <w:szCs w:val="20"/>
                <w:color w:val="auto"/>
              </w:rPr>
            </w:pPr>
          </w:p>
        </w:tc>
      </w:tr>
      <w:tr>
        <w:trPr>
          <w:trHeight w:val="249"/>
        </w:trPr>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 (2)</w:t>
            </w: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480,413</w:t>
            </w:r>
          </w:p>
        </w:tc>
        <w:tc>
          <w:tcPr>
            <w:tcW w:w="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105,479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$ 27,165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36,498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$ 649,555</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approximately $0.5 million of accrued tax and interest relative to uncertain tax benefits due to the high degree of uncertainty as to when, or if, those amounts would be paid.</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contracts with a minimum annual payment of $1.0 million and are not cancellable within one year.</w:t>
      </w:r>
    </w:p>
    <w:p>
      <w:pPr>
        <w:spacing w:after="0" w:line="117" w:lineRule="exact"/>
        <w:rPr>
          <w:sz w:val="20"/>
          <w:szCs w:val="20"/>
          <w:color w:val="auto"/>
        </w:rPr>
      </w:pPr>
    </w:p>
    <w:p>
      <w:pPr>
        <w:ind w:left="7" w:firstLine="360"/>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CAPITALIZATION</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00" w:type="dxa"/>
            <w:vAlign w:val="bottom"/>
            <w:shd w:val="clear" w:color="auto" w:fill="CCEEFF"/>
          </w:tcPr>
          <w:p>
            <w:pPr>
              <w:spacing w:after="0"/>
              <w:rPr>
                <w:sz w:val="21"/>
                <w:szCs w:val="21"/>
                <w:color w:val="auto"/>
              </w:rPr>
            </w:pPr>
          </w:p>
        </w:tc>
      </w:tr>
      <w:tr>
        <w:trPr>
          <w:trHeight w:val="237"/>
        </w:trPr>
        <w:tc>
          <w:tcPr>
            <w:tcW w:w="7140" w:type="dxa"/>
            <w:vAlign w:val="bottom"/>
            <w:gridSpan w:val="2"/>
          </w:tcPr>
          <w:p>
            <w:pPr>
              <w:spacing w:after="0"/>
              <w:rPr>
                <w:sz w:val="20"/>
                <w:szCs w:val="20"/>
                <w:color w:val="auto"/>
              </w:rPr>
            </w:pPr>
            <w:r>
              <w:rPr>
                <w:rFonts w:ascii="Arial" w:cs="Arial" w:eastAsia="Arial" w:hAnsi="Arial"/>
                <w:sz w:val="18"/>
                <w:szCs w:val="18"/>
                <w:color w:val="auto"/>
              </w:rPr>
              <w:t>Amount not qualifying as regulatory capital</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37"/>
        </w:trPr>
        <w:tc>
          <w:tcPr>
            <w:tcW w:w="20" w:type="dxa"/>
            <w:vAlign w:val="bottom"/>
          </w:tcPr>
          <w:p>
            <w:pPr>
              <w:spacing w:after="0"/>
              <w:rPr>
                <w:sz w:val="20"/>
                <w:szCs w:val="20"/>
                <w:color w:val="auto"/>
              </w:rPr>
            </w:pPr>
          </w:p>
        </w:tc>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323,745</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(54,090)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(65,657)</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248,980</w:t>
            </w:r>
          </w:p>
        </w:tc>
        <w:tc>
          <w:tcPr>
            <w:tcW w:w="100" w:type="dxa"/>
            <w:vAlign w:val="bottom"/>
            <w:tcBorders>
              <w:top w:val="single" w:sz="8" w:color="CCEEFF"/>
            </w:tcBorders>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299,433</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283,480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We have three special purpose entities with $34.5 million of outstanding cumulative trust preferred securities. These special purpose entities issued common securities and provided cash to our parent company that in turn issued</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7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both December 31, 2017 and 2016.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5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Common shareholders’ equity increased to $264.9 million at December 31, 2017 from $249.0 million at December 31, 2016 due primarily to our net income in 2017 and a decline in our accumulated other comprehensive loss that were partially offset by dividends. Our tangible common equity (“TCE”) totaled $263.3 million and $247.0 million, respectively, at those same dates. Our ratio of TCE to tangible assets was 9.45% and 9.70% at December 31, 2017 and 2016, respectively. TCE and the ratio of TCE to tangible assets are non-GAAP measures. TCE represents total common equity less intangible assets.</w:t>
      </w:r>
    </w:p>
    <w:p>
      <w:pPr>
        <w:spacing w:after="0" w:line="64"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In January 2016 and 2017, our Board of Directors authorized share repurchase plans. Under the terms of these share repurchase plans, we were authorized to buy back up to 5% of our outstanding common stock (plus an additional $5.0 million for the 2016 plan). These repurchase plans expired on December 31, 2017 and 2016, respectively. During 2017, we did not repurchase any shares of our common stock. During 2016, we repurchased 1,153,136 shares of our comment stock at an average price of $14.62 per share.</w:t>
      </w:r>
    </w:p>
    <w:p>
      <w:pPr>
        <w:spacing w:after="0" w:line="4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January 2018, our Board of Directors authorized another share repurchase plan. Under the terms of the 2018 share repurchase plan, we are authorized to buy back up to 5% of our outstanding common stock. This repurchase plan is authorized to last through December 31, 2018.</w:t>
      </w:r>
    </w:p>
    <w:p>
      <w:pPr>
        <w:spacing w:after="0" w:line="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pay a quarterly cash dividend on our common stock. These dividends totaled $0.42 per share and $0.34 per share in 2017 and 2016, respectively. In January 2018, our Board of Directors increased the quarterly cash dividend on our common stock by 25% (to $0.15 per share from $0.12 per share) effective with the February 15, 2018 dividend. This increase, in part, reflects the expected benefit to net income from a lower corporate federal income tax rate under H.R. 1. We generally favor a dividend payout ratio between 30% and 50% of net income.</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of December 31, 2017 and 2016, our Bank (and holding company) continued to meet the requirements to be considered “well-capitalized” under federal regulatory standards (also see note #20 to the Consolidated Financial Statements included within this report).</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Asset/liability management. </w:t>
      </w:r>
      <w:r>
        <w:rPr>
          <w:rFonts w:ascii="Arial" w:cs="Arial" w:eastAsia="Arial" w:hAnsi="Arial"/>
          <w:sz w:val="18"/>
          <w:szCs w:val="18"/>
          <w:color w:val="auto"/>
        </w:rPr>
        <w:t>Interest-rate risk is created by differences in the cash flow characteristics of our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Options embedded in certain financial instruments, including caps on adjustable-rate loans as well as borrowers’ rights to prepay fixed-rate loans, also create interest-rate risk.</w:t>
      </w:r>
    </w:p>
    <w:p>
      <w:pPr>
        <w:spacing w:after="0" w:line="7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Value of</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Net Interest</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 Rates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Equity (1)</w:t>
            </w:r>
          </w:p>
        </w:tc>
        <w:tc>
          <w:tcPr>
            <w:tcW w:w="16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Income (2)</w:t>
            </w:r>
          </w:p>
        </w:tc>
        <w:tc>
          <w:tcPr>
            <w:tcW w:w="16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3"/>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200 basis point rise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409,200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$99,100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414,300</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96,900</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200 basis point rise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427,400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$84,800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82,500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399,800</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79,300</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7" w:hanging="347"/>
        <w:spacing w:after="0" w:line="259"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78" w:lineRule="exact"/>
        <w:rPr>
          <w:rFonts w:ascii="Arial" w:cs="Arial" w:eastAsia="Arial" w:hAnsi="Arial"/>
          <w:sz w:val="18"/>
          <w:szCs w:val="18"/>
          <w:color w:val="auto"/>
        </w:rPr>
      </w:pPr>
    </w:p>
    <w:p>
      <w:pPr>
        <w:jc w:val="both"/>
        <w:ind w:left="347" w:right="20" w:hanging="347"/>
        <w:spacing w:after="0" w:line="264"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73"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i w:val="1"/>
          <w:iCs w:val="1"/>
          <w:color w:val="auto"/>
        </w:rPr>
        <w:t xml:space="preserve">Accounting Standards Update. </w:t>
      </w:r>
      <w:r>
        <w:rPr>
          <w:rFonts w:ascii="Arial" w:cs="Arial" w:eastAsia="Arial" w:hAnsi="Arial"/>
          <w:sz w:val="18"/>
          <w:szCs w:val="18"/>
          <w:color w:val="auto"/>
        </w:rPr>
        <w:t>See note #1 to the Consolidated Financial Statements included elsewhere in this report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details on recently issued accounting pronouncements and their impact on our financial statements.</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FAIR VALUATION OF FINANCIAL INSTRUMENTS</w:t>
      </w:r>
    </w:p>
    <w:p>
      <w:pPr>
        <w:spacing w:after="0" w:line="121" w:lineRule="exact"/>
        <w:rPr>
          <w:sz w:val="20"/>
          <w:szCs w:val="20"/>
          <w:color w:val="auto"/>
        </w:rPr>
      </w:pPr>
    </w:p>
    <w:p>
      <w:pPr>
        <w:jc w:val="both"/>
        <w:ind w:left="7" w:right="20" w:firstLine="360"/>
        <w:spacing w:after="0" w:line="259" w:lineRule="auto"/>
        <w:rPr>
          <w:sz w:val="20"/>
          <w:szCs w:val="20"/>
          <w:color w:val="auto"/>
        </w:rPr>
      </w:pPr>
      <w:r>
        <w:rPr>
          <w:rFonts w:ascii="Arial" w:cs="Arial" w:eastAsia="Arial" w:hAnsi="Arial"/>
          <w:sz w:val="18"/>
          <w:szCs w:val="18"/>
          <w:color w:val="auto"/>
        </w:rPr>
        <w:t>FASB Accounting Standards Codification (“ASC”) topic 820 -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79" w:lineRule="exact"/>
        <w:rPr>
          <w:sz w:val="20"/>
          <w:szCs w:val="20"/>
          <w:color w:val="auto"/>
        </w:rPr>
      </w:pPr>
    </w:p>
    <w:p>
      <w:pPr>
        <w:jc w:val="both"/>
        <w:ind w:left="7" w:firstLine="360"/>
        <w:spacing w:after="0" w:line="270"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available-for-sale, loans held for sale, capitalized mortgage loan servicing rights, and derivatives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market accounting or write-downs of individual assets. See note #21 to the Consolidated Financial Statements for a complete discussion on our use of fair valuation of financial instruments and the related measurement techniques.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LITIGATION MATTERS</w:t>
      </w:r>
    </w:p>
    <w:p>
      <w:pPr>
        <w:spacing w:after="0" w:line="121"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As described in “Recent Developments” we settled a litigation matter in December 2016 and recorded a $2.3 million expense in the fourth quarter of 2016. We are also involved in various other litigation matters in the ordinary course of business. At the present time, we do not believe any of these matters will have a significant impact</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8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capitalized mortgage loan servicing rights, and income taxes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8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color w:val="auto"/>
        </w:rPr>
        <w:t>Our methodology for determining the allowance and related provision for loan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probable incurred losses in our loan portfolio. We use a rigorous process to attempt to accurately quantify the necessary allowance and related provision for loan losses, but there can be no assurance that our modeling process will successfully identify all of the probable incurred losses in our loan portfolio. As a result, we could record future provisions for loan losses that may be significantly different than the levels that we recorded in prior periods. In June 2016, the FASB issued ASU No. 2016-13 “Financial Instruments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Credit Losses (Topic 326), Measurement of Credit Losses on Financial Instruments” (“ASU 2016-13”). See note #1 to the Consolidated Financial Statements for a description of our implementation efforts related to ASU 2016-13.</w:t>
      </w:r>
    </w:p>
    <w:p>
      <w:pPr>
        <w:spacing w:after="0" w:line="7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At December 31, 2017 and 2016, we had approximately $15.7 million and $13.7 million, respectively, of mortgage loan servicing rights capitalized on our Consolidated Statements of Financial Condition.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 As of January 1, 2017, we elected the fair value measurement method for our mortgage loan servicing rights (in lieu of the amortization method).</w:t>
      </w:r>
    </w:p>
    <w:p>
      <w:pPr>
        <w:spacing w:after="0" w:line="7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Our accounting for income taxes involves the valuation of our DTA primarily associated with net operating loss carryforwards and differences in the timing of the recognition of revenues and expenses for financial reporting and tax purposes. At December 31, 2017 we had gross deferred tax assets of $19.8 million, gross deferred tax liabilities of $4.7 million and no valuation allowance. This compares to gross deferred tax assets of $39.2 million, gross deferred tax liabilities of $5.3 million and a valuation allowance of $1.1 million at December 31, 2016. We assess whether a valuation allowance should be established against our DTA based on the consideration of all available evidence using a “more likely than not” standard. The ultimate realization of this asset is primarily based on generating future income. We concluded at both December 31, 2017 and 2016, that the realization of substantially all of our DTA continues to be more likely than not. In addition, 2017 includes a $6.0 million reduction of our DTA related to a remeasurement as described earlier under “Recent Developments.”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REPORTING</w:t>
      </w:r>
    </w:p>
    <w:p>
      <w:pPr>
        <w:spacing w:after="0" w:line="8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73"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assessed the effectiveness of our internal control over financial reporting as of December 31, 2017. In making this assessment, we used the criteria established in the 2013 Internal Control – Integrated Framework issued by the Committee of Sponsoring Organizations of the Treadway Commission (COSO). Based on our assessment, management has concluded that as of December 31, 2017,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85"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2017, that have materially affected, or are reasonably likely to materially affect, our internal control over financial reporting.</w:t>
      </w:r>
    </w:p>
    <w:p>
      <w:pPr>
        <w:spacing w:after="0" w:line="38"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Our independent registered public accounting firm has issued an audit report on the effectiveness of the Company’s internal control over financial reporting as of December 31, 2017.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145405" cy="386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1454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William B. Kessel</w:t>
            </w:r>
          </w:p>
        </w:tc>
        <w:tc>
          <w:tcPr>
            <w:tcW w:w="6100" w:type="dxa"/>
            <w:vAlign w:val="bottom"/>
          </w:tcPr>
          <w:p>
            <w:pPr>
              <w:ind w:left="1320"/>
              <w:spacing w:after="0"/>
              <w:rPr>
                <w:sz w:val="20"/>
                <w:szCs w:val="20"/>
                <w:color w:val="auto"/>
              </w:rPr>
            </w:pPr>
            <w:r>
              <w:rPr>
                <w:rFonts w:ascii="Arial" w:cs="Arial" w:eastAsia="Arial" w:hAnsi="Arial"/>
                <w:sz w:val="18"/>
                <w:szCs w:val="18"/>
                <w:color w:val="auto"/>
              </w:rPr>
              <w:t>Robert N. Shuster</w:t>
            </w: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President and</w:t>
            </w:r>
          </w:p>
        </w:tc>
        <w:tc>
          <w:tcPr>
            <w:tcW w:w="6100" w:type="dxa"/>
            <w:vAlign w:val="bottom"/>
          </w:tcPr>
          <w:p>
            <w:pPr>
              <w:ind w:left="1320"/>
              <w:spacing w:after="0"/>
              <w:rPr>
                <w:sz w:val="20"/>
                <w:szCs w:val="20"/>
                <w:color w:val="auto"/>
              </w:rPr>
            </w:pPr>
            <w:r>
              <w:rPr>
                <w:rFonts w:ascii="Arial" w:cs="Arial" w:eastAsia="Arial" w:hAnsi="Arial"/>
                <w:sz w:val="18"/>
                <w:szCs w:val="18"/>
                <w:color w:val="auto"/>
              </w:rPr>
              <w:t>Executive Vice President</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00" w:type="dxa"/>
            <w:vAlign w:val="bottom"/>
          </w:tcPr>
          <w:p>
            <w:pPr>
              <w:ind w:left="1320"/>
              <w:spacing w:after="0"/>
              <w:rPr>
                <w:sz w:val="20"/>
                <w:szCs w:val="20"/>
                <w:color w:val="auto"/>
              </w:rPr>
            </w:pPr>
            <w:r>
              <w:rPr>
                <w:rFonts w:ascii="Arial" w:cs="Arial" w:eastAsia="Arial" w:hAnsi="Arial"/>
                <w:sz w:val="18"/>
                <w:szCs w:val="18"/>
                <w:color w:val="auto"/>
              </w:rPr>
              <w:t>and Chief Financial Officer</w:t>
            </w:r>
          </w:p>
        </w:tc>
      </w:tr>
      <w:tr>
        <w:trPr>
          <w:trHeight w:val="472"/>
        </w:trPr>
        <w:tc>
          <w:tcPr>
            <w:tcW w:w="346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610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March 7, 2018</w:t>
            </w:r>
          </w:p>
        </w:tc>
        <w:tc>
          <w:tcPr>
            <w:tcW w:w="6100" w:type="dxa"/>
            <w:vAlign w:val="bottom"/>
          </w:tcPr>
          <w:p>
            <w:pPr>
              <w:spacing w:after="0"/>
              <w:rPr>
                <w:sz w:val="20"/>
                <w:szCs w:val="20"/>
                <w:color w:val="auto"/>
              </w:rPr>
            </w:pPr>
          </w:p>
        </w:tc>
      </w:tr>
      <w:tr>
        <w:trPr>
          <w:trHeight w:val="446"/>
        </w:trPr>
        <w:tc>
          <w:tcPr>
            <w:tcW w:w="3460" w:type="dxa"/>
            <w:vAlign w:val="bottom"/>
          </w:tcPr>
          <w:p>
            <w:pPr>
              <w:spacing w:after="0"/>
              <w:rPr>
                <w:sz w:val="24"/>
                <w:szCs w:val="24"/>
                <w:color w:val="auto"/>
              </w:rPr>
            </w:pPr>
          </w:p>
        </w:tc>
        <w:tc>
          <w:tcPr>
            <w:tcW w:w="6100" w:type="dxa"/>
            <w:vAlign w:val="bottom"/>
          </w:tcPr>
          <w:p>
            <w:pPr>
              <w:jc w:val="right"/>
              <w:ind w:right="4610"/>
              <w:spacing w:after="0"/>
              <w:rPr>
                <w:sz w:val="20"/>
                <w:szCs w:val="20"/>
                <w:color w:val="auto"/>
              </w:rPr>
            </w:pPr>
            <w:r>
              <w:rPr>
                <w:rFonts w:ascii="Arial" w:cs="Arial" w:eastAsia="Arial" w:hAnsi="Arial"/>
                <w:sz w:val="18"/>
                <w:szCs w:val="18"/>
                <w:color w:val="auto"/>
              </w:rPr>
              <w:t>33</w:t>
            </w:r>
          </w:p>
        </w:tc>
      </w:tr>
      <w:tr>
        <w:trPr>
          <w:trHeight w:val="446"/>
        </w:trPr>
        <w:tc>
          <w:tcPr>
            <w:tcW w:w="346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68"/>
        </w:trPr>
        <w:tc>
          <w:tcPr>
            <w:tcW w:w="3460" w:type="dxa"/>
            <w:vAlign w:val="bottom"/>
            <w:shd w:val="clear" w:color="auto" w:fill="000000"/>
          </w:tcPr>
          <w:p>
            <w:pPr>
              <w:spacing w:after="0"/>
              <w:rPr>
                <w:sz w:val="5"/>
                <w:szCs w:val="5"/>
                <w:color w:val="auto"/>
              </w:rPr>
            </w:pPr>
          </w:p>
        </w:tc>
        <w:tc>
          <w:tcPr>
            <w:tcW w:w="6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 Board of Directors of Independent Bank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have audited the accompanying consolidated statements of financial condition of Independent Bank Corporation (the “Corporation”) as of December 31, 2017 and 2016, the related consolidated statements of operations, comprehensive income, shareholders’ equity, and cash flows for each of the years in the three-year period ended December 31, 2017, and the related notes (collectively referred to as the “financial statements”). We also have audited the Corporation’s internal control over financial reporting as of December 31, 2017, based on criteria established in Internal Control – Integrated Framework: (2013) issued by the Committee of Sponsoring Organizations of the Treadway Commission (COSO).</w:t>
      </w:r>
    </w:p>
    <w:p>
      <w:pPr>
        <w:spacing w:after="0" w:line="70"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Corporation as of December 31, 2017 and 2016, and the results of its operations and its cash flows for each of the years in the three-year period ended December 31, 2017 in conformity with accounting principles generally accepted in the United States of America. Also in our opinion, the Corporation maintained, in all material respects, effective internal control over financial reporting as of December 31, 2017, based on criteria established in Internal Control – Integrated Framework: (2013) issued by COSO.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45720</wp:posOffset>
            </wp:positionV>
            <wp:extent cx="133794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1337945" cy="24003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(In thousands, except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36,994</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35,238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47,956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54,738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522,925</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610,616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carried at fair value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39,436</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35,946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Payment plan receivables and other assets held for sale</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33,360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853,260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804,017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849,530</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538,615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316,027</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265,616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2,018,817</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1,608,248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(22,587)</w:t>
            </w:r>
          </w:p>
        </w:tc>
        <w:tc>
          <w:tcPr>
            <w:tcW w:w="4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w:t>
            </w:r>
          </w:p>
        </w:tc>
        <w:tc>
          <w:tcPr>
            <w:tcW w:w="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1,996,230</w:t>
            </w:r>
          </w:p>
        </w:tc>
        <w:tc>
          <w:tcPr>
            <w:tcW w:w="18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1,588,014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39,149</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40,175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Bank-owned life insurance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54,572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Capitalized mortgage loan servicing rights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15,699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29,551</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2,789,355</w:t>
            </w: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2,548,950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768,333</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717,472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Savings and interest-bearing checking</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1,064,391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1,015,724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50,979</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374,872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453,866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Brokered time</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141,959</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Deposits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2,400,534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2,225,719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35,569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held for sale</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33,719</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28,531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2,524,422</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2,299,970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w w:val="94"/>
              </w:rPr>
              <w:t>Preferred stock, no par value, 200,000 shares authorized; none issued or outstanding</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Common stock, no par value, 500,000,000 shares authorized; issued and outstanding:</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21,333,869 shares at December 31, 2017 and 21,258,092 shares at December 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(54,054)</w:t>
            </w:r>
          </w:p>
        </w:tc>
        <w:tc>
          <w:tcPr>
            <w:tcW w:w="4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(65,657)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(5,999)</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248,980</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2,789,355</w:t>
            </w: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2,548,950</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center"/>
              <w:ind w:left="375"/>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Interest and fees on loans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84,281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74,157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70,930</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on securities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340"/>
              <w:spacing w:after="0"/>
              <w:rPr>
                <w:sz w:val="20"/>
                <w:szCs w:val="20"/>
                <w:color w:val="auto"/>
              </w:rPr>
            </w:pPr>
            <w:r>
              <w:rPr>
                <w:rFonts w:ascii="Arial" w:cs="Arial" w:eastAsia="Arial" w:hAnsi="Arial"/>
                <w:sz w:val="17"/>
                <w:szCs w:val="17"/>
                <w:color w:val="auto"/>
              </w:rPr>
              <w:t>Taxable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10,928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9,921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7,805</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Tax-exempt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7"/>
                <w:szCs w:val="17"/>
                <w:color w:val="auto"/>
              </w:rPr>
              <w:t>Other investments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Interest Income</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98,309</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86,523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Deposits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7"/>
                <w:szCs w:val="17"/>
                <w:color w:val="auto"/>
              </w:rPr>
              <w:t>Other borrowings and subordinated debentures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340"/>
              <w:spacing w:after="0"/>
              <w:rPr>
                <w:sz w:val="20"/>
                <w:szCs w:val="20"/>
                <w:color w:val="auto"/>
              </w:rPr>
            </w:pPr>
            <w:r>
              <w:rPr>
                <w:rFonts w:ascii="Arial" w:cs="Arial" w:eastAsia="Arial" w:hAnsi="Arial"/>
                <w:sz w:val="17"/>
                <w:szCs w:val="17"/>
                <w:color w:val="auto"/>
              </w:rPr>
              <w:t>Net Interest Income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89,186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79,641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74,986</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loan losses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(2,714)</w:t>
            </w:r>
          </w:p>
        </w:tc>
      </w:tr>
      <w:tr>
        <w:trPr>
          <w:trHeight w:val="223"/>
        </w:trPr>
        <w:tc>
          <w:tcPr>
            <w:tcW w:w="20" w:type="dxa"/>
            <w:vAlign w:val="bottom"/>
          </w:tcPr>
          <w:p>
            <w:pPr>
              <w:spacing w:after="0"/>
              <w:rPr>
                <w:sz w:val="19"/>
                <w:szCs w:val="19"/>
                <w:color w:val="auto"/>
              </w:rPr>
            </w:pPr>
          </w:p>
        </w:tc>
        <w:tc>
          <w:tcPr>
            <w:tcW w:w="646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Net Interest Income After Provision for Loan Losses</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87,987</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80,950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77,700</w:t>
            </w:r>
          </w:p>
        </w:tc>
        <w:tc>
          <w:tcPr>
            <w:tcW w:w="100" w:type="dxa"/>
            <w:vAlign w:val="bottom"/>
            <w:tcBorders>
              <w:top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Service charges on deposit accounts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12,673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12,406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12,389</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Interchange income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8,481</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Net gains on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Mortgage loans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340"/>
              <w:spacing w:after="0"/>
              <w:rPr>
                <w:sz w:val="20"/>
                <w:szCs w:val="20"/>
                <w:color w:val="auto"/>
              </w:rPr>
            </w:pPr>
            <w:r>
              <w:rPr>
                <w:rFonts w:ascii="Arial" w:cs="Arial" w:eastAsia="Arial" w:hAnsi="Arial"/>
                <w:sz w:val="17"/>
                <w:szCs w:val="17"/>
                <w:color w:val="auto"/>
              </w:rPr>
              <w:t>Securities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Mortgage loan servicing, net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Net gain on branch sale</w:t>
            </w:r>
          </w:p>
        </w:tc>
        <w:tc>
          <w:tcPr>
            <w:tcW w:w="18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8,168</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7"/>
                <w:szCs w:val="17"/>
                <w:color w:val="auto"/>
              </w:rPr>
              <w:t>Total Non-interest Income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42,533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42,298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40,130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 EXPENSE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Compensation and employee benefits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55,089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49,579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48,186</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Occupancy, net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8,369</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Data processing</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7,944</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Furniture, fixtures and equipment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Communications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2,957</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Loan and collection</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Advertising</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2,121</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Legal and professional</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Interchange expense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FDIC deposit insurance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Credit card and bank service fees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797</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Merger related expense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Net (gains) losses on other real estate and repossessed assets</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(180)</w:t>
            </w: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Litigation settlement expense</w:t>
            </w: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Loss on sale of payment plan business</w:t>
            </w:r>
          </w:p>
        </w:tc>
        <w:tc>
          <w:tcPr>
            <w:tcW w:w="18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0"/>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5,808</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7"/>
                <w:szCs w:val="17"/>
                <w:color w:val="auto"/>
              </w:rPr>
              <w:t>Total Non-interest Expense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90,347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88,450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Income Before Income Tax</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38,438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29,380</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7"/>
                <w:szCs w:val="17"/>
                <w:color w:val="auto"/>
              </w:rPr>
              <w:t>Income tax expense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17,963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9,363</w:t>
            </w:r>
          </w:p>
        </w:tc>
        <w:tc>
          <w:tcPr>
            <w:tcW w:w="10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w:t>
            </w: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20,475</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22,766</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7"/>
                <w:szCs w:val="17"/>
                <w:color w:val="auto"/>
              </w:rPr>
              <w:t>Net income per common share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340"/>
              <w:spacing w:after="0"/>
              <w:rPr>
                <w:sz w:val="20"/>
                <w:szCs w:val="20"/>
                <w:color w:val="auto"/>
              </w:rPr>
            </w:pPr>
            <w:r>
              <w:rPr>
                <w:rFonts w:ascii="Arial" w:cs="Arial" w:eastAsia="Arial" w:hAnsi="Arial"/>
                <w:sz w:val="17"/>
                <w:szCs w:val="17"/>
                <w:color w:val="auto"/>
              </w:rPr>
              <w:t>Diluted</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dividends declared and paid per common share</w:t>
            </w: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Unrealized gain (loss) arising during period</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(4,465)</w:t>
            </w:r>
          </w:p>
        </w:tc>
        <w:tc>
          <w:tcPr>
            <w:tcW w:w="2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2"/>
        </w:trPr>
        <w:tc>
          <w:tcPr>
            <w:tcW w:w="67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Change in unrealized gains and losses for which a portion of other than temporary</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impairment has been recognized in earnings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Reclassification adjustments for gains included in earnings</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6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8"/>
              </w:rPr>
              <w:t>Unrealized gains (losses) recognized in other comprehensive income (loss) on</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76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(4,726)</w:t>
            </w:r>
          </w:p>
        </w:tc>
        <w:tc>
          <w:tcPr>
            <w:tcW w:w="2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(1,654)</w:t>
            </w:r>
          </w:p>
        </w:tc>
        <w:tc>
          <w:tcPr>
            <w:tcW w:w="2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7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8"/>
              </w:rPr>
              <w:t>Unrealized gains (losses) recognized in other comprehensive income (loss) on</w:t>
            </w: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(3,072)</w:t>
            </w:r>
          </w:p>
        </w:tc>
        <w:tc>
          <w:tcPr>
            <w:tcW w:w="26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4"/>
        </w:trPr>
        <w:tc>
          <w:tcPr>
            <w:tcW w:w="676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securities available for sale, net of tax</w:t>
            </w: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 arising during period</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Reclassification adjustment for expense recognized in earnings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6"/>
              </w:rPr>
              <w:t>Unrealized gains recognized in other comprehensive income (loss) on derivative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76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instruments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6"/>
              </w:rPr>
              <w:t>Unrealized gains recognized in other comprehensive income (loss) on derivative</w:t>
            </w: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instruments, net of tax</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(3,072)</w:t>
            </w:r>
          </w:p>
        </w:tc>
        <w:tc>
          <w:tcPr>
            <w:tcW w:w="2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7"/>
        </w:trPr>
        <w:tc>
          <w:tcPr>
            <w:tcW w:w="6760" w:type="dxa"/>
            <w:vAlign w:val="bottom"/>
            <w:tcBorders>
              <w:bottom w:val="single" w:sz="8" w:color="CCEEFF"/>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19,617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352,462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2015</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$.26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(5,896)</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Repurchase of 967,199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(13,498)</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Issuance of 39,610 shares of common stock</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Share based compensation (issuance of 299,263 shares of common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77,624 shares of common stock)</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2015</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(82,334)</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Cumulative effect of change in accounting principle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2015, as adjusted</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339,524</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(81,149)</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2016</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$.34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Repurchase of 1,153,136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(16,854)</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Issuance of 21,402 shares of common stock</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Share based compensation (issuance of 180,380 shares of common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41,927 shares of common stock)</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323,745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Cumulative effect of change in accounting principle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 as adjusted</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323,745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(65,605)</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2017</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$.42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(8,960)</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Issuance of 27,046 shares of common 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 based compensation (issuance of 71,256 shares of common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22,525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certain deferred tax effects</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82"/>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20,475</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22,766</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ADJUSTMENTS TO RECONCILE NET INCOME TO NET CASH FROM OPERATING ACTIVITIES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sales of loans held for sale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434,682</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324,828</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288,852</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Disbursements for loans held for sale</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(426,410)</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(322,342)</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(285,608)</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Provision for loan losses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(1,309)</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(2,714)</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Deferred income tax expense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16,009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9,718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9,212</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Deferred loan fees and costs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(5,159)</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(1,911)</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(1,234)</w:t>
            </w:r>
          </w:p>
        </w:tc>
      </w:tr>
      <w:tr>
        <w:trPr>
          <w:trHeight w:val="165"/>
        </w:trPr>
        <w:tc>
          <w:tcPr>
            <w:tcW w:w="6760" w:type="dxa"/>
            <w:vAlign w:val="bottom"/>
          </w:tcPr>
          <w:p>
            <w:pPr>
              <w:ind w:left="180"/>
              <w:spacing w:after="0" w:line="166" w:lineRule="exact"/>
              <w:rPr>
                <w:sz w:val="20"/>
                <w:szCs w:val="20"/>
                <w:color w:val="auto"/>
              </w:rPr>
            </w:pPr>
            <w:r>
              <w:rPr>
                <w:rFonts w:ascii="Arial" w:cs="Arial" w:eastAsia="Arial" w:hAnsi="Arial"/>
                <w:sz w:val="15"/>
                <w:szCs w:val="15"/>
                <w:color w:val="auto"/>
                <w:w w:val="93"/>
              </w:rPr>
              <w:t>Net depreciation, amortization of intangible assets and premiums and accretion of discounts on securities,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6760" w:type="dxa"/>
            <w:vAlign w:val="bottom"/>
          </w:tcPr>
          <w:p>
            <w:pPr>
              <w:ind w:left="360"/>
              <w:spacing w:after="0"/>
              <w:rPr>
                <w:sz w:val="20"/>
                <w:szCs w:val="20"/>
                <w:color w:val="auto"/>
              </w:rPr>
            </w:pPr>
            <w:r>
              <w:rPr>
                <w:rFonts w:ascii="Arial" w:cs="Arial" w:eastAsia="Arial" w:hAnsi="Arial"/>
                <w:sz w:val="15"/>
                <w:szCs w:val="15"/>
                <w:color w:val="auto"/>
              </w:rPr>
              <w:t>loans and interest bearing deposits — time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6,957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5,216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4,553</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gains on mortgage loans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(11,762)</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(10,566)</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(7,448)</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gains on securities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(260)</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(563)</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(gains) losses on other real estate and repossessed assets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(606)</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(180)</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Share based compensation</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1,748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1,620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1,477</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Litigation settlement expense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Loss on sale of payment plan business</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gain on branch sale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(1,193)</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Increase in accrued income and other assets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(3,708)</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(7,182)</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(1,483)</w:t>
            </w:r>
          </w:p>
        </w:tc>
      </w:tr>
      <w:tr>
        <w:trPr>
          <w:trHeight w:val="183"/>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Increase (decrease) in accrued expenses and other liabilities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5,442</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(1,376)</w:t>
            </w:r>
          </w:p>
        </w:tc>
      </w:tr>
      <w:tr>
        <w:trPr>
          <w:trHeight w:val="183"/>
        </w:trPr>
        <w:tc>
          <w:tcPr>
            <w:tcW w:w="6760" w:type="dxa"/>
            <w:vAlign w:val="bottom"/>
            <w:tcBorders>
              <w:top w:val="single" w:sz="8" w:color="CCEEFF"/>
            </w:tcBorders>
          </w:tcPr>
          <w:p>
            <w:pPr>
              <w:ind w:left="360"/>
              <w:spacing w:after="0"/>
              <w:rPr>
                <w:sz w:val="20"/>
                <w:szCs w:val="20"/>
                <w:color w:val="auto"/>
              </w:rPr>
            </w:pPr>
            <w:r>
              <w:rPr>
                <w:rFonts w:ascii="Arial" w:cs="Arial" w:eastAsia="Arial" w:hAnsi="Arial"/>
                <w:sz w:val="15"/>
                <w:szCs w:val="15"/>
                <w:color w:val="auto"/>
              </w:rPr>
              <w:t>Total Adjustments</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18,132</w:t>
            </w: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938</w:t>
            </w: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2,838</w:t>
            </w:r>
          </w:p>
        </w:tc>
        <w:tc>
          <w:tcPr>
            <w:tcW w:w="100" w:type="dxa"/>
            <w:vAlign w:val="bottom"/>
            <w:tcBorders>
              <w:top w:val="single" w:sz="8" w:color="CCEEFF"/>
            </w:tcBorders>
          </w:tcPr>
          <w:p>
            <w:pPr>
              <w:spacing w:after="0"/>
              <w:rPr>
                <w:sz w:val="15"/>
                <w:szCs w:val="15"/>
                <w:color w:val="auto"/>
              </w:rPr>
            </w:pPr>
          </w:p>
        </w:tc>
      </w:tr>
      <w:tr>
        <w:trPr>
          <w:trHeight w:val="183"/>
        </w:trPr>
        <w:tc>
          <w:tcPr>
            <w:tcW w:w="676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Net Cash From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38,607</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23,704</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22,855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CASH FLOW USED IN INVESTING ACTIVITIES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sale of securities available for sale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17,308</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64,103</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12,037</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maturities, prepayments and calls of securities available for sale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173,723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203,029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167,040</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Purchases of securities available for sale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(100,584)</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(297,925)</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(234,693)</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Purchases of interest bearing deposits - time</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(4,595)</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maturity of interest bearing deposits - time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6,253</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6,222</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Redemption of Federal Home Loan Bank and Federal Reserve Bank stock</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4,906</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Purchase of Federal Reserve Bank stock</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(443)</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(458)</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increase in portfolio loans (loans originated, net of principal payments)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(406,859)</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(107,472)</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(74,343)</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Purchase of portfolio loans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(32,872)</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Cash received from the sale of Mepco Finance Corporation assets, net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33,446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cash paid for branch sale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(7,229)</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the collection of vehicle service contract counterparty receivables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4,786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1,092</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sale of other real estate and repossessed assets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5,703</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4,251</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6,179</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bank-owned life insurance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2,235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sale of property and equipment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100" w:type="dxa"/>
            <w:vAlign w:val="bottom"/>
            <w:shd w:val="clear" w:color="auto" w:fill="CCEEFF"/>
          </w:tcPr>
          <w:p>
            <w:pPr>
              <w:spacing w:after="0"/>
              <w:rPr>
                <w:sz w:val="16"/>
                <w:szCs w:val="16"/>
                <w:color w:val="auto"/>
              </w:rPr>
            </w:pPr>
          </w:p>
        </w:tc>
      </w:tr>
      <w:tr>
        <w:trPr>
          <w:trHeight w:val="176"/>
        </w:trPr>
        <w:tc>
          <w:tcPr>
            <w:tcW w:w="67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(4,242)</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(3,459)</w:t>
            </w:r>
          </w:p>
        </w:tc>
        <w:tc>
          <w:tcPr>
            <w:tcW w:w="2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(4,354)</w:t>
            </w:r>
          </w:p>
        </w:tc>
      </w:tr>
      <w:tr>
        <w:trPr>
          <w:trHeight w:val="27"/>
        </w:trPr>
        <w:tc>
          <w:tcPr>
            <w:tcW w:w="67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7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(277,578)</w:t>
            </w: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(138,855)</w:t>
            </w: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(160,513)</w:t>
            </w:r>
          </w:p>
        </w:tc>
      </w:tr>
      <w:tr>
        <w:trPr>
          <w:trHeight w:val="189"/>
        </w:trPr>
        <w:tc>
          <w:tcPr>
            <w:tcW w:w="676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CASH FLOW FROM FINANCING ACTIVITIES</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increase in total deposits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174,815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139,756</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170,314</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increase (decrease) in other borrowings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6,754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Federal Home Loan Bank advances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622,000</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Payments of Federal Home Loan Bank advances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(583,587)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(2,521)</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(615)</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Dividends paid</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(8,960)</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(7,274)</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(5,896)</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issuance of common stock</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(16,854)</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(13,498)</w:t>
            </w:r>
          </w:p>
        </w:tc>
      </w:tr>
      <w:tr>
        <w:trPr>
          <w:trHeight w:val="183"/>
        </w:trPr>
        <w:tc>
          <w:tcPr>
            <w:tcW w:w="6760" w:type="dxa"/>
            <w:vAlign w:val="bottom"/>
          </w:tcPr>
          <w:p>
            <w:pPr>
              <w:ind w:left="180"/>
              <w:spacing w:after="0"/>
              <w:rPr>
                <w:sz w:val="20"/>
                <w:szCs w:val="20"/>
                <w:color w:val="auto"/>
              </w:rPr>
            </w:pPr>
            <w:r>
              <w:rPr>
                <w:rFonts w:ascii="Arial" w:cs="Arial" w:eastAsia="Arial" w:hAnsi="Arial"/>
                <w:sz w:val="15"/>
                <w:szCs w:val="15"/>
                <w:color w:val="auto"/>
              </w:rPr>
              <w:t>Share based compensation withholding obligation</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(579)</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(627)</w:t>
            </w:r>
          </w:p>
        </w:tc>
        <w:tc>
          <w:tcPr>
            <w:tcW w:w="2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(1,091)</w:t>
            </w:r>
          </w:p>
        </w:tc>
      </w:tr>
      <w:tr>
        <w:trPr>
          <w:trHeight w:val="183"/>
        </w:trPr>
        <w:tc>
          <w:tcPr>
            <w:tcW w:w="676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Net Cash From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210,515</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112,562</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149,425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(28,456)</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(2,589)</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11,767</w:t>
            </w:r>
          </w:p>
        </w:tc>
        <w:tc>
          <w:tcPr>
            <w:tcW w:w="100" w:type="dxa"/>
            <w:vAlign w:val="bottom"/>
          </w:tcPr>
          <w:p>
            <w:pPr>
              <w:spacing w:after="0"/>
              <w:rPr>
                <w:sz w:val="16"/>
                <w:szCs w:val="16"/>
                <w:color w:val="auto"/>
              </w:rPr>
            </w:pPr>
          </w:p>
        </w:tc>
      </w:tr>
      <w:tr>
        <w:trPr>
          <w:trHeight w:val="183"/>
        </w:trPr>
        <w:tc>
          <w:tcPr>
            <w:tcW w:w="6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83,194</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85,783</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74,016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6"/>
        </w:trPr>
        <w:tc>
          <w:tcPr>
            <w:tcW w:w="6760" w:type="dxa"/>
            <w:vAlign w:val="bottom"/>
          </w:tcPr>
          <w:p>
            <w:pPr>
              <w:ind w:left="540"/>
              <w:spacing w:after="0"/>
              <w:rPr>
                <w:sz w:val="20"/>
                <w:szCs w:val="20"/>
                <w:color w:val="auto"/>
              </w:rPr>
            </w:pPr>
            <w:r>
              <w:rPr>
                <w:rFonts w:ascii="Arial" w:cs="Arial" w:eastAsia="Arial" w:hAnsi="Arial"/>
                <w:sz w:val="15"/>
                <w:szCs w:val="15"/>
                <w:color w:val="auto"/>
              </w:rPr>
              <w:t>Cash and Cash Equivalents at End of Year</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54,738</w:t>
            </w:r>
          </w:p>
        </w:tc>
        <w:tc>
          <w:tcPr>
            <w:tcW w:w="1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83,194</w:t>
            </w:r>
          </w:p>
        </w:tc>
        <w:tc>
          <w:tcPr>
            <w:tcW w:w="180" w:type="dxa"/>
            <w:vAlign w:val="bottom"/>
          </w:tcPr>
          <w:p>
            <w:pPr>
              <w:spacing w:after="0"/>
              <w:rPr>
                <w:sz w:val="15"/>
                <w:szCs w:val="15"/>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85,783</w:t>
            </w:r>
          </w:p>
        </w:tc>
        <w:tc>
          <w:tcPr>
            <w:tcW w:w="100" w:type="dxa"/>
            <w:vAlign w:val="bottom"/>
          </w:tcPr>
          <w:p>
            <w:pPr>
              <w:spacing w:after="0"/>
              <w:rPr>
                <w:sz w:val="15"/>
                <w:szCs w:val="15"/>
                <w:color w:val="auto"/>
              </w:rPr>
            </w:pPr>
          </w:p>
        </w:tc>
      </w:tr>
      <w:tr>
        <w:trPr>
          <w:trHeight w:val="28"/>
        </w:trPr>
        <w:tc>
          <w:tcPr>
            <w:tcW w:w="67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paid during the year for</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Interest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9,163</w:t>
            </w:r>
          </w:p>
        </w:tc>
        <w:tc>
          <w:tcPr>
            <w:tcW w:w="1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6,416</w:t>
            </w:r>
          </w:p>
        </w:tc>
        <w:tc>
          <w:tcPr>
            <w:tcW w:w="180" w:type="dxa"/>
            <w:vAlign w:val="bottom"/>
          </w:tcPr>
          <w:p>
            <w:pPr>
              <w:spacing w:after="0"/>
              <w:rPr>
                <w:sz w:val="16"/>
                <w:szCs w:val="16"/>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5,769</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Income taxes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Transfers to other real estate and repossessed assets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2,355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6,694</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Transfer of payment plan receivables to vehicle service contract counterparty receivables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1,203</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Purchase of securities available for sale and interest bearing deposits - time not yet settled</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1,582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Transfers to payment plan receivables and other assets held for sale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33,360</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93"/>
        </w:trPr>
        <w:tc>
          <w:tcPr>
            <w:tcW w:w="6760" w:type="dxa"/>
            <w:vAlign w:val="bottom"/>
          </w:tcPr>
          <w:p>
            <w:pPr>
              <w:spacing w:after="0"/>
              <w:rPr>
                <w:sz w:val="20"/>
                <w:szCs w:val="20"/>
                <w:color w:val="auto"/>
              </w:rPr>
            </w:pPr>
            <w:r>
              <w:rPr>
                <w:rFonts w:ascii="Arial" w:cs="Arial" w:eastAsia="Arial" w:hAnsi="Arial"/>
                <w:sz w:val="15"/>
                <w:szCs w:val="15"/>
                <w:color w:val="auto"/>
              </w:rPr>
              <w:t>Transfers to other liabilities held for sale</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loan losses (“AFLL”), the valuation of capitalized mortgage loan servicing rights and the valuation of deferred tax assets.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7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and Ohio that are served by our Bank’s branches and loan production offices. Through April, 2017 we also purchased payment plans from companies (which we referred to as “counterparties”) that provided vehicle service contracts and similar products to consumers, through our wholly owned subsidiary, Mepco Finance Corporation (“Mepco”) which was sold effective May 1, 2017. See note #26. At December 31, 2017, 73.9% of our Bank’s loan portfolio was secured by real estate.</w:t>
      </w:r>
    </w:p>
    <w:p>
      <w:pPr>
        <w:spacing w:after="0" w:line="5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Independent Bank</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its subsidiaries. The income, expenses, assets and liabilities of the subsidiaries are included in the respective accounts of the consolidated financial statements, after elimination of all material intercompany accounts and transactions.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STATEMENTS OF CASH FLOWS </w:t>
      </w:r>
      <w:r>
        <w:rPr>
          <w:rFonts w:ascii="Arial" w:cs="Arial" w:eastAsia="Arial" w:hAnsi="Arial"/>
          <w:sz w:val="18"/>
          <w:szCs w:val="18"/>
          <w:color w:val="auto"/>
        </w:rPr>
        <w:t>— For purposes of reporting cash flows, cash and cash equivalents include cash on hand,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due from banks, interest bearing deposits and federal funds sold. Generally, federal funds are sold for one-day periods. We report net cash flows for customer loan and deposit transactions, for short-term borrowings and for vehicle service contract counterparty payables prior to the sale of Mepco.</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INTEREST BEARING DEPOSITS </w:t>
      </w:r>
      <w:r>
        <w:rPr>
          <w:rFonts w:ascii="Arial" w:cs="Arial" w:eastAsia="Arial" w:hAnsi="Arial"/>
          <w:sz w:val="16"/>
          <w:szCs w:val="16"/>
          <w:color w:val="auto"/>
        </w:rPr>
        <w:t>— Interest bearing deposits consist of overnight deposits with the Federal Reserve Bank.</w:t>
      </w:r>
    </w:p>
    <w:p>
      <w:pPr>
        <w:spacing w:after="0" w:line="14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INTEREST BEARING DEPOSITS - TIME </w:t>
      </w:r>
      <w:r>
        <w:rPr>
          <w:rFonts w:ascii="Arial" w:cs="Arial" w:eastAsia="Arial" w:hAnsi="Arial"/>
          <w:sz w:val="18"/>
          <w:szCs w:val="18"/>
          <w:color w:val="auto"/>
        </w:rPr>
        <w:t>— Interest bearing deposits - time consist of deposits with original maturities of 3</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more.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 Mortgage loans originated and intended for sale in the secondary market are carried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Fair value adjustments, as well as realized gains and losses, are recorded in current earnings.</w:t>
      </w:r>
    </w:p>
    <w:p>
      <w:pPr>
        <w:spacing w:after="0" w:line="10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PAYMENT PLAN RECEIVABLES AND OTHER ASSETS HELD FOR SALE </w:t>
      </w:r>
      <w:r>
        <w:rPr>
          <w:rFonts w:ascii="Arial" w:cs="Arial" w:eastAsia="Arial" w:hAnsi="Arial"/>
          <w:sz w:val="18"/>
          <w:szCs w:val="18"/>
          <w:color w:val="auto"/>
        </w:rPr>
        <w:t>— On December 30, 2016 Mepco executed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Purchase Agreement (the “APA”) with Seabury Asset Management LLC (“Seabury”). Pursuant to the terms of the APA, Mepco sold its payment plan processing business, payment plan receivables, commercial loans and certain other assets to Seabury, who also assumed certain liabilities of Mepco effective May 1, 2017. These assets and liabilities are categorized as “held for sale” in our December 31, 2016 Consolidated Statement of Financial Condition. There were no fair value adjustments recorded in 2017 related to the sale of Mepco. See note #26.</w:t>
      </w:r>
    </w:p>
    <w:p>
      <w:pPr>
        <w:spacing w:after="0" w:line="8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OPERATING SEGMENTS </w:t>
      </w:r>
      <w:r>
        <w:rPr>
          <w:rFonts w:ascii="Arial" w:cs="Arial" w:eastAsia="Arial" w:hAnsi="Arial"/>
          <w:sz w:val="18"/>
          <w:szCs w:val="18"/>
          <w:color w:val="auto"/>
        </w:rPr>
        <w:t>— While chief decision-makers monitor the revenue streams of our various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are managed and financial performance is evaluated as one single unit. Discrete financial information is not available other than on a consolidated basis for material lines of business. Prior to 2016, we reported on two segments: Independent Bank and Mepco. However, given the significant reduction in the size of Mepco’s business and its relative immateriality, we eliminated any separate segment reporting on Mepco during 2016.</w:t>
      </w:r>
    </w:p>
    <w:p>
      <w:pPr>
        <w:spacing w:after="0" w:line="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CAPITALIZED MORTGAGE LOAN SERVICING RIGHTS </w:t>
      </w:r>
      <w:r>
        <w:rPr>
          <w:rFonts w:ascii="Arial" w:cs="Arial" w:eastAsia="Arial" w:hAnsi="Arial"/>
          <w:sz w:val="18"/>
          <w:szCs w:val="18"/>
          <w:color w:val="auto"/>
        </w:rPr>
        <w:t>— During the first quarter of 2017, we adopted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for our capitalized mortgage loan servicing rights pursuant to Financial Accounting Standards Board (“FASB”) Accounting Standards Codification topic 860 – “Transfers and Servicing”. Prior to January 1, 2017, we were accounting for our capitalized mortgage loan servicing rights under the amortization method. We adopted the fair value method using a modified retrospective adjustment to beginning accumulated deficit. The impact of the adoption of the fair value method is summarized in the table below under Adoption of New Accounting Standards. The adjustments below reflect the recording of a $0.54 million increase in the fair value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capitalized mortgage loan servicing rights with a $0.19 million reduction in deferred tax assets, net for a net impact on accumulated deficit and total equity of $0.35 million.</w:t>
      </w:r>
    </w:p>
    <w:p>
      <w:pPr>
        <w:spacing w:after="0" w:line="6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values of capitalized mortgage loan servicing rights are subject to significant fluctuations as a result of changes in estimated and actual prepayment speeds and default rates and losses. Prior to January 1, 2017, capitalized mortgage loan servicing rights were amortized in proportion to and over the period of estimated net loan servicing income. We assessed capitalized mortgage loan servicing rights for impairment based on the fair value of those rights. For purposes of measuring impairment, the characteristics used included interest rate, term and type. Amortization of and changes in the impairment reserve on capitalized mortgage loan servicing rights were included in mortgage loan servicing, net in the Consolidated Statements of Operations.</w:t>
      </w:r>
    </w:p>
    <w:p>
      <w:pPr>
        <w:spacing w:after="0" w:line="7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or amortization of and changes in the impairment reserve on capitalized mortgage loan servicing rights, totaled $4.4 million, $4.1 million and $4.1 million for the years ended December 31, 2017, 2016 and 2015, respectively. Late fees and ancillary fees related to loan servicing are not material.</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TRANSFERS OF FINANCIAL ASSETS </w:t>
      </w:r>
      <w:r>
        <w:rPr>
          <w:rFonts w:ascii="Arial" w:cs="Arial" w:eastAsia="Arial" w:hAnsi="Arial"/>
          <w:sz w:val="18"/>
          <w:szCs w:val="18"/>
          <w:color w:val="auto"/>
        </w:rPr>
        <w:t>— Transfers of financial assets are accounted for as sales when control over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relinquished. Control over transferred assets is deemed to be surrendered when the assets 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8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 We classify our securities as trading, held to maturity or available for sale. Trading securities are bought and</w:t>
      </w:r>
      <w:r>
        <w:rPr>
          <w:rFonts w:ascii="Arial" w:cs="Arial" w:eastAsia="Arial" w:hAnsi="Arial"/>
          <w:sz w:val="17"/>
          <w:szCs w:val="17"/>
          <w:i w:val="1"/>
          <w:iCs w:val="1"/>
          <w:color w:val="auto"/>
        </w:rPr>
        <w:t xml:space="preserve"> </w:t>
      </w:r>
      <w:r>
        <w:rPr>
          <w:rFonts w:ascii="Arial" w:cs="Arial" w:eastAsia="Arial" w:hAnsi="Arial"/>
          <w:sz w:val="17"/>
          <w:szCs w:val="17"/>
          <w:color w:val="auto"/>
        </w:rPr>
        <w:t>held principally for the purpose of selling them in the near term and are reported at fair value with realized and unrealized gains and losses included in earnings. Securities held to maturity represent those securities for which we have the positive intent and ability to hold until maturity and are reported at cost, adjusted for amortization of premiums and accretion of discounts computed on the level-yield method. We did not have any securities held to maturity at December 31, 2017 and 2016. Securities available for sale represent those securities not classified as trading or held to maturity and are reported at fair value with unrealized gains and losses, net of applicable income taxes reported in other comprehensive income (loss).</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evaluate securities for other than temporary impairment (“OTTI”) at least on a quarterly basis and more frequently when economic or market conditions warrant such an evaluation. In performing this evaluation,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 The credit loss is defined as the difference between the present value of the cash flows expected to be collected and the amortized cost basis.</w:t>
      </w:r>
    </w:p>
    <w:p>
      <w:pPr>
        <w:spacing w:after="0" w:line="7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Gains and losses realized on the sale of securities available for sale are determined using the specific identification method and are recognized on a trade-date basis.</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FEDERAL HOME LOAN BANK (“FHLB”) STOCK </w:t>
      </w:r>
      <w:r>
        <w:rPr>
          <w:rFonts w:ascii="Arial" w:cs="Arial" w:eastAsia="Arial" w:hAnsi="Arial"/>
          <w:sz w:val="18"/>
          <w:szCs w:val="18"/>
          <w:color w:val="auto"/>
        </w:rPr>
        <w:t>— Our Bank subsidiary is a member of the FHLB system. Members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i w:val="1"/>
          <w:iCs w:val="1"/>
          <w:color w:val="auto"/>
        </w:rPr>
        <w:t xml:space="preserve">FEDERAL RESERVE BANK (“FRB”) STOCK </w:t>
      </w:r>
      <w:r>
        <w:rPr>
          <w:rFonts w:ascii="Arial" w:cs="Arial" w:eastAsia="Arial" w:hAnsi="Arial"/>
          <w:sz w:val="18"/>
          <w:szCs w:val="18"/>
          <w:color w:val="auto"/>
        </w:rPr>
        <w:t>— Our Bank subsidiary is a member of its regional Federal Reserve Bank.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79" w:lineRule="exact"/>
        <w:rPr>
          <w:sz w:val="20"/>
          <w:szCs w:val="20"/>
          <w:color w:val="auto"/>
        </w:rPr>
      </w:pPr>
    </w:p>
    <w:p>
      <w:pPr>
        <w:jc w:val="both"/>
        <w:ind w:left="7" w:firstLine="360"/>
        <w:spacing w:after="0" w:line="269" w:lineRule="auto"/>
        <w:rPr>
          <w:sz w:val="20"/>
          <w:szCs w:val="20"/>
          <w:color w:val="auto"/>
        </w:rPr>
      </w:pPr>
      <w:r>
        <w:rPr>
          <w:rFonts w:ascii="Arial" w:cs="Arial" w:eastAsia="Arial" w:hAnsi="Arial"/>
          <w:sz w:val="17"/>
          <w:szCs w:val="17"/>
          <w:i w:val="1"/>
          <w:iCs w:val="1"/>
          <w:color w:val="auto"/>
        </w:rPr>
        <w:t xml:space="preserve">LOAN REVENUE RECOGNITION </w:t>
      </w:r>
      <w:r>
        <w:rPr>
          <w:rFonts w:ascii="Arial" w:cs="Arial" w:eastAsia="Arial" w:hAnsi="Arial"/>
          <w:sz w:val="17"/>
          <w:szCs w:val="17"/>
          <w:color w:val="auto"/>
        </w:rPr>
        <w:t>— Interest on loans is accrued based on the principal amounts outstanding. In general,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accrual of interest income 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segments is based on the actual number of days past due as required by the contractual terms of the loan agreement while delinquency status for mortgage loan segment classes is based on the number of payments past due.</w:t>
      </w:r>
    </w:p>
    <w:p>
      <w:pPr>
        <w:spacing w:after="0" w:line="75" w:lineRule="exact"/>
        <w:rPr>
          <w:sz w:val="20"/>
          <w:szCs w:val="20"/>
          <w:color w:val="auto"/>
        </w:rPr>
      </w:pPr>
    </w:p>
    <w:p>
      <w:pPr>
        <w:jc w:val="both"/>
        <w:ind w:left="7" w:firstLine="360"/>
        <w:spacing w:after="0" w:line="302" w:lineRule="auto"/>
        <w:rPr>
          <w:sz w:val="20"/>
          <w:szCs w:val="20"/>
          <w:color w:val="auto"/>
        </w:rPr>
      </w:pPr>
      <w:r>
        <w:rPr>
          <w:rFonts w:ascii="Arial" w:cs="Arial" w:eastAsia="Arial" w:hAnsi="Arial"/>
          <w:sz w:val="16"/>
          <w:szCs w:val="16"/>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46"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i w:val="1"/>
          <w:iCs w:val="1"/>
          <w:color w:val="auto"/>
        </w:rPr>
        <w:t xml:space="preserve">PAYMENT PLAN RECEIVABLE REVENUE RECOGNITION </w:t>
      </w:r>
      <w:r>
        <w:rPr>
          <w:rFonts w:ascii="Arial" w:cs="Arial" w:eastAsia="Arial" w:hAnsi="Arial"/>
          <w:sz w:val="18"/>
          <w:szCs w:val="18"/>
          <w:color w:val="auto"/>
        </w:rPr>
        <w:t>— Payment plan receivables were acquired by Mepco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which was accreted into interest and fees on loans in the Consolidated Statements of Operations over the life of the receivable computed on a level-yield method.</w:t>
      </w:r>
    </w:p>
    <w:p>
      <w:pPr>
        <w:spacing w:after="0" w:line="73" w:lineRule="exact"/>
        <w:rPr>
          <w:sz w:val="20"/>
          <w:szCs w:val="20"/>
          <w:color w:val="auto"/>
        </w:rPr>
      </w:pPr>
    </w:p>
    <w:p>
      <w:pPr>
        <w:jc w:val="both"/>
        <w:ind w:left="7" w:firstLine="360"/>
        <w:spacing w:after="0" w:line="241"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 Portfolios are disaggregated into segments for purposes of determining the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loan losses (“AFLL”) which include commercial, mortgage and installment loans. These segments are further disaggregated into classes for purposes of monitoring and assessing credit quality based on certain risk characteristics. Classes within the commercial loan segment include (i) income producing – real estate, (ii) land, land development and construction – real estate and (iii) commercial and industrial. Classes within the mortgage loan segment include (i) 1-4 family, (ii) resort lending, (iii) home equity –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lien, (iv) home equity – 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lien and beginning in 2015 (v) purchased loans. Classes within the installment loan segment include</w:t>
      </w:r>
    </w:p>
    <w:p>
      <w:pPr>
        <w:spacing w:after="0" w:line="5" w:lineRule="exact"/>
        <w:rPr>
          <w:sz w:val="20"/>
          <w:szCs w:val="20"/>
          <w:color w:val="auto"/>
        </w:rPr>
      </w:pPr>
    </w:p>
    <w:p>
      <w:pPr>
        <w:jc w:val="both"/>
        <w:ind w:left="7" w:hanging="7"/>
        <w:spacing w:after="0" w:line="247" w:lineRule="auto"/>
        <w:tabs>
          <w:tab w:leader="none" w:pos="2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home equity – 1</w:t>
      </w:r>
      <w:r>
        <w:rPr>
          <w:rFonts w:ascii="Arial" w:cs="Arial" w:eastAsia="Arial" w:hAnsi="Arial"/>
          <w:sz w:val="26"/>
          <w:szCs w:val="26"/>
          <w:color w:val="auto"/>
          <w:vertAlign w:val="superscript"/>
        </w:rPr>
        <w:t>st</w:t>
      </w:r>
      <w:r>
        <w:rPr>
          <w:rFonts w:ascii="Arial" w:cs="Arial" w:eastAsia="Arial" w:hAnsi="Arial"/>
          <w:sz w:val="17"/>
          <w:szCs w:val="17"/>
          <w:color w:val="auto"/>
        </w:rPr>
        <w:t xml:space="preserve"> lien, (ii) home equity – 2</w:t>
      </w:r>
      <w:r>
        <w:rPr>
          <w:rFonts w:ascii="Arial" w:cs="Arial" w:eastAsia="Arial" w:hAnsi="Arial"/>
          <w:sz w:val="26"/>
          <w:szCs w:val="26"/>
          <w:color w:val="auto"/>
          <w:vertAlign w:val="superscript"/>
        </w:rPr>
        <w:t>nd</w:t>
      </w:r>
      <w:r>
        <w:rPr>
          <w:rFonts w:ascii="Arial" w:cs="Arial" w:eastAsia="Arial" w:hAnsi="Arial"/>
          <w:sz w:val="17"/>
          <w:szCs w:val="17"/>
          <w:color w:val="auto"/>
        </w:rPr>
        <w:t xml:space="preserve"> lien, (iii) boat lending, (iv) recreational vehicle lending, and (v)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AFLL by portfolio segment and credit quality information by class, see note #4.</w:t>
      </w:r>
    </w:p>
    <w:p>
      <w:pPr>
        <w:spacing w:after="0" w:line="89" w:lineRule="exact"/>
        <w:rPr>
          <w:sz w:val="20"/>
          <w:szCs w:val="20"/>
          <w:color w:val="auto"/>
        </w:rPr>
      </w:pPr>
    </w:p>
    <w:p>
      <w:pPr>
        <w:jc w:val="both"/>
        <w:ind w:left="7" w:firstLine="360"/>
        <w:spacing w:after="0" w:line="273" w:lineRule="auto"/>
        <w:rPr>
          <w:sz w:val="20"/>
          <w:szCs w:val="20"/>
          <w:color w:val="auto"/>
        </w:rPr>
      </w:pPr>
      <w:r>
        <w:rPr>
          <w:rFonts w:ascii="Arial" w:cs="Arial" w:eastAsia="Arial" w:hAnsi="Arial"/>
          <w:sz w:val="17"/>
          <w:szCs w:val="17"/>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allocations based on subjective factors, including local and general economic business factors and trends, portfolio concentrations and changes in the size and/or the general terms of the loan portfolios.</w:t>
      </w:r>
    </w:p>
    <w:p>
      <w:pPr>
        <w:spacing w:after="0" w:line="70"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color w:val="auto"/>
        </w:rPr>
        <w:t>The first AFLL element (specific allocations) reflects our estimate of probable incurred losses based upon our systematic review of specific loans. These estimates are based upon a number of objective factors, such as payment history, financial condition of the borrower, discounted collateral exposure and discounted cash flow analysis. Impaired commercial, mortgage and installment loans are allocated allowance amounts using this first element. The second AFLL element (other adversely rated commercial loans) reflects the application of our loan rating system. This rating system is similar to those employed by state and federal banking regulators. Commercial loans that are</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reasonably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generally charge-off commercial, homogenous residential mortgage and installment loans (and payment plan receivables prior to the sale of Mepco) when they are deemed uncollectible or reach a predetermined number of days past due based on loan product, industry practice and other factors. Collection efforts may continue and recoveries may occur after a loan is charged against the AFLL.</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A loan is impaired when full payment under the loan terms is not expected. Generally, those loans included in each commercial loan class that are rated substandard, classified as non-performing or were classified as non-performing in the preceding quarter, are evaluated for impairment. Those loans included in each mortgage loan or installment loan class whose terms have been modified and considered a troubled debt restructuring are also impaired. Loans which have been modified resulting in a concession, and which the borrower is experiencing financial difficulties, are considered troubled debt restructurings (“TDR”) and classified as impaired. We measure our investment in an impaired loan based on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(and each payment plan receivable class prior to the sale of Mepco), are collectively evaluated for impairment and accordingly, they are not separately identified for impairment disclosures.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new debt with similar credit risk characteristics, and other terms no less favorable to us than those we would offer for similar new debt.</w:t>
      </w:r>
    </w:p>
    <w:p>
      <w:pPr>
        <w:spacing w:after="0" w:line="6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is stated at cost less accumulated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4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BANK OWNED LIFE INSURANCE </w:t>
      </w:r>
      <w:r>
        <w:rPr>
          <w:rFonts w:ascii="Arial" w:cs="Arial" w:eastAsia="Arial" w:hAnsi="Arial"/>
          <w:sz w:val="18"/>
          <w:szCs w:val="18"/>
          <w:color w:val="auto"/>
        </w:rPr>
        <w:t>— We have purchased a group flexible premium non-participating variable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on approximately 266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i w:val="1"/>
          <w:iCs w:val="1"/>
          <w:color w:val="auto"/>
        </w:rPr>
        <w:t xml:space="preserve">OTHER REAL ESTATE AND REPOSSESSED ASSETS </w:t>
      </w:r>
      <w:r>
        <w:rPr>
          <w:rFonts w:ascii="Arial" w:cs="Arial" w:eastAsia="Arial" w:hAnsi="Arial"/>
          <w:sz w:val="16"/>
          <w:szCs w:val="16"/>
          <w:color w:val="auto"/>
        </w:rPr>
        <w:t>— Other real estate at the time of acquisition is recorded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less estimated costs to sell, which becomes the property’s new basis. Fair value is typically determined by a third party appraisal of the property. Any write-downs at date of acquisition are charged to the AFLL. Expense incurred in maintaining other real estate and subsequent write-downs to reflect declines in value and gains or losses on the sale of other real estate are recorded in the Consolidated Statements of Operations. Non-real estate repossessed assets are treated in a similar manner.</w:t>
      </w:r>
    </w:p>
    <w:p>
      <w:pPr>
        <w:spacing w:after="0" w:line="50"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i w:val="1"/>
          <w:iCs w:val="1"/>
          <w:color w:val="auto"/>
        </w:rPr>
        <w:t xml:space="preserve">OTHER INTANGIBLES </w:t>
      </w:r>
      <w:r>
        <w:rPr>
          <w:rFonts w:ascii="Arial" w:cs="Arial" w:eastAsia="Arial" w:hAnsi="Arial"/>
          <w:sz w:val="16"/>
          <w:szCs w:val="16"/>
          <w:color w:val="auto"/>
        </w:rPr>
        <w:t>— Other intangible assets consist of core deposits. They are initially measured at fair value and then</w:t>
      </w:r>
      <w:r>
        <w:rPr>
          <w:rFonts w:ascii="Arial" w:cs="Arial" w:eastAsia="Arial" w:hAnsi="Arial"/>
          <w:sz w:val="16"/>
          <w:szCs w:val="16"/>
          <w:i w:val="1"/>
          <w:iCs w:val="1"/>
          <w:color w:val="auto"/>
        </w:rPr>
        <w:t xml:space="preserve"> </w:t>
      </w:r>
      <w:r>
        <w:rPr>
          <w:rFonts w:ascii="Arial" w:cs="Arial" w:eastAsia="Arial" w:hAnsi="Arial"/>
          <w:sz w:val="16"/>
          <w:szCs w:val="16"/>
          <w:color w:val="auto"/>
        </w:rPr>
        <w:t>are amortized on both straight-line and accelerated methods over their estimated useful lives, which range from 10 to 15 years.</w:t>
      </w:r>
    </w:p>
    <w:p>
      <w:pPr>
        <w:spacing w:after="0" w:line="16"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We employ the asset and liability method of accounting for income taxes. This method establishes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6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recognize interest and/or penalties related to income tax matters in income tax expense.</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file a consolidated federal income tax return. Intercompany tax liabilities are settled as if each subsidiary filed a separate return.</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COMMITMENTS TO EXTEND CREDIT AND RELATED FINANCIAL INSTRUMENTS </w:t>
      </w:r>
      <w:r>
        <w:rPr>
          <w:rFonts w:ascii="Arial" w:cs="Arial" w:eastAsia="Arial" w:hAnsi="Arial"/>
          <w:sz w:val="17"/>
          <w:szCs w:val="17"/>
          <w:color w:val="auto"/>
        </w:rPr>
        <w:t>— Financial instruments may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AFLL.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other in our Consolidated Statements of Operations.</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record derivatives on our Consolidated Statements of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assets and liabilities measured at their fair value. The accounting for increases and decreases in the value of derivatives depends upon the use of derivatives and whether the derivatives qualify for hedge accounting.</w:t>
      </w:r>
    </w:p>
    <w:p>
      <w:pPr>
        <w:spacing w:after="0" w:line="7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(loss) and is reclassified into earnings in the same periods during which the hedged transaction affects earnings. We did not have any Fair Value Hedges at December 31, 2017 or 2016. For both types of hedges, changes in the fair value of derivatives that are not highly effective in hedging the changes in fair value or expected cash flows of the hedged item are recognized immediately in current earnings. For instruments with no hedging designation, the gain or loss on the derivative is reported in earnings. These free standing instruments currently consist of (i) mortgage banking related derivatives and include rate-lock loan commitments to fund mortgage loans (interest rate locks) to be sold into the secondary market and mandatory forward commitments for the future delivery of these mortgage loans, (ii) certain pay-fixed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pay-variable interest rate swap agreements related to commercial loan customers and (iii) certain purchased and written options related to a time deposit product.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 Fair values of the purchased and written options are based on prices of financial instruments with similar characteristics and are included in net interest income in the Consolidated Statements of Operations.</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Net cash settlements on derivatives that qualify for hedge accounting are recorded in interest expense in the Consolidated Statements of Operations. Net cash settlements on derivatives that do not qualify for hedge accounting are reported in non-interest income (mortgage banking related derivatives) or net interest income (interest rate swap agreements and options) in the Consolidated Statements of Operations. Cash flows on hedges are classified in the cash flow statement the same as the cash flows of the items being hedged.</w:t>
      </w:r>
    </w:p>
    <w:p>
      <w:pPr>
        <w:spacing w:after="0" w:line="8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We formally document the relationship between derivatives and hedged items, as well as the risk- 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also assess, both at the hedge’s inception and on an ongoing basis, whether the derivative instruments that are used are highly effective in offsetting changes in fair values or cash flows of the hedged items.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8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loss are amortized into earnings over the same periods which the hedged transactions will affect earnings.</w:t>
      </w:r>
    </w:p>
    <w:p>
      <w:pPr>
        <w:spacing w:after="0" w:line="5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Comprehensive income consists of net income and unrealized gains and losses, net of tax, on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available for sale and derivative instruments classified as cash flow hedges.</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NET INCOME PER COMMON SHARE </w:t>
      </w:r>
      <w:r>
        <w:rPr>
          <w:rFonts w:ascii="Arial" w:cs="Arial" w:eastAsia="Arial" w:hAnsi="Arial"/>
          <w:sz w:val="17"/>
          <w:szCs w:val="17"/>
          <w:color w:val="auto"/>
        </w:rPr>
        <w:t>— Basic net income per common share is computed by dividing net income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number of 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restricted stock units, performance share units and stock units for a deferred compensation plan for non-employee directors.</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SHARE BASED COMPENSATION </w:t>
      </w:r>
      <w:r>
        <w:rPr>
          <w:rFonts w:ascii="Arial" w:cs="Arial" w:eastAsia="Arial" w:hAnsi="Arial"/>
          <w:sz w:val="18"/>
          <w:szCs w:val="18"/>
          <w:color w:val="auto"/>
        </w:rPr>
        <w:t>— Cost is recognized for non-vested share awards issued to employees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these awards at the 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Cost is also recognized for stock issued to non-employee directors. These shares vest immediately and cost is recognized during the period they are issued.</w:t>
      </w:r>
    </w:p>
    <w:p>
      <w:pPr>
        <w:spacing w:after="0" w:line="85"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At December 31, 2017, 0.1 million shares of common stock were reserved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reinvestment plan and 0.5 million shares of common stock were reserved for issuance under our long-term incentive plans.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 Certain amounts in the 2016 and 2015 consolidated financial statements have been reclassified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to the 2017 presentation.</w:t>
      </w:r>
    </w:p>
    <w:p>
      <w:pPr>
        <w:spacing w:after="0" w:line="62" w:lineRule="exact"/>
        <w:rPr>
          <w:sz w:val="20"/>
          <w:szCs w:val="20"/>
          <w:color w:val="auto"/>
        </w:rPr>
      </w:pPr>
    </w:p>
    <w:p>
      <w:pPr>
        <w:jc w:val="both"/>
        <w:ind w:left="7" w:firstLine="360"/>
        <w:spacing w:after="0" w:line="287" w:lineRule="auto"/>
        <w:rPr>
          <w:sz w:val="20"/>
          <w:szCs w:val="20"/>
          <w:color w:val="auto"/>
        </w:rPr>
      </w:pPr>
      <w:r>
        <w:rPr>
          <w:rFonts w:ascii="Arial" w:cs="Arial" w:eastAsia="Arial" w:hAnsi="Arial"/>
          <w:sz w:val="16"/>
          <w:szCs w:val="16"/>
          <w:i w:val="1"/>
          <w:iCs w:val="1"/>
          <w:color w:val="auto"/>
        </w:rPr>
        <w:t xml:space="preserve">ADOPTION OF NEW ACCOUNTING STANDARDS </w:t>
      </w:r>
      <w:r>
        <w:rPr>
          <w:rFonts w:ascii="Arial" w:cs="Arial" w:eastAsia="Arial" w:hAnsi="Arial"/>
          <w:sz w:val="16"/>
          <w:szCs w:val="16"/>
          <w:color w:val="auto"/>
        </w:rPr>
        <w:t>— In March 2017, the FASB issued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2017-08, “Receivables-Nonrefundable Fees and Other Costs (Subtopic 310-20) Premium Amortization on Purchased Callable Debt Securities” (“ASU 2017-08”). This ASU shortens the amortization period for certain callable debt securities held at a premium. Specifically, the amendments require the premium to be amortized to the earliest call date. The amendments do not require an accounting change for securities held at a discount; the discount continues to be accreted to maturity. This amended guidance is effective for us on January 1, 2019, with early adoption permitted. We adopted this amended guidance during the first quarter of 2017 using a modified retrospective approach. The impact of this adoption was to adjust our January 1, 2017 Consolidated Statement of Financial Position to reflect cumulative effect adjustments as summarized in the table below. The adjustments below reflect the recording of $0.46 million ($0.30 million, net of tax) of additional premium amortization on securities available for sale and a $0.30 million decrease in accumulated other comprehensive loss to reflect the decrease in after tax unrealized losses on securities available for sale as of January 1, 2017 as a result of adopting this amended guidance. After January 1, 2017, premium amortization on certain callable debt securities is now amortized to the first call date.</w:t>
      </w:r>
    </w:p>
    <w:p>
      <w:pPr>
        <w:spacing w:after="0" w:line="61"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The impact of the adoption of the fair value method of accounting for our capitalized mortgage loan servicing rights and the adoption of ASU 2017-08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January 1,</w:t>
            </w:r>
          </w:p>
        </w:tc>
      </w:tr>
      <w:tr>
        <w:trPr>
          <w:trHeight w:val="162"/>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Originally</w:t>
            </w: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Retrospective</w:t>
            </w:r>
          </w:p>
        </w:tc>
        <w:tc>
          <w:tcPr>
            <w:tcW w:w="16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8"/>
              </w:rPr>
              <w:t>Presented</w:t>
            </w:r>
          </w:p>
        </w:tc>
        <w:tc>
          <w:tcPr>
            <w:tcW w:w="180" w:type="dxa"/>
            <w:vAlign w:val="bottom"/>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140"/>
              <w:spacing w:after="0" w:line="230" w:lineRule="exact"/>
              <w:rPr>
                <w:sz w:val="20"/>
                <w:szCs w:val="20"/>
                <w:color w:val="auto"/>
              </w:rPr>
            </w:pPr>
            <w:r>
              <w:rPr>
                <w:rFonts w:ascii="Arial" w:cs="Arial" w:eastAsia="Arial" w:hAnsi="Arial"/>
                <w:sz w:val="16"/>
                <w:szCs w:val="16"/>
                <w:color w:val="auto"/>
              </w:rPr>
              <w:t>(190)</w:t>
            </w:r>
            <w:r>
              <w:rPr>
                <w:rFonts w:ascii="Arial" w:cs="Arial" w:eastAsia="Arial" w:hAnsi="Arial"/>
                <w:sz w:val="26"/>
                <w:szCs w:val="26"/>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32,628</w:t>
            </w:r>
          </w:p>
        </w:tc>
        <w:tc>
          <w:tcPr>
            <w:tcW w:w="100" w:type="dxa"/>
            <w:vAlign w:val="bottom"/>
            <w:shd w:val="clear" w:color="auto" w:fill="CCEEFF"/>
          </w:tcPr>
          <w:p>
            <w:pPr>
              <w:spacing w:after="0"/>
              <w:rPr>
                <w:sz w:val="21"/>
                <w:szCs w:val="21"/>
                <w:color w:val="auto"/>
              </w:rPr>
            </w:pP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Capitalized mortgage loan servicing rights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13,671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r>
              <w:rPr>
                <w:rFonts w:ascii="Arial" w:cs="Arial" w:eastAsia="Arial" w:hAnsi="Arial"/>
                <w:sz w:val="14"/>
                <w:szCs w:val="14"/>
                <w:color w:val="auto"/>
              </w:rPr>
              <w:t>(1)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2,548,950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2,549,302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r>
              <w:rPr>
                <w:rFonts w:ascii="Arial" w:cs="Arial" w:eastAsia="Arial" w:hAnsi="Arial"/>
                <w:sz w:val="14"/>
                <w:szCs w:val="14"/>
                <w:color w:val="auto"/>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44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140"/>
              <w:spacing w:after="0" w:line="230" w:lineRule="exact"/>
              <w:rPr>
                <w:sz w:val="20"/>
                <w:szCs w:val="20"/>
                <w:color w:val="auto"/>
              </w:rPr>
            </w:pPr>
            <w:r>
              <w:rPr>
                <w:rFonts w:ascii="Arial" w:cs="Arial" w:eastAsia="Arial" w:hAnsi="Arial"/>
                <w:sz w:val="16"/>
                <w:szCs w:val="16"/>
                <w:color w:val="auto"/>
              </w:rPr>
              <w:t>(300)</w:t>
            </w:r>
            <w:r>
              <w:rPr>
                <w:rFonts w:ascii="Arial" w:cs="Arial" w:eastAsia="Arial" w:hAnsi="Arial"/>
                <w:sz w:val="26"/>
                <w:szCs w:val="26"/>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(65,605)</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(8,808)</w:t>
            </w:r>
          </w:p>
        </w:tc>
      </w:tr>
      <w:tr>
        <w:trPr>
          <w:trHeight w:val="28"/>
        </w:trPr>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2,548,950</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2,549,302</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94" w:lineRule="exact"/>
        <w:rPr>
          <w:sz w:val="20"/>
          <w:szCs w:val="20"/>
          <w:color w:val="auto"/>
        </w:rPr>
      </w:pPr>
    </w:p>
    <w:p>
      <w:pPr>
        <w:ind w:left="347" w:hanging="347"/>
        <w:spacing w:after="0" w:line="308" w:lineRule="auto"/>
        <w:tabs>
          <w:tab w:leader="none" w:pos="347"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adjustment to capitalized mortgage loan servicing rights, deferred tax assets, net, and accumulated deficit to reflect the adoption of the fair value method of accounting for our capitalized mortgage loan servicing rights.</w:t>
      </w:r>
    </w:p>
    <w:p>
      <w:pPr>
        <w:spacing w:after="0" w:line="38" w:lineRule="exact"/>
        <w:rPr>
          <w:rFonts w:ascii="Arial" w:cs="Arial" w:eastAsia="Arial" w:hAnsi="Arial"/>
          <w:sz w:val="17"/>
          <w:szCs w:val="17"/>
          <w:color w:val="auto"/>
        </w:rPr>
      </w:pPr>
    </w:p>
    <w:p>
      <w:pPr>
        <w:ind w:left="347" w:right="20" w:hanging="347"/>
        <w:spacing w:after="0" w:line="277" w:lineRule="auto"/>
        <w:tabs>
          <w:tab w:leader="none" w:pos="3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adjustment to accumulated deficit and accumulated other comprehensive loss to reflect the adoption of ASU 2017-08.</w:t>
      </w:r>
    </w:p>
    <w:p>
      <w:pPr>
        <w:spacing w:after="0" w:line="62" w:lineRule="exact"/>
        <w:rPr>
          <w:sz w:val="20"/>
          <w:szCs w:val="20"/>
          <w:color w:val="auto"/>
        </w:rPr>
      </w:pPr>
    </w:p>
    <w:p>
      <w:pPr>
        <w:jc w:val="both"/>
        <w:ind w:left="7" w:firstLine="360"/>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guidance on specific topics and expands and improves disclosures about revenue. In addition, this ASU specifies the accounting for some costs to obtain or fulfill a contract with a customer. This amended guidance was effective for us on January 1, 2018, and did not have a material impact on our consolidated operating results or financial condition. We adopted this ASU using the modified retrospective approach with no material impact to our accumulated deficit at January 1, 2018. Financial instruments for the most part and related contractual rights and obligations which are the sources of the majority of our operating</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are excluded from the scope of this amended guidance. In addition, for those operating revenue streams that are included in the scope of this amended guidance, based upon our review of these sources of income they are not expected to be materially impacted by this amended guidance.</w:t>
      </w:r>
    </w:p>
    <w:p>
      <w:pPr>
        <w:spacing w:after="0" w:line="7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This amended guidance is effective for us on January 1, 2018. We have reviewed the types of financial instruments impacted by this amended guidance, including certain equity investments and liabilities measured under the fair value election, and have determined that we do not currently own any such instruments. The balance of this amended guidance is expected to impact certain disclosure items but is not expected to have any impact on our consolidated operating results or financial condition.</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(see note #18) we do not expect a material change in the recognition, measurement and presentation of lease expense or impact on cash flow. While the primary impact will be the recognition of certain operating leases on our Consolidated Statements of Financial Condition, this impact is not expected to be material.</w:t>
      </w:r>
    </w:p>
    <w:p>
      <w:pPr>
        <w:spacing w:after="0" w:line="5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the ASU. We are currently in the process of gathering data and reviewing loss methodologies and have engaged third party resources that will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allowance for loan losses to increase under this ASU.</w:t>
      </w:r>
    </w:p>
    <w:p>
      <w:pPr>
        <w:spacing w:after="0" w:line="72"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This new ASU clarifies the definition of a business with the objective of adding guidance to assist entities with evaluating whether transactions should be accounted for as acquisitions (or disposals) of assets or businesses which distinction determines whether goodwill is recorded or not. This amended guidance was effective for us on January 1, 2018, and did not have a material impact on our consolidated operating results or financial condition.</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January 2017, the FASB issued ASU 2017-4, “Intangibles – Goodwill and Other (Topic 350), Simplifying the Test for Goodwill Impairment”. This new ASU amends the requirement that entities compare the implied fair value of goodwill with its carrying amount as part of step 2 of the goodwill impairment test. As a result, entities should perform their annual or interim goodwill impairment test by comparing the fair value of a reporting unit with its carrying amount and recognize an impairment if the carrying amount exceeds the reporting unit’s fair value.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amended guidance is effective for us on January 1, 2020 with early application permitted. Due to our pending acquisition (see note #27) and expectations this ASU will be relevant to us in 2018 we elected to adopt this amended guidance as of January 1, 2018. The adoption of this ASU did not have a material impact on our consolidated operating results or financial condition.</w:t>
      </w:r>
    </w:p>
    <w:p>
      <w:pPr>
        <w:spacing w:after="0" w:line="5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is effective for us on January 1, 2019, and given our current level of derivatives designated as hedges is not expected to have a material impact on our consolidated operating results or financial condition.</w:t>
      </w:r>
    </w:p>
    <w:p>
      <w:pPr>
        <w:spacing w:after="0" w:line="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This new ASU allows a reclassification from accumulated other comprehensive income to retained earnings for stranded tax effects resulting from the Tax Cuts and Jobs Act. As a result, this amended guidance eliminate the stranded tax effects resulting from the Tax Cuts and Jobs Act and will improve the usefulness of information reported to financial statement users. This amended guidance is effective for us on January 1, 2019, with early application permitted in any period for which financial statements have not yet been issued. We elected to adopt this amended guidance during the fourth quarter of 2017 and it resulted in a $0.04 million reclassification between accumulated other comprehensive loss and accumulated deficit.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RESTRICTIONS ON CASH AND DUE FROM BANKS</w:t>
      </w:r>
    </w:p>
    <w:p>
      <w:pPr>
        <w:spacing w:after="0" w:line="12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Our Bank is required to maintain reserve balances in the form of vault cash and non-interest earning balances with the FRB. The average reserve balances to be maintained during 2017 and 2016 were $5.2 million and $4.0 million, respectively. We do not maintain compensating balances with correspondent banks. We are also required to maintain reserve balances related primarily to our merchant payment processing operations and for certain investment security transactions. These balances are held at unrelated financial institutions and totaled $0.7 million and $2.4 million at December 31, 2017 and 2016,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3 – SECURITIES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available for sale consist of the following at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5"/>
          </w:tcPr>
          <w:p>
            <w:pPr>
              <w:jc w:val="right"/>
              <w:ind w:right="31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137,785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174,073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523,520</w:t>
            </w:r>
          </w:p>
        </w:tc>
        <w:tc>
          <w:tcPr>
            <w:tcW w:w="2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3,792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522,925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28,909</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156,053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35,035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175,180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170,899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615,709</w:t>
            </w:r>
          </w:p>
        </w:tc>
        <w:tc>
          <w:tcPr>
            <w:tcW w:w="2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7,641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#1).</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Total OTTI recognized in accumulated other comprehensive loss for securities available for sale was zero at both December 31, 2017 and 2016, respectively.</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at December 31 follows:</w:t>
      </w:r>
    </w:p>
    <w:p>
      <w:pPr>
        <w:spacing w:after="0" w:line="27" w:lineRule="exact"/>
        <w:rPr>
          <w:sz w:val="20"/>
          <w:szCs w:val="20"/>
          <w:color w:val="auto"/>
        </w:rPr>
      </w:pPr>
    </w:p>
    <w:tbl>
      <w:tblPr>
        <w:tblLayout w:type="fixed"/>
        <w:tblInd w:w="3960" w:type="dxa"/>
        <w:tblCellMar>
          <w:top w:w="0" w:type="dxa"/>
          <w:left w:w="0" w:type="dxa"/>
          <w:bottom w:w="0" w:type="dxa"/>
          <w:right w:w="0" w:type="dxa"/>
        </w:tblCellMar>
      </w:tblPr>
      <w:tr>
        <w:trPr>
          <w:trHeight w:val="185"/>
        </w:trPr>
        <w:tc>
          <w:tcPr>
            <w:tcW w:w="1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Less Than Twelve Months</w:t>
            </w:r>
          </w:p>
        </w:tc>
        <w:tc>
          <w:tcPr>
            <w:tcW w:w="180" w:type="dxa"/>
            <w:vAlign w:val="bottom"/>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Twelve Months or More</w:t>
            </w:r>
          </w:p>
        </w:tc>
        <w:tc>
          <w:tcPr>
            <w:tcW w:w="180" w:type="dxa"/>
            <w:vAlign w:val="bottom"/>
          </w:tcPr>
          <w:p>
            <w:pPr>
              <w:spacing w:after="0"/>
              <w:rPr>
                <w:sz w:val="16"/>
                <w:szCs w:val="16"/>
                <w:color w:val="auto"/>
              </w:rPr>
            </w:pPr>
          </w:p>
        </w:tc>
        <w:tc>
          <w:tcPr>
            <w:tcW w:w="1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60"/>
        </w:trPr>
        <w:tc>
          <w:tcPr>
            <w:tcW w:w="920" w:type="dxa"/>
            <w:vAlign w:val="bottom"/>
          </w:tcPr>
          <w:p>
            <w:pPr>
              <w:spacing w:after="0"/>
              <w:rPr>
                <w:sz w:val="13"/>
                <w:szCs w:val="13"/>
                <w:color w:val="auto"/>
              </w:rPr>
            </w:pPr>
          </w:p>
        </w:tc>
        <w:tc>
          <w:tcPr>
            <w:tcW w:w="880" w:type="dxa"/>
            <w:vAlign w:val="bottom"/>
          </w:tcPr>
          <w:p>
            <w:pPr>
              <w:jc w:val="center"/>
              <w:ind w:left="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jc w:val="center"/>
              <w:ind w:left="8"/>
              <w:spacing w:after="0" w:line="160"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jc w:val="center"/>
              <w:ind w:left="48"/>
              <w:spacing w:after="0" w:line="160" w:lineRule="exact"/>
              <w:rPr>
                <w:sz w:val="20"/>
                <w:szCs w:val="20"/>
                <w:color w:val="auto"/>
              </w:rPr>
            </w:pPr>
            <w:r>
              <w:rPr>
                <w:rFonts w:ascii="Arial" w:cs="Arial" w:eastAsia="Arial" w:hAnsi="Arial"/>
                <w:sz w:val="14"/>
                <w:szCs w:val="14"/>
                <w:b w:val="1"/>
                <w:bCs w:val="1"/>
                <w:color w:val="auto"/>
                <w:w w:val="95"/>
              </w:rPr>
              <w:t>Unrealized</w:t>
            </w:r>
          </w:p>
        </w:tc>
      </w:tr>
      <w:tr>
        <w:trPr>
          <w:trHeight w:val="186"/>
        </w:trPr>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8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2"/>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0</wp:posOffset>
            </wp:positionV>
            <wp:extent cx="34988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7187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U.S. agency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5,735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r>
      <w:tr>
        <w:trPr>
          <w:trHeight w:val="25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U.S. agency commercial mortgage-backed</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Other asset backed</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16,648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104,820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18,383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Foreign government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r>
      <w:tr>
        <w:trPr>
          <w:trHeight w:val="271"/>
        </w:trPr>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153,090</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108,033</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261,123</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560"/>
          </w:cols>
          <w:pgMar w:left="1180" w:top="279" w:right="1159"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1"/>
              </w:rPr>
              <w:t>Less Than Twelve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Twelve Months or More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vMerge w:val="restart"/>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U.S. agency residential mortgage-backed</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Private label mortgage-backed</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113,078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127,701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Trust preferred</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286,522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5,739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68,405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354,927</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8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December 31, 2017, we had 34 U.S. agency, 128 U.S. agency residential mortgage-backed and 12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8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Private label mortgage backed securities — at December 31, 2017, we had 20 of this type of security whose fair value is less than amortized cost. Unrealized losses are primarily due to credit spread widening and increases in interest rates since their acquisition.</w:t>
      </w:r>
    </w:p>
    <w:p>
      <w:pPr>
        <w:spacing w:after="0" w:line="73"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Six private label mortgage-backed securities (including the three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all of these securities whose fair value is less than amortized cost. See further discussion below.</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73"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Other asset backed — at December 31, 2017, we had 68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4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Obligations of states and political subdivisions — at December 31, 2017, we had 334 municipal securities whose fair value is less than amortized cost. The unrealized losses are primarily due to wider benchmark pricing spreads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interest rates since acquisition. Tax exempt securities have been negatively impacted by lower federal tax rates signed into law in December, 2017.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Corporate — at December 31, 2017, we had 18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Trust preferred securities — at December 31, 2017,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Two of the three securities are rated by two major rating agencies as investment grade while the other one is non-rated. The non-rated issue is a relatively small bank and was never rated. The issuer of this non-rated trust preferred security, which had a total amortized cost of $1.0 million and total fair value of $0.9 million as of December 31, 2017, continues to have satisfactory credit metrics and make interest payments.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breaks out our trust preferred securities in further detail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7"/>
              </w:rPr>
              <w:t>Net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7"/>
              </w:rPr>
              <w:t>Net</w:t>
            </w:r>
          </w:p>
        </w:tc>
      </w:tr>
      <w:tr>
        <w:trPr>
          <w:trHeight w:val="162"/>
        </w:trPr>
        <w:tc>
          <w:tcPr>
            <w:tcW w:w="648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Unrealized</w:t>
            </w:r>
          </w:p>
        </w:tc>
      </w:tr>
      <w:tr>
        <w:trPr>
          <w:trHeight w:val="185"/>
        </w:trPr>
        <w:tc>
          <w:tcPr>
            <w:tcW w:w="64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r>
      <w:tr>
        <w:trPr>
          <w:trHeight w:val="183"/>
        </w:trPr>
        <w:tc>
          <w:tcPr>
            <w:tcW w:w="6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 securities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Rated issues</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$1,882</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$1,800</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4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Unrated issues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bl>
    <w:p>
      <w:pPr>
        <w:spacing w:after="0" w:line="9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3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Foreign government — at December 31, 2017, we had two foreign government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recorded zero credit related OTTI charges in the Consolidated Statements of Operations on securities available for sale during 2017, 2016, and 2015.</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December 31, 2017, three private label mortgage-backed securities had credit related OTTI and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Super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Senior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0" w:type="dxa"/>
            <w:vAlign w:val="bottom"/>
          </w:tcPr>
          <w:p>
            <w:pPr>
              <w:jc w:val="right"/>
              <w:ind w:right="22"/>
              <w:spacing w:after="0"/>
              <w:rPr>
                <w:sz w:val="20"/>
                <w:szCs w:val="20"/>
                <w:color w:val="auto"/>
              </w:rPr>
            </w:pPr>
            <w:r>
              <w:rPr>
                <w:rFonts w:ascii="Arial" w:cs="Arial" w:eastAsia="Arial" w:hAnsi="Arial"/>
                <w:sz w:val="14"/>
                <w:szCs w:val="14"/>
                <w:b w:val="1"/>
                <w:bCs w:val="1"/>
                <w:color w:val="auto"/>
              </w:rPr>
              <w:t>Senior</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Senior</w:t>
            </w:r>
          </w:p>
        </w:tc>
        <w:tc>
          <w:tcPr>
            <w:tcW w:w="1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Support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Security</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8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35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2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580" w:type="dxa"/>
            <w:vAlign w:val="bottom"/>
          </w:tcPr>
          <w:p>
            <w:pPr>
              <w:ind w:left="180"/>
              <w:spacing w:after="0"/>
              <w:rPr>
                <w:sz w:val="20"/>
                <w:szCs w:val="20"/>
                <w:color w:val="auto"/>
              </w:rPr>
            </w:pPr>
            <w:r>
              <w:rPr>
                <w:rFonts w:ascii="Arial" w:cs="Arial" w:eastAsia="Arial" w:hAnsi="Arial"/>
                <w:sz w:val="18"/>
                <w:szCs w:val="18"/>
                <w:color w:val="auto"/>
              </w:rPr>
              <w:t>Fair value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$ 1,033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966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$ 2,060</w:t>
            </w:r>
          </w:p>
        </w:tc>
        <w:tc>
          <w:tcPr>
            <w:tcW w:w="100" w:type="dxa"/>
            <w:vAlign w:val="bottom"/>
          </w:tcPr>
          <w:p>
            <w:pPr>
              <w:spacing w:after="0"/>
              <w:rPr>
                <w:sz w:val="20"/>
                <w:szCs w:val="20"/>
                <w:color w:val="auto"/>
              </w:rPr>
            </w:pPr>
          </w:p>
        </w:tc>
      </w:tr>
      <w:tr>
        <w:trPr>
          <w:trHeight w:val="249"/>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Amortized cost</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21"/>
                <w:szCs w:val="21"/>
                <w:color w:val="auto"/>
              </w:rPr>
            </w:pPr>
          </w:p>
        </w:tc>
      </w:tr>
      <w:tr>
        <w:trPr>
          <w:trHeight w:val="237"/>
        </w:trPr>
        <w:tc>
          <w:tcPr>
            <w:tcW w:w="3580" w:type="dxa"/>
            <w:vAlign w:val="bottom"/>
          </w:tcPr>
          <w:p>
            <w:pPr>
              <w:ind w:left="180"/>
              <w:spacing w:after="0"/>
              <w:rPr>
                <w:sz w:val="20"/>
                <w:szCs w:val="20"/>
                <w:color w:val="auto"/>
              </w:rPr>
            </w:pPr>
            <w:r>
              <w:rPr>
                <w:rFonts w:ascii="Arial" w:cs="Arial" w:eastAsia="Arial" w:hAnsi="Arial"/>
                <w:sz w:val="18"/>
                <w:szCs w:val="18"/>
                <w:color w:val="auto"/>
              </w:rPr>
              <w:t>Non-credit unrealized loss</w:t>
            </w:r>
          </w:p>
        </w:tc>
        <w:tc>
          <w:tcPr>
            <w:tcW w:w="2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1"/>
                <w:szCs w:val="2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Cumulative credit related OTTI</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r>
      <w:tr>
        <w:trPr>
          <w:trHeight w:val="445"/>
        </w:trPr>
        <w:tc>
          <w:tcPr>
            <w:tcW w:w="3580" w:type="dxa"/>
            <w:vAlign w:val="bottom"/>
          </w:tcPr>
          <w:p>
            <w:pPr>
              <w:spacing w:after="0"/>
              <w:rPr>
                <w:sz w:val="24"/>
                <w:szCs w:val="24"/>
                <w:color w:val="auto"/>
              </w:rPr>
            </w:pPr>
          </w:p>
        </w:tc>
        <w:tc>
          <w:tcPr>
            <w:tcW w:w="2960" w:type="dxa"/>
            <w:vAlign w:val="bottom"/>
          </w:tcPr>
          <w:p>
            <w:pPr>
              <w:jc w:val="right"/>
              <w:ind w:right="1590"/>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58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Each of these securities is receiving principal and interest payments similar to principal reductions in the underlying collateral. All three of these securities have unrealized gains at December 31, 2017.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roll forward of credit losses recognized in earnings on securities available for sale for the years ending December 31 follow: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gridSpan w:val="2"/>
          </w:tcPr>
          <w:p>
            <w:pPr>
              <w:ind w:left="180"/>
              <w:spacing w:after="0"/>
              <w:rPr>
                <w:sz w:val="20"/>
                <w:szCs w:val="20"/>
                <w:color w:val="auto"/>
              </w:rPr>
            </w:pPr>
            <w:r>
              <w:rPr>
                <w:rFonts w:ascii="Arial" w:cs="Arial" w:eastAsia="Arial" w:hAnsi="Arial"/>
                <w:sz w:val="18"/>
                <w:szCs w:val="18"/>
                <w:color w:val="auto"/>
                <w:w w:val="95"/>
              </w:rPr>
              <w:t>Additions to credit losses on securities for which no previous OTTI was recognized</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Increases to credit losses on securities for which OTTI was previously recognized</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00" w:type="dxa"/>
            <w:vAlign w:val="bottom"/>
            <w:gridSpan w:val="2"/>
          </w:tcPr>
          <w:p>
            <w:pPr>
              <w:ind w:left="180"/>
              <w:spacing w:after="0"/>
              <w:rPr>
                <w:sz w:val="20"/>
                <w:szCs w:val="20"/>
                <w:color w:val="auto"/>
              </w:rPr>
            </w:pPr>
            <w:r>
              <w:rPr>
                <w:rFonts w:ascii="Arial" w:cs="Arial" w:eastAsia="Arial" w:hAnsi="Arial"/>
                <w:sz w:val="18"/>
                <w:szCs w:val="18"/>
                <w:color w:val="auto"/>
                <w:w w:val="93"/>
              </w:rPr>
              <w:t>Decrease to credit losses on securities for which OTTI was previously recognized as</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a result of disposal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amortized cost and fair value of securities available for sale at December 31, 2017, by contractual maturity,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Fair</w:t>
            </w:r>
          </w:p>
        </w:tc>
      </w:t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ind w:left="5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31,589</w:t>
            </w:r>
          </w:p>
        </w:tc>
        <w:tc>
          <w:tcPr>
            <w:tcW w:w="60" w:type="dxa"/>
            <w:vAlign w:val="bottom"/>
            <w:shd w:val="clear" w:color="auto" w:fill="CCEEFF"/>
          </w:tcPr>
          <w:p>
            <w:pPr>
              <w:spacing w:after="0"/>
              <w:rPr>
                <w:sz w:val="21"/>
                <w:szCs w:val="2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Maturing after one year but within five years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93,867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93,687</w:t>
            </w:r>
          </w:p>
        </w:tc>
        <w:tc>
          <w:tcPr>
            <w:tcW w:w="60" w:type="dxa"/>
            <w:vAlign w:val="bottom"/>
          </w:tcPr>
          <w:p>
            <w:pPr>
              <w:spacing w:after="0"/>
              <w:rPr>
                <w:sz w:val="20"/>
                <w:szCs w:val="20"/>
                <w:color w:val="auto"/>
              </w:rPr>
            </w:pPr>
          </w:p>
        </w:tc>
      </w:tr>
      <w:tr>
        <w:trPr>
          <w:trHeight w:val="25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73,967</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74,150</w:t>
            </w:r>
          </w:p>
        </w:tc>
        <w:tc>
          <w:tcPr>
            <w:tcW w:w="60" w:type="dxa"/>
            <w:vAlign w:val="bottom"/>
            <w:shd w:val="clear" w:color="auto" w:fill="CCEEFF"/>
          </w:tcPr>
          <w:p>
            <w:pPr>
              <w:spacing w:after="0"/>
              <w:rPr>
                <w:sz w:val="22"/>
                <w:szCs w:val="22"/>
                <w:color w:val="auto"/>
              </w:rPr>
            </w:pPr>
          </w:p>
        </w:tc>
      </w:tr>
      <w:tr>
        <w:trPr>
          <w:trHeight w:val="243"/>
        </w:trPr>
        <w:tc>
          <w:tcPr>
            <w:tcW w:w="7420" w:type="dxa"/>
            <w:vAlign w:val="bottom"/>
            <w:gridSpan w:val="2"/>
          </w:tcPr>
          <w:p>
            <w:pPr>
              <w:spacing w:after="0"/>
              <w:rPr>
                <w:sz w:val="20"/>
                <w:szCs w:val="20"/>
                <w:color w:val="auto"/>
              </w:rPr>
            </w:pPr>
            <w:r>
              <w:rPr>
                <w:rFonts w:ascii="Arial" w:cs="Arial" w:eastAsia="Arial" w:hAnsi="Arial"/>
                <w:sz w:val="18"/>
                <w:szCs w:val="18"/>
                <w:color w:val="auto"/>
              </w:rPr>
              <w:t>Maturing after ten years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53,613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52,814</w:t>
            </w:r>
          </w:p>
        </w:tc>
        <w:tc>
          <w:tcPr>
            <w:tcW w:w="60" w:type="dxa"/>
            <w:vAlign w:val="bottom"/>
          </w:tcPr>
          <w:p>
            <w:pPr>
              <w:spacing w:after="0"/>
              <w:rPr>
                <w:sz w:val="21"/>
                <w:szCs w:val="21"/>
                <w:color w:val="auto"/>
              </w:rPr>
            </w:pPr>
          </w:p>
        </w:tc>
      </w:tr>
      <w:tr>
        <w:trPr>
          <w:trHeight w:val="237"/>
        </w:trPr>
        <w:tc>
          <w:tcPr>
            <w:tcW w:w="74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253,019</w:t>
            </w:r>
          </w:p>
        </w:tc>
        <w:tc>
          <w:tcPr>
            <w:tcW w:w="16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252,240</w:t>
            </w:r>
          </w:p>
        </w:tc>
        <w:tc>
          <w:tcPr>
            <w:tcW w:w="60" w:type="dxa"/>
            <w:vAlign w:val="bottom"/>
            <w:shd w:val="clear" w:color="auto" w:fill="CCEEFF"/>
          </w:tcPr>
          <w:p>
            <w:pPr>
              <w:spacing w:after="0"/>
              <w:rPr>
                <w:sz w:val="20"/>
                <w:szCs w:val="20"/>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U.S. agency residential mortgage-backed</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137,785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137,918</w:t>
            </w:r>
          </w:p>
        </w:tc>
        <w:tc>
          <w:tcPr>
            <w:tcW w:w="60" w:type="dxa"/>
            <w:vAlign w:val="bottom"/>
          </w:tcPr>
          <w:p>
            <w:pPr>
              <w:spacing w:after="0"/>
              <w:rPr>
                <w:sz w:val="20"/>
                <w:szCs w:val="20"/>
                <w:color w:val="auto"/>
              </w:rPr>
            </w:pPr>
          </w:p>
        </w:tc>
      </w:tr>
      <w:tr>
        <w:trPr>
          <w:trHeight w:val="25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60" w:type="dxa"/>
            <w:vAlign w:val="bottom"/>
            <w:shd w:val="clear" w:color="auto" w:fill="CCEEFF"/>
          </w:tcPr>
          <w:p>
            <w:pPr>
              <w:spacing w:after="0"/>
              <w:rPr>
                <w:sz w:val="22"/>
                <w:szCs w:val="22"/>
                <w:color w:val="auto"/>
              </w:rPr>
            </w:pP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29,109</w:t>
            </w:r>
          </w:p>
        </w:tc>
        <w:tc>
          <w:tcPr>
            <w:tcW w:w="60" w:type="dxa"/>
            <w:vAlign w:val="bottom"/>
          </w:tcPr>
          <w:p>
            <w:pPr>
              <w:spacing w:after="0"/>
              <w:rPr>
                <w:sz w:val="20"/>
                <w:szCs w:val="20"/>
                <w:color w:val="auto"/>
              </w:rPr>
            </w:pPr>
          </w:p>
        </w:tc>
      </w:tr>
      <w:tr>
        <w:trPr>
          <w:trHeight w:val="249"/>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93,898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523,520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522,925</w:t>
            </w:r>
          </w:p>
        </w:tc>
        <w:tc>
          <w:tcPr>
            <w:tcW w:w="6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summary of proceeds from the sale of securities available for sale and gains and losses for the years ended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5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Proceeds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r>
      <w:tr>
        <w:trPr>
          <w:trHeight w:val="183"/>
        </w:trPr>
        <w:tc>
          <w:tcPr>
            <w:tcW w:w="25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52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84"/>
              </w:rPr>
              <w:t>2017</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r>
      <w:tr>
        <w:trPr>
          <w:trHeight w:val="230"/>
        </w:trPr>
        <w:tc>
          <w:tcPr>
            <w:tcW w:w="2520" w:type="dxa"/>
            <w:vAlign w:val="bottom"/>
          </w:tcPr>
          <w:p>
            <w:pPr>
              <w:jc w:val="right"/>
              <w:ind w:right="2070"/>
              <w:spacing w:after="0"/>
              <w:rPr>
                <w:sz w:val="20"/>
                <w:szCs w:val="20"/>
                <w:color w:val="auto"/>
              </w:rPr>
            </w:pPr>
            <w:r>
              <w:rPr>
                <w:rFonts w:ascii="Arial" w:cs="Arial" w:eastAsia="Arial" w:hAnsi="Arial"/>
                <w:sz w:val="18"/>
                <w:szCs w:val="18"/>
                <w:color w:val="auto"/>
                <w:w w:val="84"/>
              </w:rPr>
              <w:t>2016</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64,103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r>
      <w:tr>
        <w:trPr>
          <w:trHeight w:val="256"/>
        </w:trPr>
        <w:tc>
          <w:tcPr>
            <w:tcW w:w="252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84"/>
              </w:rPr>
              <w:t>2015</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2520" w:type="dxa"/>
            <w:vAlign w:val="bottom"/>
          </w:tcPr>
          <w:p>
            <w:pPr>
              <w:spacing w:after="0"/>
              <w:rPr>
                <w:sz w:val="24"/>
                <w:szCs w:val="24"/>
                <w:color w:val="auto"/>
              </w:rPr>
            </w:pPr>
          </w:p>
        </w:tc>
        <w:tc>
          <w:tcPr>
            <w:tcW w:w="4440" w:type="dxa"/>
            <w:vAlign w:val="bottom"/>
          </w:tcPr>
          <w:p>
            <w:pPr>
              <w:jc w:val="right"/>
              <w:ind w:right="2010"/>
              <w:spacing w:after="0"/>
              <w:rPr>
                <w:sz w:val="20"/>
                <w:szCs w:val="20"/>
                <w:color w:val="auto"/>
              </w:rPr>
            </w:pPr>
            <w:r>
              <w:rPr>
                <w:rFonts w:ascii="Arial" w:cs="Arial" w:eastAsia="Arial" w:hAnsi="Arial"/>
                <w:sz w:val="18"/>
                <w:szCs w:val="18"/>
                <w:color w:val="auto"/>
              </w:rPr>
              <w:t>53</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5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520" w:type="dxa"/>
            <w:vAlign w:val="bottom"/>
            <w:shd w:val="clear" w:color="auto" w:fill="000000"/>
          </w:tcPr>
          <w:p>
            <w:pPr>
              <w:spacing w:after="0"/>
              <w:rPr>
                <w:sz w:val="5"/>
                <w:szCs w:val="5"/>
                <w:color w:val="auto"/>
              </w:rPr>
            </w:pPr>
          </w:p>
        </w:tc>
        <w:tc>
          <w:tcPr>
            <w:tcW w:w="44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85" w:name="page86"/>
    <w:bookmarkEnd w:id="85"/>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During 2017, 2016 and 2015, our trading securities consisted of various preferred stocks. During each of those years, we recognized gains (losses) on trading securities of $0.05 million, $0.26 million and $(0.06) million, respectively, that are included in net gains on securities in the Consolidated Statements of Operations. All of these amounts relate to gains (losses) recognized on trading securities still held at December 31, 2017 and 2016.</w:t>
      </w:r>
    </w:p>
    <w:p>
      <w:pPr>
        <w:spacing w:after="0" w:line="79" w:lineRule="exact"/>
        <w:rPr>
          <w:sz w:val="20"/>
          <w:szCs w:val="20"/>
          <w:color w:val="auto"/>
        </w:rPr>
      </w:pPr>
    </w:p>
    <w:p>
      <w:pPr>
        <w:jc w:val="both"/>
        <w:ind w:left="7" w:right="20" w:firstLine="360"/>
        <w:spacing w:after="0" w:line="279" w:lineRule="auto"/>
        <w:rPr>
          <w:sz w:val="20"/>
          <w:szCs w:val="20"/>
          <w:color w:val="auto"/>
        </w:rPr>
      </w:pPr>
      <w:r>
        <w:rPr>
          <w:rFonts w:ascii="Arial" w:cs="Arial" w:eastAsia="Arial" w:hAnsi="Arial"/>
          <w:sz w:val="17"/>
          <w:szCs w:val="17"/>
          <w:color w:val="auto"/>
        </w:rPr>
        <w:t>Securities available for sale with a book value of $0.9 million and $2.4 million at December 31, 2017 and 2016,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shareholders’ equity at December 31, 2017 or 2016.</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4 – LOANS AND PAYMENT PLAN RECEIVABLES</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Our loan portfolios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6"/>
          </w:tcPr>
          <w:p>
            <w:pPr>
              <w:ind w:left="4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Residential first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672,592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453,348</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105,550</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143,188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77,287</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538,880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525,748</w:t>
            </w:r>
          </w:p>
        </w:tc>
        <w:tc>
          <w:tcPr>
            <w:tcW w:w="60" w:type="dxa"/>
            <w:vAlign w:val="bottom"/>
            <w:shd w:val="clear" w:color="auto" w:fill="CCEEFF"/>
          </w:tcPr>
          <w:p>
            <w:pPr>
              <w:spacing w:after="0"/>
              <w:rPr>
                <w:sz w:val="21"/>
                <w:szCs w:val="21"/>
                <w:color w:val="auto"/>
              </w:rPr>
            </w:pPr>
          </w:p>
        </w:tc>
      </w:tr>
      <w:tr>
        <w:trPr>
          <w:trHeight w:val="230"/>
        </w:trPr>
        <w:tc>
          <w:tcPr>
            <w:tcW w:w="74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291,091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234,632</w:t>
            </w:r>
          </w:p>
        </w:tc>
        <w:tc>
          <w:tcPr>
            <w:tcW w:w="60" w:type="dxa"/>
            <w:vAlign w:val="bottom"/>
          </w:tcPr>
          <w:p>
            <w:pPr>
              <w:spacing w:after="0"/>
              <w:rPr>
                <w:sz w:val="20"/>
                <w:szCs w:val="20"/>
                <w:color w:val="auto"/>
              </w:rPr>
            </w:pPr>
          </w:p>
        </w:tc>
      </w:tr>
      <w:tr>
        <w:trPr>
          <w:trHeight w:val="25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231,786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206,607</w:t>
            </w:r>
          </w:p>
        </w:tc>
        <w:tc>
          <w:tcPr>
            <w:tcW w:w="60" w:type="dxa"/>
            <w:vAlign w:val="bottom"/>
            <w:shd w:val="clear" w:color="auto" w:fill="CCEEFF"/>
          </w:tcPr>
          <w:p>
            <w:pPr>
              <w:spacing w:after="0"/>
              <w:rPr>
                <w:sz w:val="22"/>
                <w:szCs w:val="22"/>
                <w:color w:val="auto"/>
              </w:rPr>
            </w:pPr>
          </w:p>
        </w:tc>
      </w:tr>
      <w:tr>
        <w:trPr>
          <w:trHeight w:val="243"/>
        </w:trPr>
        <w:tc>
          <w:tcPr>
            <w:tcW w:w="74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5,076</w:t>
            </w:r>
          </w:p>
        </w:tc>
        <w:tc>
          <w:tcPr>
            <w:tcW w:w="60" w:type="dxa"/>
            <w:vAlign w:val="bottom"/>
          </w:tcPr>
          <w:p>
            <w:pPr>
              <w:spacing w:after="0"/>
              <w:rPr>
                <w:sz w:val="21"/>
                <w:szCs w:val="21"/>
                <w:color w:val="auto"/>
              </w:rPr>
            </w:pPr>
          </w:p>
        </w:tc>
      </w:tr>
      <w:tr>
        <w:trPr>
          <w:trHeight w:val="271"/>
        </w:trPr>
        <w:tc>
          <w:tcPr>
            <w:tcW w:w="74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2,018,817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1,608,248</w:t>
            </w:r>
          </w:p>
        </w:tc>
        <w:tc>
          <w:tcPr>
            <w:tcW w:w="6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9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117"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Loans include net deferred loan costs of $9.3 million and $4.1 million at December 31, 2017 and 2016, respectively.</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August 2016 and December 2015, we purchased $15.0 million and $32.6 million, respectively of single-family residential fixed rate jumbo mortgage loans from two separate Michigan-based financial institutions. These mortgage loans were all on properties located in Michigan, had weighted average interest rates (after a 0.25% servicing fee) of 3.65% and 3.94%, respectively and weighted average remaining contractual maturities of 332 months and 344 months, respectively. We did not purchase any loans during 2017.</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the allowance for loan losses by portfolio segment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Payment</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Subjective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Commercial</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Mortgage</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Installment</w:t>
            </w:r>
          </w:p>
        </w:tc>
        <w:tc>
          <w:tcPr>
            <w:tcW w:w="180" w:type="dxa"/>
            <w:vAlign w:val="bottom"/>
            <w:gridSpan w:val="2"/>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Allocation</w:t>
            </w:r>
          </w:p>
        </w:tc>
        <w:tc>
          <w:tcPr>
            <w:tcW w:w="180" w:type="dxa"/>
            <w:vAlign w:val="bottom"/>
            <w:gridSpan w:val="2"/>
          </w:tcPr>
          <w:p>
            <w:pPr>
              <w:spacing w:after="0"/>
              <w:rPr>
                <w:sz w:val="16"/>
                <w:szCs w:val="16"/>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4,880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$ 20,234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(deductions)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Recoveries credited to allowance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Loans charged against the allowance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$ 22,587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5,670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(deductions)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Recoveries credited to allowance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Loans charged against the allowance</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to loans held for sale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$ 20,234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$ 25,990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Additions (deductions)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Recoveries credited to allowance</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10,391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$ 22,570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Subjective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Mortgage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Installment</w:t>
            </w:r>
          </w:p>
        </w:tc>
        <w:tc>
          <w:tcPr>
            <w:tcW w:w="180" w:type="dxa"/>
            <w:vAlign w:val="bottom"/>
            <w:gridSpan w:val="2"/>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Allocation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6"/>
          </w:tcPr>
          <w:p>
            <w:pPr>
              <w:ind w:left="160"/>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8,420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53,179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847,140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799,629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313,005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1,959,774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Total loans recorded investment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855,560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852,808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316,950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2,025,318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Total loans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853,260</w:t>
            </w:r>
          </w:p>
        </w:tc>
        <w:tc>
          <w:tcPr>
            <w:tcW w:w="2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849,530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316,027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2,018,817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2,244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6,579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Total ending allowance balance</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4,880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5,662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790,228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481,828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261,474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1,533,530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805,995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540,979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266,387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1,613,361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804,017</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538,615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265,616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1,608,248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Non-performing loans include both smaller balance homogeneous loans that are collectively evaluated for impairment and individually classified impaired loans. If these loans had continued to accrue interest in accordance with their original terms, approximately $0.4 million, $0.5 million and $0.6 million of interest income would have been recognized in 2017, 2016 and 2015, respectively. Interest income recorded on these loans was approximately zero during the years ended 2017, 2016 and 2015.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on non-accrual status and past due more than 90 days (“Non-performing Loans”)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90+ and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Total Non-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Still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Performing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Accruing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Accrual</w:t>
            </w:r>
          </w:p>
        </w:tc>
        <w:tc>
          <w:tcPr>
            <w:tcW w:w="1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w w:val="94"/>
              </w:rPr>
              <w:t>Land, land development and construction - real estate</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loans</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520"/>
              <w:spacing w:after="0"/>
              <w:rPr>
                <w:sz w:val="20"/>
                <w:szCs w:val="20"/>
                <w:color w:val="auto"/>
              </w:rPr>
            </w:pPr>
            <w:r>
              <w:rPr>
                <w:rFonts w:ascii="Arial" w:cs="Arial" w:eastAsia="Arial" w:hAnsi="Arial"/>
                <w:sz w:val="18"/>
                <w:szCs w:val="18"/>
                <w:color w:val="auto"/>
              </w:rPr>
              <w:t>Total recorded investment</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2016</w:t>
            </w:r>
          </w:p>
        </w:tc>
        <w:tc>
          <w:tcPr>
            <w:tcW w:w="198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Income producing - real estate</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Land, land development and construction - real estate</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1-4 family</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Purchased loans</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19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80" w:type="dxa"/>
            <w:vAlign w:val="bottom"/>
            <w:vMerge w:val="restart"/>
          </w:tcPr>
          <w:p>
            <w:pPr>
              <w:jc w:val="right"/>
              <w:ind w:right="1470"/>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aging analysis of loans by class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4"/>
                <w:szCs w:val="14"/>
                <w:b w:val="1"/>
                <w:bCs w:val="1"/>
                <w:color w:val="auto"/>
                <w:w w:val="95"/>
              </w:rPr>
              <w:t>Loans Past Due</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rPr>
              <w:t>90+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1"/>
              <w:spacing w:after="0" w:line="160" w:lineRule="exact"/>
              <w:rPr>
                <w:sz w:val="20"/>
                <w:szCs w:val="20"/>
                <w:color w:val="auto"/>
              </w:rPr>
            </w:pPr>
            <w:r>
              <w:rPr>
                <w:rFonts w:ascii="Arial" w:cs="Arial" w:eastAsia="Arial" w:hAnsi="Arial"/>
                <w:sz w:val="14"/>
                <w:szCs w:val="14"/>
                <w:b w:val="1"/>
                <w:bCs w:val="1"/>
                <w:color w:val="auto"/>
                <w:w w:val="89"/>
              </w:rPr>
              <w:t>Loans not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30-59 days</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60-89 days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7"/>
              </w:rPr>
              <w:t>days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290,466</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Land, land development and construction - real</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Purchased loans</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Recreational vehicle lending</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Total recorded investment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7,612</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12,554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2,012,764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2,025,318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Accrued interest included in recorded investment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Land, land development and construction - real</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tcPr>
          <w:p>
            <w:pPr>
              <w:spacing w:after="0"/>
              <w:rPr>
                <w:sz w:val="20"/>
                <w:szCs w:val="20"/>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Purchased loans</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Recreational vehicle lending</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Total recorded investment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8,681</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15,597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1,597,764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1,613,361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recorded investment</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Impaired loans are as follows :</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9"/>
          </w:tcPr>
          <w:p>
            <w:pPr>
              <w:jc w:val="center"/>
              <w:ind w:right="54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no allocated allowance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TDR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 - TDR</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Impaired loans with an allocated allowance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w w:val="93"/>
              </w:rPr>
              <w:t>TDR - allowance based on present value cash flow</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62,113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72,613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 impaired loans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65,267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79,520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w w:val="93"/>
              </w:rPr>
              <w:t>TDR - allowance based on present value cash flow</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6,089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7,146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w w:val="91"/>
              </w:rPr>
              <w:t>Total amount of allowance for loan losses allocated</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6,839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gridSpan w:val="4"/>
            <w:vMerge w:val="restart"/>
          </w:tcPr>
          <w:p>
            <w:pPr>
              <w:ind w:left="340"/>
              <w:spacing w:after="0"/>
              <w:rPr>
                <w:sz w:val="20"/>
                <w:szCs w:val="20"/>
                <w:color w:val="auto"/>
              </w:rPr>
            </w:pPr>
            <w:r>
              <w:rPr>
                <w:rFonts w:ascii="Arial" w:cs="Arial" w:eastAsia="Arial" w:hAnsi="Arial"/>
                <w:sz w:val="18"/>
                <w:szCs w:val="18"/>
                <w:color w:val="auto"/>
                <w:w w:val="94"/>
              </w:rPr>
              <w:t>Impaired loans by class as of December 31 are as follows (1):</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2"/>
              <w:spacing w:after="0" w:line="160" w:lineRule="exact"/>
              <w:rPr>
                <w:sz w:val="20"/>
                <w:szCs w:val="20"/>
                <w:color w:val="auto"/>
              </w:rPr>
            </w:pPr>
            <w:r>
              <w:rPr>
                <w:rFonts w:ascii="Arial" w:cs="Arial" w:eastAsia="Arial" w:hAnsi="Arial"/>
                <w:sz w:val="14"/>
                <w:szCs w:val="14"/>
                <w:b w:val="1"/>
                <w:bCs w:val="1"/>
                <w:color w:val="auto"/>
                <w:w w:val="92"/>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Recorded</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7"/>
          </w:tcPr>
          <w:p>
            <w:pPr>
              <w:jc w:val="right"/>
              <w:ind w:right="39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1" w:name="page92"/>
    <w:bookmarkEnd w:id="91"/>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7,880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estate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5,246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38,480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41,701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43,479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67,289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76,940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79,520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16,931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$ 68,376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79,831</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$ 84,711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87" w:right="3280" w:hanging="4687"/>
        <w:spacing w:after="0" w:line="528" w:lineRule="auto"/>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were no impaired purchased mortgage loans at December 31, 2017 or 2016.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Average recorded investment in and interest income earned (of which the majority of these amounts were received in cash and related primarily to performing TDR’s) on impaired loans by class for the years ended December 31 follows (1):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64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2"/>
              <w:spacing w:after="0" w:line="160"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4"/>
                <w:szCs w:val="14"/>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gridSpan w:val="2"/>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4,520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3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estate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39,143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50,421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93" w:name="page94"/>
    <w:bookmarkEnd w:id="93"/>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2017</w:t>
            </w:r>
          </w:p>
        </w:tc>
        <w:tc>
          <w:tcPr>
            <w:tcW w:w="180" w:type="dxa"/>
            <w:vAlign w:val="bottom"/>
            <w:gridSpan w:val="2"/>
          </w:tcPr>
          <w:p>
            <w:pPr>
              <w:spacing w:after="0"/>
              <w:rPr>
                <w:sz w:val="16"/>
                <w:szCs w:val="16"/>
                <w:color w:val="auto"/>
              </w:rPr>
            </w:pPr>
          </w:p>
        </w:tc>
        <w:tc>
          <w:tcPr>
            <w:tcW w:w="17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1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gridSpan w:val="2"/>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1,459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3,171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r>
      <w:tr>
        <w:trPr>
          <w:trHeight w:val="25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16,383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17,544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18,460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tcPr>
          <w:p>
            <w:pPr>
              <w:jc w:val="right"/>
              <w:spacing w:after="0"/>
              <w:rPr>
                <w:sz w:val="20"/>
                <w:szCs w:val="20"/>
                <w:color w:val="auto"/>
              </w:rPr>
            </w:pPr>
            <w:r>
              <w:rPr>
                <w:rFonts w:ascii="Arial" w:cs="Arial" w:eastAsia="Arial" w:hAnsi="Arial"/>
                <w:sz w:val="18"/>
                <w:szCs w:val="18"/>
                <w:color w:val="auto"/>
              </w:rPr>
              <w:t>1,833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2,185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r>
      <w:tr>
        <w:trPr>
          <w:trHeight w:val="243"/>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21"/>
                <w:szCs w:val="21"/>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r>
      <w:tr>
        <w:trPr>
          <w:trHeight w:val="271"/>
        </w:trPr>
        <w:tc>
          <w:tcPr>
            <w:tcW w:w="3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71,907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85,171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$ 104,646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4,574</w:t>
            </w:r>
          </w:p>
        </w:tc>
        <w:tc>
          <w:tcPr>
            <w:tcW w:w="8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54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were no impaired payment plan receivables or purchased mortgage loans during the years ending December 31, 2017, 2016 and 2015.</w:t>
      </w:r>
    </w:p>
    <w:p>
      <w:pPr>
        <w:spacing w:after="0" w:line="62"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Troubled debt restructurings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60,115</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4,506</w:t>
            </w:r>
            <w:r>
              <w:rPr>
                <w:rFonts w:ascii="Arial" w:cs="Arial" w:eastAsia="Arial" w:hAnsi="Arial"/>
                <w:sz w:val="14"/>
                <w:szCs w:val="14"/>
                <w:color w:val="auto"/>
              </w:rPr>
              <w:t>(3)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0"/>
                <w:szCs w:val="20"/>
                <w:color w:val="auto"/>
              </w:rPr>
            </w:pPr>
          </w:p>
        </w:tc>
      </w:tr>
      <w:tr>
        <w:trPr>
          <w:trHeight w:val="277"/>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14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70,286</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4,071</w:t>
            </w:r>
            <w:r>
              <w:rPr>
                <w:rFonts w:ascii="Arial" w:cs="Arial" w:eastAsia="Arial" w:hAnsi="Arial"/>
                <w:sz w:val="14"/>
                <w:szCs w:val="14"/>
                <w:color w:val="auto"/>
              </w:rPr>
              <w:t>(3)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Pr>
          <w:p>
            <w:pPr>
              <w:spacing w:after="0"/>
              <w:rPr>
                <w:sz w:val="20"/>
                <w:szCs w:val="20"/>
                <w:color w:val="auto"/>
              </w:rPr>
            </w:pPr>
          </w:p>
        </w:tc>
      </w:tr>
      <w:tr>
        <w:trPr>
          <w:trHeight w:val="277"/>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We have allocated $6.8 million and $9.0 million of specific reserves to customers whose loan terms have been modified in troubled debt restructurings as of December 31, 2017 and 2016, respectively. We have committed to lend additional amounts totaling up to $0.04 million at both December 31, 2017 and 2016, respectively, to customers with outstanding loans that are classified as troubled debt restructurings.</w:t>
      </w:r>
    </w:p>
    <w:p>
      <w:pPr>
        <w:spacing w:after="0" w:line="7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The terms of certain loans were modified as troubled debt restructurings and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that have been classified as troubled debt restructurings during the years ended December 31 follow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80" w:type="dxa"/>
            <w:vAlign w:val="bottom"/>
          </w:tcPr>
          <w:p>
            <w:pPr>
              <w:spacing w:after="0"/>
              <w:rPr>
                <w:sz w:val="14"/>
                <w:szCs w:val="1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Post-modification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0"/>
              </w:rPr>
              <w:t>(Dollars in thousands)</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w w:val="98"/>
              </w:rPr>
              <w:t>Land, land development &amp; construction-real estate</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2016</w:t>
            </w:r>
          </w:p>
        </w:tc>
        <w:tc>
          <w:tcPr>
            <w:tcW w:w="16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Income producing - real estate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Land, land development &amp; construction-real estate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1-4 family</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520"/>
              <w:spacing w:after="0"/>
              <w:rPr>
                <w:sz w:val="20"/>
                <w:szCs w:val="20"/>
                <w:color w:val="auto"/>
              </w:rPr>
            </w:pPr>
            <w:r>
              <w:rPr>
                <w:rFonts w:ascii="Arial" w:cs="Arial" w:eastAsia="Arial" w:hAnsi="Arial"/>
                <w:sz w:val="18"/>
                <w:szCs w:val="18"/>
                <w:color w:val="auto"/>
              </w:rPr>
              <w:t>Total</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3,902</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jc w:val="right"/>
              <w:ind w:right="1030"/>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5" w:name="page96"/>
    <w:bookmarkEnd w:id="95"/>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6047"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Post-modification</w:t>
            </w:r>
          </w:p>
        </w:tc>
      </w:tr>
      <w:tr>
        <w:trPr>
          <w:trHeight w:val="162"/>
        </w:trPr>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Recorded</w:t>
            </w:r>
          </w:p>
        </w:tc>
      </w:tr>
      <w:tr>
        <w:trPr>
          <w:trHeight w:val="186"/>
        </w:trPr>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Contracts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0</wp:posOffset>
            </wp:positionV>
            <wp:extent cx="22040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7087"/>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07187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ind w:left="7"/>
        <w:spacing w:after="0"/>
        <w:rPr>
          <w:sz w:val="20"/>
          <w:szCs w:val="20"/>
          <w:color w:val="auto"/>
        </w:rPr>
      </w:pPr>
      <w:r>
        <w:rPr>
          <w:rFonts w:ascii="Arial" w:cs="Arial" w:eastAsia="Arial" w:hAnsi="Arial"/>
          <w:sz w:val="18"/>
          <w:szCs w:val="18"/>
          <w:color w:val="auto"/>
        </w:rPr>
        <w:t>2015</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 estate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r>
      <w:tr>
        <w:trPr>
          <w:trHeight w:val="271"/>
        </w:trPr>
        <w:tc>
          <w:tcPr>
            <w:tcW w:w="5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6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payment plan receivables or purchased mortgage loans classified as troubled debt restructurings during the years ending December 31, 2017, 2016 and 2015.</w:t>
      </w:r>
    </w:p>
    <w:p>
      <w:pPr>
        <w:spacing w:after="0" w:line="62"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The troubled debt restructurings described above increased (decreased) the AFLL by $0.1 million, $(0.1) million and $0.4 million during the years ended December 31, 2017, 2016 and 2015, respectively and resulted in charge offs of zero, $0.53 million and $0.16 million during the years ended December 31, 2017, 2016 and 2015, respectively.</w:t>
      </w:r>
    </w:p>
    <w:p>
      <w:pPr>
        <w:spacing w:after="0" w:line="73"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Loans that have been classified as troubled debt restructured during the past twelve months and that have subsequently defaulted during the years ended December 31 follows:</w:t>
      </w:r>
    </w:p>
    <w:p>
      <w:pPr>
        <w:spacing w:after="0" w:line="27" w:lineRule="exact"/>
        <w:rPr>
          <w:sz w:val="20"/>
          <w:szCs w:val="20"/>
          <w:color w:val="auto"/>
        </w:rPr>
      </w:pPr>
    </w:p>
    <w:tbl>
      <w:tblPr>
        <w:tblLayout w:type="fixed"/>
        <w:tblInd w:w="7467" w:type="dxa"/>
        <w:tblCellMar>
          <w:top w:w="0" w:type="dxa"/>
          <w:left w:w="0" w:type="dxa"/>
          <w:bottom w:w="0" w:type="dxa"/>
          <w:right w:w="0" w:type="dxa"/>
        </w:tblCellMar>
      </w:tblPr>
      <w:tr>
        <w:trPr>
          <w:trHeight w:val="162"/>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Recorded</w:t>
            </w:r>
          </w:p>
        </w:tc>
      </w:tr>
      <w:tr>
        <w:trPr>
          <w:trHeight w:val="171"/>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Balance</w:t>
            </w:r>
          </w:p>
        </w:tc>
      </w:tr>
    </w:tbl>
    <w:p>
      <w:pPr>
        <w:spacing w:after="0" w:line="18" w:lineRule="exact"/>
        <w:rPr>
          <w:sz w:val="20"/>
          <w:szCs w:val="20"/>
          <w:color w:val="auto"/>
        </w:rPr>
      </w:pPr>
    </w:p>
    <w:p>
      <w:pPr>
        <w:ind w:left="7827"/>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07187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ind w:left="7"/>
        <w:spacing w:after="0"/>
        <w:rPr>
          <w:sz w:val="20"/>
          <w:szCs w:val="20"/>
          <w:color w:val="auto"/>
        </w:rPr>
      </w:pPr>
      <w:r>
        <w:rPr>
          <w:rFonts w:ascii="Arial" w:cs="Arial" w:eastAsia="Arial" w:hAnsi="Arial"/>
          <w:sz w:val="18"/>
          <w:szCs w:val="18"/>
          <w:color w:val="auto"/>
        </w:rPr>
        <w:t>2017</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w w:val="98"/>
              </w:rPr>
              <w:t>Land, land development &amp; construction-real estate</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1"/>
                <w:szCs w:val="2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3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Home equity - 2nd lien</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Home equity - 1st lien</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4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32"/>
        </w:trPr>
        <w:tc>
          <w:tcPr>
            <w:tcW w:w="4340" w:type="dxa"/>
            <w:vAlign w:val="bottom"/>
          </w:tcPr>
          <w:p>
            <w:pPr>
              <w:spacing w:after="0"/>
              <w:rPr>
                <w:sz w:val="24"/>
                <w:szCs w:val="24"/>
                <w:color w:val="auto"/>
              </w:rPr>
            </w:pPr>
          </w:p>
        </w:tc>
        <w:tc>
          <w:tcPr>
            <w:tcW w:w="3100" w:type="dxa"/>
            <w:vAlign w:val="bottom"/>
          </w:tcPr>
          <w:p>
            <w:pPr>
              <w:jc w:val="right"/>
              <w:ind w:right="2490"/>
              <w:spacing w:after="0"/>
              <w:rPr>
                <w:sz w:val="20"/>
                <w:szCs w:val="20"/>
                <w:color w:val="auto"/>
              </w:rPr>
            </w:pPr>
            <w:r>
              <w:rPr>
                <w:rFonts w:ascii="Arial" w:cs="Arial" w:eastAsia="Arial" w:hAnsi="Arial"/>
                <w:sz w:val="18"/>
                <w:szCs w:val="18"/>
                <w:color w:val="auto"/>
              </w:rPr>
              <w:t>64</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340" w:type="dxa"/>
            <w:vAlign w:val="bottom"/>
            <w:shd w:val="clear" w:color="auto" w:fill="000000"/>
          </w:tcPr>
          <w:p>
            <w:pPr>
              <w:spacing w:after="0"/>
              <w:rPr>
                <w:sz w:val="5"/>
                <w:szCs w:val="5"/>
                <w:color w:val="auto"/>
              </w:rPr>
            </w:pPr>
          </w:p>
        </w:tc>
        <w:tc>
          <w:tcPr>
            <w:tcW w:w="31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560"/>
          </w:cols>
          <w:pgMar w:left="1180" w:top="279" w:right="1159" w:bottom="1440" w:gutter="0" w:footer="0" w:header="0"/>
        </w:sectPr>
      </w:pPr>
    </w:p>
    <w:p>
      <w:pPr>
        <w:spacing w:after="0" w:line="43" w:lineRule="exact"/>
        <w:rPr>
          <w:sz w:val="20"/>
          <w:szCs w:val="20"/>
          <w:color w:val="auto"/>
        </w:rPr>
      </w:pPr>
    </w:p>
    <w:p>
      <w:pPr>
        <w:ind w:left="7600"/>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12065</wp:posOffset>
            </wp:positionV>
            <wp:extent cx="6172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Recorded</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5080</wp:posOffset>
            </wp:positionV>
            <wp:extent cx="5486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8280" w:space="500"/>
            <w:col w:w="780"/>
          </w:cols>
          <w:pgMar w:left="1180" w:top="279" w:right="1159" w:bottom="1440" w:gutter="0" w:footer="0" w:header="0"/>
          <w:type w:val="continuous"/>
        </w:sectPr>
      </w:pPr>
    </w:p>
    <w:p>
      <w:pPr>
        <w:ind w:left="7820"/>
        <w:spacing w:after="0"/>
        <w:rPr>
          <w:sz w:val="20"/>
          <w:szCs w:val="20"/>
          <w:color w:val="auto"/>
        </w:rPr>
      </w:pPr>
      <w:r>
        <w:rPr>
          <w:rFonts w:ascii="Arial" w:cs="Arial" w:eastAsia="Arial" w:hAnsi="Arial"/>
          <w:sz w:val="14"/>
          <w:szCs w:val="14"/>
          <w:b w:val="1"/>
          <w:bCs w:val="1"/>
          <w:color w:val="auto"/>
        </w:rPr>
        <w:t>(Dollars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 estate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 estate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62"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The troubled debt restructurings that subsequently defaulted described above increased (decreased) the AFLL by $0.04 million, $(0.17) million and $(0.03) million during the years ended December 31, 2017, 2016 and 2015, respectively and resulted in charge offs of $0.05 million, $0.51 million, and zero during the years ended December 31, 2017, 2016 and 2015,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97" w:name="page98"/>
    <w:bookmarkEnd w:id="9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The terms of certain other loans were modified during the years ending December 31, 2017, 2016 and 2015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3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69"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6"/>
          <w:szCs w:val="16"/>
          <w:b w:val="1"/>
          <w:bCs w:val="1"/>
          <w:color w:val="auto"/>
        </w:rPr>
        <w:t xml:space="preserve">Credit Quality Indicators </w:t>
      </w:r>
      <w:r>
        <w:rPr>
          <w:rFonts w:ascii="Arial" w:cs="Arial" w:eastAsia="Arial" w:hAnsi="Arial"/>
          <w:sz w:val="16"/>
          <w:szCs w:val="16"/>
          <w:color w:val="auto"/>
        </w:rPr>
        <w:t>– As part of our on on-going monitoring of the credit quality of our loan portfolios, we track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credit quality indicators including (a) weighted-average risk grade of commercial loans, (b) the level of classified commercial loans, (c) credit scores of mortgage and installment loan borrowers, and (d) delinquency history and non-performing loans.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commercial loans, we use a loan rating system that is similar to those employed by state and federal banking regulators.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are graded on a scale of 1 to 12. A description of the general characteristics of the ratings follows:</w:t>
      </w:r>
    </w:p>
    <w:p>
      <w:pPr>
        <w:spacing w:after="0" w:line="10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credit fundamentals through acceptable credit fundamentals.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These ratings include loans to</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that exhibit potential credit weakness or downward trends. If not checked or cured these trends could weaken our asset or credit position. While potentially weak, no loss of principal or interest is envisioned with these ratings.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7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w:t>
      </w:r>
      <w:r>
        <w:rPr>
          <w:rFonts w:ascii="Arial" w:cs="Arial" w:eastAsia="Arial" w:hAnsi="Arial"/>
          <w:sz w:val="17"/>
          <w:szCs w:val="17"/>
          <w:i w:val="1"/>
          <w:iCs w:val="1"/>
          <w:color w:val="auto"/>
        </w:rPr>
        <w:t xml:space="preserve"> </w:t>
      </w:r>
      <w:r>
        <w:rPr>
          <w:rFonts w:ascii="Arial" w:cs="Arial" w:eastAsia="Arial" w:hAnsi="Arial"/>
          <w:sz w:val="17"/>
          <w:szCs w:val="17"/>
          <w:color w:val="auto"/>
        </w:rPr>
        <w:t>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6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deemed incapable of repayment and are charged-off.</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loan ratings by loan class for our commercial loan segment at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1"/>
              </w:rPr>
              <w:t>Substandard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35"/>
              <w:spacing w:after="0" w:line="160"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Non-watch</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Watch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76"/>
              </w:rPr>
              <w:t>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10-11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4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288,869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290,496</w:t>
            </w:r>
          </w:p>
        </w:tc>
        <w:tc>
          <w:tcPr>
            <w:tcW w:w="100" w:type="dxa"/>
            <w:vAlign w:val="bottom"/>
          </w:tcPr>
          <w:p>
            <w:pPr>
              <w:spacing w:after="0"/>
              <w:rPr>
                <w:sz w:val="20"/>
                <w:szCs w:val="20"/>
                <w:color w:val="auto"/>
              </w:rPr>
            </w:pPr>
          </w:p>
        </w:tc>
      </w:tr>
      <w:tr>
        <w:trPr>
          <w:trHeight w:val="24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Land, land development and construction - real estate</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463,570</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494,873</w:t>
            </w:r>
          </w:p>
        </w:tc>
        <w:tc>
          <w:tcPr>
            <w:tcW w:w="100" w:type="dxa"/>
            <w:vAlign w:val="bottom"/>
          </w:tcPr>
          <w:p>
            <w:pPr>
              <w:spacing w:after="0"/>
              <w:rPr>
                <w:sz w:val="21"/>
                <w:szCs w:val="21"/>
                <w:color w:val="auto"/>
              </w:rPr>
            </w:pPr>
          </w:p>
        </w:tc>
      </w:tr>
      <w:tr>
        <w:trPr>
          <w:trHeight w:val="271"/>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822,561</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855,560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r>
      <w:tr>
        <w:trPr>
          <w:trHeight w:val="21"/>
        </w:trPr>
        <w:tc>
          <w:tcPr>
            <w:tcW w:w="4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34"/>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98" w:name="page99"/>
    <w:bookmarkEnd w:id="98"/>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1"/>
              </w:rPr>
              <w:t>Substandard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35"/>
              <w:spacing w:after="0" w:line="160"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Non-watch</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Watch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76"/>
              </w:rPr>
              <w:t>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10-11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4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282,886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3,787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287,638</w:t>
            </w:r>
          </w:p>
        </w:tc>
        <w:tc>
          <w:tcPr>
            <w:tcW w:w="100" w:type="dxa"/>
            <w:vAlign w:val="bottom"/>
          </w:tcPr>
          <w:p>
            <w:pPr>
              <w:spacing w:after="0"/>
              <w:rPr>
                <w:sz w:val="20"/>
                <w:szCs w:val="20"/>
                <w:color w:val="auto"/>
              </w:rPr>
            </w:pPr>
          </w:p>
        </w:tc>
      </w:tr>
      <w:tr>
        <w:trPr>
          <w:trHeight w:val="24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Land, land development and construction - real estate</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449,365</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466,582</w:t>
            </w:r>
          </w:p>
        </w:tc>
        <w:tc>
          <w:tcPr>
            <w:tcW w:w="100" w:type="dxa"/>
            <w:vAlign w:val="bottom"/>
          </w:tcPr>
          <w:p>
            <w:pPr>
              <w:spacing w:after="0"/>
              <w:rPr>
                <w:sz w:val="21"/>
                <w:szCs w:val="21"/>
                <w:color w:val="auto"/>
              </w:rPr>
            </w:pPr>
          </w:p>
        </w:tc>
      </w:tr>
      <w:tr>
        <w:trPr>
          <w:trHeight w:val="271"/>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783,854</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r>
      <w:tr>
        <w:trPr>
          <w:trHeight w:val="21"/>
        </w:trPr>
        <w:tc>
          <w:tcPr>
            <w:tcW w:w="4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 The following tables summarize credit scores by loan class for our mortgage and installment loan segments at December 31:</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Mortgage (1)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3"/>
              <w:spacing w:after="0" w:line="160" w:lineRule="exact"/>
              <w:rPr>
                <w:sz w:val="20"/>
                <w:szCs w:val="20"/>
                <w:color w:val="auto"/>
              </w:rPr>
            </w:pPr>
            <w:r>
              <w:rPr>
                <w:rFonts w:ascii="Arial" w:cs="Arial" w:eastAsia="Arial" w:hAnsi="Arial"/>
                <w:sz w:val="14"/>
                <w:szCs w:val="14"/>
                <w:b w:val="1"/>
                <w:bCs w:val="1"/>
                <w:color w:val="auto"/>
                <w:w w:val="92"/>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2"/>
              <w:spacing w:after="0" w:line="160" w:lineRule="exact"/>
              <w:rPr>
                <w:sz w:val="20"/>
                <w:szCs w:val="20"/>
                <w:color w:val="auto"/>
              </w:rPr>
            </w:pPr>
            <w:r>
              <w:rPr>
                <w:rFonts w:ascii="Arial" w:cs="Arial" w:eastAsia="Arial" w:hAnsi="Arial"/>
                <w:sz w:val="14"/>
                <w:szCs w:val="14"/>
                <w:b w:val="1"/>
                <w:bCs w:val="1"/>
                <w:color w:val="auto"/>
                <w:w w:val="92"/>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51"/>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Resort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Family</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Lending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1st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7"/>
              </w:rPr>
              <w:t>2nd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11,625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7,842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7,983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265,907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360,260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700-749</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146,302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600-649</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25,087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500-549</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633,122</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35,361</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34,111</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852,808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2016</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750-799</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650-699</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550-599</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13,747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314,541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103,048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29,016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55,237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39,137</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540,979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right"/>
        <w:ind w:left="4687" w:right="4680" w:hanging="4687"/>
        <w:spacing w:after="0" w:line="624" w:lineRule="auto"/>
        <w:tabs>
          <w:tab w:leader="none" w:pos="3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Credit scores have been updated within the last twelve months.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b w:val="1"/>
                <w:bCs w:val="1"/>
                <w:color w:val="auto"/>
              </w:rPr>
              <w:t>Installment (1)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32"/>
              <w:spacing w:after="0" w:line="160" w:lineRule="exact"/>
              <w:rPr>
                <w:sz w:val="20"/>
                <w:szCs w:val="20"/>
                <w:color w:val="auto"/>
              </w:rPr>
            </w:pPr>
            <w:r>
              <w:rPr>
                <w:rFonts w:ascii="Arial" w:cs="Arial" w:eastAsia="Arial" w:hAnsi="Arial"/>
                <w:sz w:val="14"/>
                <w:szCs w:val="14"/>
                <w:b w:val="1"/>
                <w:bCs w:val="1"/>
                <w:color w:val="auto"/>
                <w:w w:val="92"/>
              </w:rPr>
              <w:t>Home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2"/>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Recreational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Vehicle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1st Lien</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2nd Lien</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Boat Lending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Lending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800 and above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15,531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16,754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7,060</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158,147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700-749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600-649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500-549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Unknown</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129,972</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75,242</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316,950</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2016</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56,347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750-799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114,065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48,883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650-699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550-599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Under 500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13,958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102,925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74,535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62,319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266,387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Credit scores have been updated within the last twelve months.</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Mortgage loans serviced for others are not reported as assets on the Consolidated Statements of Financial Condition. The principal balances of these loans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96"/>
        </w:trPr>
        <w:tc>
          <w:tcPr>
            <w:tcW w:w="3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w:t>
            </w:r>
          </w:p>
        </w:tc>
        <w:tc>
          <w:tcPr>
            <w:tcW w:w="3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8"/>
                <w:szCs w:val="18"/>
                <w:color w:val="auto"/>
              </w:rPr>
              <w:t>Fannie Mae</w:t>
            </w:r>
          </w:p>
        </w:tc>
        <w:tc>
          <w:tcPr>
            <w:tcW w:w="3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1,001,388</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944,703</w:t>
            </w:r>
          </w:p>
        </w:tc>
        <w:tc>
          <w:tcPr>
            <w:tcW w:w="100" w:type="dxa"/>
            <w:vAlign w:val="bottom"/>
          </w:tcPr>
          <w:p>
            <w:pPr>
              <w:spacing w:after="0"/>
              <w:rPr>
                <w:sz w:val="20"/>
                <w:szCs w:val="20"/>
                <w:color w:val="auto"/>
              </w:rPr>
            </w:pPr>
          </w:p>
        </w:tc>
      </w:tr>
      <w:tr>
        <w:trPr>
          <w:trHeight w:val="249"/>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Freddie Mac</w:t>
            </w:r>
          </w:p>
        </w:tc>
        <w:tc>
          <w:tcPr>
            <w:tcW w:w="3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637,204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622,885</w:t>
            </w:r>
          </w:p>
        </w:tc>
        <w:tc>
          <w:tcPr>
            <w:tcW w:w="100" w:type="dxa"/>
            <w:vAlign w:val="bottom"/>
            <w:shd w:val="clear" w:color="auto" w:fill="CCEEFF"/>
          </w:tcPr>
          <w:p>
            <w:pPr>
              <w:spacing w:after="0"/>
              <w:rPr>
                <w:sz w:val="21"/>
                <w:szCs w:val="2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8"/>
                <w:szCs w:val="18"/>
                <w:color w:val="auto"/>
              </w:rPr>
              <w:t>Ginnie Mae</w:t>
            </w: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85,290</w:t>
            </w:r>
          </w:p>
        </w:tc>
        <w:tc>
          <w:tcPr>
            <w:tcW w:w="100" w:type="dxa"/>
            <w:vAlign w:val="bottom"/>
          </w:tcPr>
          <w:p>
            <w:pPr>
              <w:spacing w:after="0"/>
              <w:rPr>
                <w:sz w:val="20"/>
                <w:szCs w:val="20"/>
                <w:color w:val="auto"/>
              </w:rPr>
            </w:pPr>
          </w:p>
        </w:tc>
      </w:tr>
      <w:tr>
        <w:trPr>
          <w:trHeight w:val="249"/>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FHLB</w:t>
            </w:r>
          </w:p>
        </w:tc>
        <w:tc>
          <w:tcPr>
            <w:tcW w:w="3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21"/>
                <w:szCs w:val="2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r>
      <w:tr>
        <w:trPr>
          <w:trHeight w:val="277"/>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1,816,437</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1,658,993</w:t>
            </w:r>
          </w:p>
        </w:tc>
        <w:tc>
          <w:tcPr>
            <w:tcW w:w="100" w:type="dxa"/>
            <w:vAlign w:val="bottom"/>
            <w:shd w:val="clear" w:color="auto" w:fill="CCEEFF"/>
          </w:tcPr>
          <w:p>
            <w:pPr>
              <w:spacing w:after="0"/>
              <w:rPr>
                <w:sz w:val="24"/>
                <w:szCs w:val="24"/>
                <w:color w:val="auto"/>
              </w:rPr>
            </w:pPr>
          </w:p>
        </w:tc>
      </w:tr>
      <w:tr>
        <w:trPr>
          <w:trHeight w:val="432"/>
        </w:trPr>
        <w:tc>
          <w:tcPr>
            <w:tcW w:w="338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jc w:val="right"/>
              <w:ind w:right="2010"/>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6"/>
        </w:trPr>
        <w:tc>
          <w:tcPr>
            <w:tcW w:w="3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35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00" w:name="page101"/>
    <w:bookmarkEnd w:id="100"/>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Custodial deposit accounts maintained in connection with mortgage loans serviced for others totaled $20.7 million and $18.9 million, at December 31, 2017 and 2016, respectively.</w:t>
      </w:r>
    </w:p>
    <w:p>
      <w:pPr>
        <w:spacing w:after="0" w:line="62" w:lineRule="exact"/>
        <w:rPr>
          <w:sz w:val="20"/>
          <w:szCs w:val="20"/>
          <w:color w:val="auto"/>
        </w:rPr>
      </w:pPr>
    </w:p>
    <w:p>
      <w:pPr>
        <w:jc w:val="both"/>
        <w:ind w:left="7" w:firstLine="360"/>
        <w:spacing w:after="0" w:line="270" w:lineRule="auto"/>
        <w:rPr>
          <w:sz w:val="20"/>
          <w:szCs w:val="20"/>
          <w:color w:val="auto"/>
        </w:rPr>
      </w:pPr>
      <w:r>
        <w:rPr>
          <w:rFonts w:ascii="Arial" w:cs="Arial" w:eastAsia="Arial" w:hAnsi="Arial"/>
          <w:sz w:val="17"/>
          <w:szCs w:val="17"/>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gains on the sale of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 The highest level of capital we are required to maintain is at least $2.5 million plus 0.25% of all loans serviced for others.</w:t>
      </w:r>
    </w:p>
    <w:p>
      <w:pPr>
        <w:spacing w:after="0" w:line="7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An analysis of capitalized mortgage loan servicing rights for the years ended December 31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12,106</w:t>
            </w:r>
          </w:p>
        </w:tc>
        <w:tc>
          <w:tcPr>
            <w:tcW w:w="60" w:type="dxa"/>
            <w:vAlign w:val="bottom"/>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Change in accounting (see note #1)</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12,106</w:t>
            </w:r>
          </w:p>
        </w:tc>
        <w:tc>
          <w:tcPr>
            <w:tcW w:w="60" w:type="dxa"/>
            <w:vAlign w:val="bottom"/>
            <w:shd w:val="clear" w:color="auto" w:fill="CCEEFF"/>
          </w:tcPr>
          <w:p>
            <w:pPr>
              <w:spacing w:after="0"/>
              <w:rPr>
                <w:sz w:val="20"/>
                <w:szCs w:val="20"/>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(2,868)</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due to price</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Change in fair value due to pay downs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71"/>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3,272</w:t>
            </w:r>
          </w:p>
        </w:tc>
        <w:tc>
          <w:tcPr>
            <w:tcW w:w="60" w:type="dxa"/>
            <w:vAlign w:val="bottom"/>
          </w:tcPr>
          <w:p>
            <w:pPr>
              <w:spacing w:after="0"/>
              <w:rPr>
                <w:sz w:val="19"/>
                <w:szCs w:val="19"/>
                <w:color w:val="auto"/>
              </w:rPr>
            </w:pPr>
          </w:p>
        </w:tc>
      </w:tr>
      <w:tr>
        <w:trPr>
          <w:trHeight w:val="28"/>
        </w:trPr>
        <w:tc>
          <w:tcPr>
            <w:tcW w:w="59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sold and serviced that have had servicing rights capitalized</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1,815,668</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1,657,996</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1,643,086</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The fair value of capitalized mortgage loan servicing rights was $15.7 million and $14.2 million at December 31, 2017 and 2016, respectively. Fair value was determined using an average coupon rate of 4.17%, average servicing fee of 0.258%, average discount rate of 10.11% and an average Public Securities Association (“PSA”) prepayment rate of 169 for December 31, 2017; and an average coupon rate of 4.20%, average servicing fee of 0.256%, average discount rate of 10.07% and an average PSA prepayment rate of 175 for December 31, 2016.</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5 – OTHER REAL ESTATE</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summary of other real estate activity for the years ended December 31 follows (1):</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 net of valuation allowance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6,370</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Loans transferred to other real estate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6,694</w:t>
            </w:r>
          </w:p>
        </w:tc>
        <w:tc>
          <w:tcPr>
            <w:tcW w:w="60" w:type="dxa"/>
            <w:vAlign w:val="bottom"/>
          </w:tcPr>
          <w:p>
            <w:pPr>
              <w:spacing w:after="0"/>
              <w:rPr>
                <w:sz w:val="20"/>
                <w:szCs w:val="20"/>
                <w:color w:val="auto"/>
              </w:rPr>
            </w:pPr>
          </w:p>
        </w:tc>
      </w:tr>
      <w:tr>
        <w:trPr>
          <w:trHeight w:val="249"/>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of other real estate</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(5,502)</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Additions to valuation allowance charged to expense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(492)</w:t>
            </w:r>
          </w:p>
        </w:tc>
      </w:tr>
      <w:tr>
        <w:trPr>
          <w:trHeight w:val="271"/>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 net of valuation allowance</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94" w:lineRule="exact"/>
        <w:rPr>
          <w:sz w:val="20"/>
          <w:szCs w:val="20"/>
          <w:color w:val="auto"/>
        </w:rPr>
      </w:pPr>
    </w:p>
    <w:p>
      <w:pPr>
        <w:jc w:val="center"/>
        <w:ind w:left="4687" w:right="660" w:hanging="4687"/>
        <w:spacing w:after="0" w:line="528" w:lineRule="auto"/>
        <w:tabs>
          <w:tab w:leader="none" w:pos="3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Table excludes other repossessed assets totaling $0.02 and $0.05 million at December 31, 2017 and 2016, respectively.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Additions charged to expense</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write-downs upon sale</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w:t>
            </w:r>
          </w:p>
        </w:tc>
      </w:tr>
      <w:tr>
        <w:trPr>
          <w:trHeight w:val="223"/>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tcBorders>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December 31, 2017 and 2016, the balance of other real estate includes $1.6 million and $1.9 million of foreclosed residential real estate properties. Retail mortgage loans secured by residential real estate properties for which formal foreclosure proceedings are in process according to local requirements totaled $0.8 million and $1.0 million at December 31, 2017 and 2016, respectively.</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Other real estate and repossessed assets totaling $1.6 million and $5.0 million at December 31, 2017 and 2016, respectively, are presented net of the valuation allowance on the Consolidated Statements of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property and equipment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15,486</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55,434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54,656</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72,090</w:t>
            </w:r>
          </w:p>
        </w:tc>
        <w:tc>
          <w:tcPr>
            <w:tcW w:w="60" w:type="dxa"/>
            <w:vAlign w:val="bottom"/>
            <w:shd w:val="clear" w:color="auto" w:fill="CCEEFF"/>
          </w:tcPr>
          <w:p>
            <w:pPr>
              <w:spacing w:after="0"/>
              <w:rPr>
                <w:sz w:val="21"/>
                <w:szCs w:val="21"/>
                <w:color w:val="auto"/>
              </w:rPr>
            </w:pPr>
          </w:p>
        </w:tc>
      </w:tr>
      <w:tr>
        <w:trPr>
          <w:trHeight w:val="230"/>
        </w:trPr>
        <w:tc>
          <w:tcPr>
            <w:tcW w:w="738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141,237</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142,232</w:t>
            </w:r>
          </w:p>
        </w:tc>
        <w:tc>
          <w:tcPr>
            <w:tcW w:w="60" w:type="dxa"/>
            <w:vAlign w:val="bottom"/>
            <w:tcBorders>
              <w:top w:val="single" w:sz="8" w:color="CCEEFF"/>
            </w:tcBorders>
          </w:tcPr>
          <w:p>
            <w:pPr>
              <w:spacing w:after="0"/>
              <w:rPr>
                <w:sz w:val="20"/>
                <w:szCs w:val="20"/>
                <w:color w:val="auto"/>
              </w:rPr>
            </w:pPr>
          </w:p>
        </w:tc>
      </w:tr>
      <w:tr>
        <w:trPr>
          <w:trHeight w:val="24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(102,088)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(102,057)</w:t>
            </w:r>
          </w:p>
        </w:tc>
      </w:tr>
      <w:tr>
        <w:trPr>
          <w:trHeight w:val="223"/>
        </w:trPr>
        <w:tc>
          <w:tcPr>
            <w:tcW w:w="73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39,149</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40,175</w:t>
            </w:r>
          </w:p>
        </w:tc>
        <w:tc>
          <w:tcPr>
            <w:tcW w:w="60" w:type="dxa"/>
            <w:vAlign w:val="bottom"/>
            <w:tcBorders>
              <w:top w:val="single" w:sz="8" w:color="CCEEFF"/>
            </w:tcBorders>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was $5.3 million, $5.8 million and $6.6 million in 2017,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amortization,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5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rPr>
              <w:t>$  6,118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80" w:type="dxa"/>
            <w:vAlign w:val="bottom"/>
            <w:gridSpan w:val="9"/>
          </w:tcPr>
          <w:p>
            <w:pPr>
              <w:ind w:left="360"/>
              <w:spacing w:after="0"/>
              <w:rPr>
                <w:sz w:val="20"/>
                <w:szCs w:val="20"/>
                <w:color w:val="auto"/>
              </w:rPr>
            </w:pPr>
            <w:r>
              <w:rPr>
                <w:rFonts w:ascii="Arial" w:cs="Arial" w:eastAsia="Arial" w:hAnsi="Arial"/>
                <w:sz w:val="18"/>
                <w:szCs w:val="18"/>
                <w:color w:val="auto"/>
                <w:w w:val="92"/>
              </w:rPr>
              <w:t>Intangible amortization expense was $0.3 million in each of 2017, 2016 and 2015, respectively.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80" w:type="dxa"/>
            <w:vAlign w:val="bottom"/>
            <w:gridSpan w:val="9"/>
          </w:tcPr>
          <w:p>
            <w:pPr>
              <w:ind w:left="360"/>
              <w:spacing w:after="0"/>
              <w:rPr>
                <w:sz w:val="20"/>
                <w:szCs w:val="20"/>
                <w:color w:val="auto"/>
              </w:rPr>
            </w:pPr>
            <w:r>
              <w:rPr>
                <w:rFonts w:ascii="Arial" w:cs="Arial" w:eastAsia="Arial" w:hAnsi="Arial"/>
                <w:sz w:val="18"/>
                <w:szCs w:val="18"/>
                <w:color w:val="auto"/>
                <w:w w:val="95"/>
              </w:rPr>
              <w:t>A summary of estimated core deposit intangible amortization at December 31, 2017, follows: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2019</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18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540" w:type="dxa"/>
            <w:vAlign w:val="bottom"/>
            <w:vMerge w:val="restart"/>
          </w:tcPr>
          <w:p>
            <w:pPr>
              <w:jc w:val="right"/>
              <w:ind w:right="47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8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DEPOSITS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interest expense on deposits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CEEFF"/>
          </w:tcPr>
          <w:p>
            <w:pPr>
              <w:spacing w:after="0"/>
              <w:rPr>
                <w:sz w:val="21"/>
                <w:szCs w:val="21"/>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Time deposits under $100,000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1,586</w:t>
            </w:r>
          </w:p>
        </w:tc>
        <w:tc>
          <w:tcPr>
            <w:tcW w:w="60" w:type="dxa"/>
            <w:vAlign w:val="bottom"/>
          </w:tcPr>
          <w:p>
            <w:pPr>
              <w:spacing w:after="0"/>
              <w:rPr>
                <w:sz w:val="20"/>
                <w:szCs w:val="20"/>
                <w:color w:val="auto"/>
              </w:rPr>
            </w:pPr>
          </w:p>
        </w:tc>
      </w:tr>
      <w:tr>
        <w:trPr>
          <w:trHeight w:val="24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 of $100,000 or more</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6,775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4,009</w:t>
            </w:r>
          </w:p>
        </w:tc>
        <w:tc>
          <w:tcPr>
            <w:tcW w:w="6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Aggregate time deposits in denominations of $250,000 or more amounted to $92.2 million and $174.6 million at December 31, 2017 and 2016,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A summary of the maturity of time deposits at December 31, 2017, follows: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80" w:type="dxa"/>
            <w:vAlign w:val="bottom"/>
          </w:tcPr>
          <w:p>
            <w:pPr>
              <w:spacing w:after="0"/>
              <w:rPr>
                <w:sz w:val="21"/>
                <w:szCs w:val="21"/>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446,835</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65,810</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2023 and thereafter</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554,818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Reciprocal deposits represent demand, money market and time deposits from our customers that have been placed through Promontory Interfinancial Network’s Insured Cash Sweep® service and Certificate of Deposit Account Registry Service®. These services allow our customers to access multi-million dollar FDIC deposit insurance on deposit balances greater than the standard FDIC insurance maximum.</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reciprocal deposits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9"/>
          </w:tcPr>
          <w:p>
            <w:pPr>
              <w:ind w:left="3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w:t>
            </w: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60" w:type="dxa"/>
            <w:vAlign w:val="bottom"/>
          </w:tcPr>
          <w:p>
            <w:pPr>
              <w:spacing w:after="0"/>
              <w:rPr>
                <w:sz w:val="20"/>
                <w:szCs w:val="20"/>
                <w:color w:val="auto"/>
              </w:rPr>
            </w:pPr>
          </w:p>
        </w:tc>
      </w:tr>
      <w:tr>
        <w:trPr>
          <w:trHeight w:val="249"/>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31,252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74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38,657</w:t>
            </w:r>
          </w:p>
        </w:tc>
        <w:tc>
          <w:tcPr>
            <w:tcW w:w="6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NOTE 9 – OTHER BORROWINGS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A summary of other borrowings at December 31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9"/>
          </w:tcPr>
          <w:p>
            <w:pPr>
              <w:ind w:left="4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from the FHLB</w:t>
            </w: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47,841</w:t>
            </w:r>
          </w:p>
        </w:tc>
        <w:tc>
          <w:tcPr>
            <w:tcW w:w="1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54,600</w:t>
            </w:r>
          </w:p>
        </w:tc>
        <w:tc>
          <w:tcPr>
            <w:tcW w:w="120" w:type="dxa"/>
            <w:vAlign w:val="bottom"/>
          </w:tcPr>
          <w:p>
            <w:pPr>
              <w:spacing w:after="0"/>
              <w:rPr>
                <w:sz w:val="19"/>
                <w:szCs w:val="19"/>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Advances from the FHLB are secured by unencumbered qualifying mortgage and home equity loans with a market value equal to at least 132% to 165%, respectively, of outstanding advances. Advances are also secured by FHLB stock that we own, which totaled $7.8 million at December 31, 2017. Unused borrowing capacity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FHLB (subject to the FHLB’s credit requirements and policies) was $304.5 million at December 31, 2017. Interest expense on advances amounted to $0.9 million, $0.8 million and $0.8 million for the years ended December 31, 2017, 2016 and 2015, respectively. No FHLB advances were terminated during 2017, 2016 or 2015.</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a member of the FHLB, we must own FHLB stock equal to the greater of 0.75% of the unpaid principal balance of residential mortgage loans or 4.5% of our outstanding advances. At December 31, 2017, we were in compliance with the FHLB stock ownership requirements.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maturity dates and weighted average interest rates of FHLB advances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Rate</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r>
      <w:tr>
        <w:trPr>
          <w:trHeight w:val="183"/>
        </w:trPr>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7"/>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Fixed-rate advances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1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7.04%</w:t>
            </w:r>
          </w:p>
        </w:tc>
      </w:tr>
      <w:tr>
        <w:trPr>
          <w:trHeight w:val="25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19,910</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2"/>
                <w:szCs w:val="22"/>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360"/>
              <w:spacing w:after="0"/>
              <w:rPr>
                <w:sz w:val="20"/>
                <w:szCs w:val="20"/>
                <w:color w:val="auto"/>
              </w:rPr>
            </w:pPr>
            <w:r>
              <w:rPr>
                <w:rFonts w:ascii="Arial" w:cs="Arial" w:eastAsia="Arial" w:hAnsi="Arial"/>
                <w:sz w:val="18"/>
                <w:szCs w:val="18"/>
                <w:color w:val="auto"/>
              </w:rPr>
              <w:t>Total fixed-rate advances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37,841</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9,428</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r>
      <w:tr>
        <w:trPr>
          <w:trHeight w:val="23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Variable-rate advances - 2018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advances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47,841</w:t>
            </w:r>
          </w:p>
        </w:tc>
        <w:tc>
          <w:tcPr>
            <w:tcW w:w="180" w:type="dxa"/>
            <w:vAlign w:val="bottom"/>
          </w:tcPr>
          <w:p>
            <w:pPr>
              <w:spacing w:after="0"/>
              <w:rPr>
                <w:sz w:val="19"/>
                <w:szCs w:val="19"/>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9,428</w:t>
            </w:r>
          </w:p>
        </w:tc>
        <w:tc>
          <w:tcPr>
            <w:tcW w:w="18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6.61%</w:t>
            </w:r>
          </w:p>
        </w:tc>
      </w:tr>
      <w:tr>
        <w:trPr>
          <w:trHeight w:val="21"/>
        </w:trPr>
        <w:tc>
          <w:tcPr>
            <w:tcW w:w="590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7780" w:type="dxa"/>
            <w:vAlign w:val="bottom"/>
            <w:gridSpan w:val="8"/>
          </w:tcPr>
          <w:p>
            <w:pPr>
              <w:ind w:left="360"/>
              <w:spacing w:after="0"/>
              <w:rPr>
                <w:sz w:val="20"/>
                <w:szCs w:val="20"/>
                <w:color w:val="auto"/>
              </w:rPr>
            </w:pPr>
            <w:r>
              <w:rPr>
                <w:rFonts w:ascii="Arial" w:cs="Arial" w:eastAsia="Arial" w:hAnsi="Arial"/>
                <w:sz w:val="18"/>
                <w:szCs w:val="18"/>
                <w:color w:val="auto"/>
                <w:w w:val="94"/>
              </w:rPr>
              <w:t>A summary of contractually required repayments of FHLB advances at December 31, 2017 follow:</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100" w:type="dxa"/>
            <w:vAlign w:val="bottom"/>
            <w:shd w:val="clear" w:color="auto" w:fill="CCEEFF"/>
          </w:tcPr>
          <w:p>
            <w:pPr>
              <w:spacing w:after="0"/>
              <w:rPr>
                <w:sz w:val="21"/>
                <w:szCs w:val="2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tcPr>
          <w:p>
            <w:pPr>
              <w:spacing w:after="0"/>
              <w:rPr>
                <w:sz w:val="20"/>
                <w:szCs w:val="20"/>
                <w:color w:val="auto"/>
              </w:rPr>
            </w:pPr>
          </w:p>
        </w:tc>
      </w:tr>
      <w:tr>
        <w:trPr>
          <w:trHeight w:val="24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47,841</w:t>
            </w:r>
          </w:p>
        </w:tc>
        <w:tc>
          <w:tcPr>
            <w:tcW w:w="100" w:type="dxa"/>
            <w:vAlign w:val="bottom"/>
          </w:tcPr>
          <w:p>
            <w:pPr>
              <w:spacing w:after="0"/>
              <w:rPr>
                <w:sz w:val="19"/>
                <w:szCs w:val="19"/>
                <w:color w:val="auto"/>
              </w:rPr>
            </w:pPr>
          </w:p>
        </w:tc>
      </w:tr>
      <w:tr>
        <w:trPr>
          <w:trHeight w:val="21"/>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Borrowings with the FRB at December 31, 2017 and 2016 were zero. Average borrowings with the FRB during the years ended December 31, 2017, 2016 and 2015 totaled $0.05 million, zero and zero. We had unused borrowing capacity with the FRB (subject to the FRB’s credit requirements and policies) of $441.2 million at December 31, 2017. Collateral for FRB borrowings are certain commercial loans.</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Interest expense on federal funds purchased totaled $0.1 million, zero and zero for the years ended December 31, 2017, 2016 and 2015.</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Assets, consisting of FHLB stock and loans, pledged to secure other borrowings and unused borrowing capacity totaled $1.184 billion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$34.5 million at both December 31, 2017 and 2016, respectively, qualified as Tier 1 regulatory capital.</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Summary information regarding subordinated debentures as of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2017 and 2016</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ind w:right="76"/>
              <w:spacing w:after="0" w:line="160" w:lineRule="exact"/>
              <w:rPr>
                <w:sz w:val="20"/>
                <w:szCs w:val="20"/>
                <w:color w:val="auto"/>
              </w:rPr>
            </w:pPr>
            <w:r>
              <w:rPr>
                <w:rFonts w:ascii="Arial" w:cs="Arial" w:eastAsia="Arial" w:hAnsi="Arial"/>
                <w:sz w:val="14"/>
                <w:szCs w:val="14"/>
                <w:b w:val="1"/>
                <w:bCs w:val="1"/>
                <w:color w:val="auto"/>
                <w:w w:val="97"/>
              </w:rPr>
              <w:t>Trust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Common</w:t>
            </w: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560"/>
              <w:spacing w:after="0"/>
              <w:rPr>
                <w:sz w:val="20"/>
                <w:szCs w:val="20"/>
                <w:color w:val="auto"/>
              </w:rPr>
            </w:pPr>
            <w:r>
              <w:rPr>
                <w:rFonts w:ascii="Arial" w:cs="Arial" w:eastAsia="Arial" w:hAnsi="Arial"/>
                <w:sz w:val="14"/>
                <w:szCs w:val="14"/>
                <w:b w:val="1"/>
                <w:bCs w:val="1"/>
                <w:color w:val="auto"/>
              </w:rPr>
              <w:t>Issue</w:t>
            </w: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Subordinated</w:t>
            </w: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Stock</w:t>
            </w:r>
          </w:p>
        </w:tc>
      </w:tr>
      <w:tr>
        <w:trPr>
          <w:trHeight w:val="18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8"/>
              </w:rPr>
              <w:t>Debentures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00" w:type="dxa"/>
            <w:vAlign w:val="bottom"/>
            <w:gridSpan w:val="2"/>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May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IBC Capital Finance IV</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September 2007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0"/>
                <w:szCs w:val="20"/>
                <w:color w:val="auto"/>
              </w:rPr>
            </w:pPr>
          </w:p>
        </w:tc>
      </w:tr>
      <w:tr>
        <w:trPr>
          <w:trHeight w:val="24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1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November 2002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3"/>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34,500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r>
      <w:tr>
        <w:trPr>
          <w:trHeight w:val="21"/>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Other key terms for the subordinated debentures and trust preferred securities that were outstanding at December 31, 2017 and 2016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First Permitted</w:t>
            </w:r>
          </w:p>
        </w:tc>
        <w:tc>
          <w:tcPr>
            <w:tcW w:w="0" w:type="dxa"/>
            <w:vAlign w:val="bottom"/>
          </w:tcPr>
          <w:p>
            <w:pPr>
              <w:spacing w:after="0"/>
              <w:rPr>
                <w:sz w:val="1"/>
                <w:szCs w:val="1"/>
                <w:color w:val="auto"/>
              </w:rPr>
            </w:pPr>
          </w:p>
        </w:tc>
      </w:tr>
      <w:tr>
        <w:trPr>
          <w:trHeight w:val="185"/>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6"/>
                <w:szCs w:val="16"/>
                <w:color w:val="auto"/>
              </w:rPr>
            </w:pPr>
          </w:p>
        </w:tc>
        <w:tc>
          <w:tcPr>
            <w:tcW w:w="2500" w:type="dxa"/>
            <w:vAlign w:val="bottom"/>
          </w:tcPr>
          <w:p>
            <w:pPr>
              <w:ind w:left="8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6"/>
                <w:szCs w:val="16"/>
                <w:color w:val="auto"/>
              </w:rPr>
            </w:pPr>
          </w:p>
        </w:tc>
        <w:tc>
          <w:tcPr>
            <w:tcW w:w="2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Redemption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July 30, 2037</w:t>
            </w: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 plus 1.60%</w:t>
            </w:r>
          </w:p>
        </w:tc>
        <w:tc>
          <w:tcPr>
            <w:tcW w:w="2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July 30, 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IBC Capital Finance IV</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September 15, 2037</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3 month LIBOR plus 2.85%</w:t>
            </w: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September 15, 2012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November 7, 2032</w:t>
            </w: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 plus 3.45%</w:t>
            </w:r>
          </w:p>
        </w:tc>
        <w:tc>
          <w:tcPr>
            <w:tcW w:w="2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November 7, 2007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2017 and 2016.</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Issuance costs have been capitalized and are being amortized on a straight- line basis over a period not exceeding 30 years and are included in interest expense in the Consolidated Statements of Operations. Distributions (payment of interest) on the trust preferred securities are also included in interest expense – other borrowings and subordinated debentures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121" w:lineRule="exact"/>
        <w:rPr>
          <w:sz w:val="20"/>
          <w:szCs w:val="20"/>
          <w:color w:val="auto"/>
        </w:rPr>
      </w:pPr>
    </w:p>
    <w:p>
      <w:pPr>
        <w:jc w:val="both"/>
        <w:ind w:right="20" w:firstLine="360"/>
        <w:spacing w:after="0" w:line="255" w:lineRule="auto"/>
        <w:rPr>
          <w:sz w:val="20"/>
          <w:szCs w:val="20"/>
          <w:color w:val="auto"/>
        </w:rPr>
      </w:pPr>
      <w:r>
        <w:rPr>
          <w:rFonts w:ascii="Arial" w:cs="Arial" w:eastAsia="Arial" w:hAnsi="Arial"/>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 We do not, however, anticipate material losses as a result of these financial instruments.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financial instruments with off-balance sheet risk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risk is represented by contract amounts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439,663</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364,270</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21"/>
                <w:szCs w:val="21"/>
                <w:color w:val="auto"/>
              </w:rPr>
            </w:pPr>
          </w:p>
        </w:tc>
      </w:tr>
      <w:tr>
        <w:trPr>
          <w:trHeight w:val="432"/>
        </w:trPr>
        <w:tc>
          <w:tcPr>
            <w:tcW w:w="6960" w:type="dxa"/>
            <w:vAlign w:val="bottom"/>
          </w:tcPr>
          <w:p>
            <w:pPr>
              <w:jc w:val="right"/>
              <w:ind w:right="201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69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to corporations, have variable rates that range from 3.75% to 7.50% and mature through 2019.</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 the fourth quarter of 2016, we reached a tentative settlement regarding litigation initiated against the Bank in Wayne County, Michigan Circuit Court. The Court issued a preliminary approval of this settlement in the first quarter of 2017 and a final approval of this settlement in January 2018. This litigation concerned the Bank’s checking account transaction sequencing during a period from February 2009 to June 2011. Under the terms of the settlement, we agreed to pay $2.2 million and we are also responsible for class notification costs and certain other expenses which are estimated to total approximately $0.1 million. The $2.2 million was paid in January 2018.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5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7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In connection with the sale of Mepco (see notes #1 and #26),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December 31, 2017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December 31, 2017 these receivables balances had declined to $13.7 million and to date, the purchaser has made no claims for indemnification.</w:t>
      </w:r>
    </w:p>
    <w:p>
      <w:pPr>
        <w:spacing w:after="0" w:line="5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 breached a representation or warranty or other contractual requirement related to the loan sale. The provision for loss reimbursement on sold loans was an expense (credit) of $0.17 million, $0.03 million and $(0.06) million for the years ended December 31, 2017, 2016 and 2015, respectively. The reserve for loss reimbursements on sold mortgage loans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6" w:name="page107"/>
    <w:bookmarkEnd w:id="106"/>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spacing w:after="0" w:line="273" w:lineRule="auto"/>
        <w:rPr>
          <w:sz w:val="20"/>
          <w:szCs w:val="20"/>
          <w:color w:val="auto"/>
        </w:rPr>
      </w:pPr>
      <w:r>
        <w:rPr>
          <w:rFonts w:ascii="Arial" w:cs="Arial" w:eastAsia="Arial" w:hAnsi="Arial"/>
          <w:sz w:val="17"/>
          <w:szCs w:val="17"/>
          <w:color w:val="auto"/>
        </w:rPr>
        <w:t>totaled $0.7 million and $0.6 million at December 31, 2017 and 2016, respectively. This reserve is included in accrued expenses and other liabilities in our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12 – SHAREHOLDERS’ EQUITY AND INCOME PER COMMON SHARE</w:t>
      </w:r>
    </w:p>
    <w:p>
      <w:pPr>
        <w:spacing w:after="0" w:line="121"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In January, 2017, 2016 and 2015, our Board of Directors authorized share repurchase plans to buy back up to 5% of our outstanding common stock through the end of each respective year. In addition, on April 26, 2016 our Board of Directors authorized a $5.0 million expansion of the 2016 repurchase plan. During 2017, 2016 and 2015 repurchases were made through open market transactions and totaled zero, 1,153,136 and 967,199 shares of common stock, respectively for an aggregate purchase price of zero, $16.9 million and $13.5 million, respectively.</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reconciliation of basic and diluted net income per common share for the years ended December 31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504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Effect of stock options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Performance share units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w w:val="93"/>
              </w:rPr>
              <w:t>Weighted average shares outstanding for calculation of diluted earnings per share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Basic net income per common share includes weighted average common shares outstanding during the period and participating share awards.</w:t>
      </w:r>
    </w:p>
    <w:p>
      <w:pPr>
        <w:spacing w:after="0" w:line="62" w:lineRule="exact"/>
        <w:rPr>
          <w:sz w:val="20"/>
          <w:szCs w:val="20"/>
          <w:color w:val="auto"/>
        </w:rPr>
      </w:pPr>
    </w:p>
    <w:p>
      <w:pPr>
        <w:ind w:left="7" w:right="20" w:firstLine="360"/>
        <w:spacing w:after="0" w:line="308" w:lineRule="auto"/>
        <w:rPr>
          <w:sz w:val="20"/>
          <w:szCs w:val="20"/>
          <w:color w:val="auto"/>
        </w:rPr>
      </w:pPr>
      <w:r>
        <w:rPr>
          <w:rFonts w:ascii="Arial" w:cs="Arial" w:eastAsia="Arial" w:hAnsi="Arial"/>
          <w:sz w:val="17"/>
          <w:szCs w:val="17"/>
          <w:color w:val="auto"/>
        </w:rPr>
        <w:t>Weighted average stock options outstanding that were not considered in computing diluted net income per common share because they were anti-dilutive totaled zero, zero and 0.03 million for 2017, 2016 and 2015, respectively.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13 – INCOME TAX</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composition of income tax expense for the years ended December 31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38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3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21"/>
                <w:szCs w:val="2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Deferred expense</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10,071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9,128</w:t>
            </w:r>
          </w:p>
        </w:tc>
        <w:tc>
          <w:tcPr>
            <w:tcW w:w="60" w:type="dxa"/>
            <w:vAlign w:val="bottom"/>
          </w:tcPr>
          <w:p>
            <w:pPr>
              <w:spacing w:after="0"/>
              <w:rPr>
                <w:sz w:val="20"/>
                <w:szCs w:val="20"/>
                <w:color w:val="auto"/>
              </w:rPr>
            </w:pPr>
          </w:p>
        </w:tc>
      </w:tr>
      <w:tr>
        <w:trPr>
          <w:trHeight w:val="25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rate</w:t>
            </w:r>
          </w:p>
        </w:tc>
        <w:tc>
          <w:tcPr>
            <w:tcW w:w="3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Valuation allowance - change in estimate</w:t>
            </w:r>
          </w:p>
        </w:tc>
        <w:tc>
          <w:tcPr>
            <w:tcW w:w="3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77"/>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60" w:type="dxa"/>
            <w:vAlign w:val="bottom"/>
            <w:shd w:val="clear" w:color="auto" w:fill="CCEEFF"/>
          </w:tcPr>
          <w:p>
            <w:pPr>
              <w:spacing w:after="0"/>
              <w:rPr>
                <w:sz w:val="24"/>
                <w:szCs w:val="24"/>
                <w:color w:val="auto"/>
              </w:rPr>
            </w:pPr>
          </w:p>
        </w:tc>
      </w:tr>
      <w:tr>
        <w:trPr>
          <w:trHeight w:val="432"/>
        </w:trPr>
        <w:tc>
          <w:tcPr>
            <w:tcW w:w="382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75</w:t>
            </w: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46"/>
        </w:trPr>
        <w:tc>
          <w:tcPr>
            <w:tcW w:w="3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820" w:type="dxa"/>
            <w:vAlign w:val="bottom"/>
            <w:shd w:val="clear" w:color="auto" w:fill="000000"/>
          </w:tcPr>
          <w:p>
            <w:pPr>
              <w:spacing w:after="0"/>
              <w:rPr>
                <w:sz w:val="5"/>
                <w:szCs w:val="5"/>
                <w:color w:val="auto"/>
              </w:rPr>
            </w:pPr>
          </w:p>
        </w:tc>
        <w:tc>
          <w:tcPr>
            <w:tcW w:w="3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deferred income tax expense of $10.1 million in 2017 can be primarily attributed to the utilization of our net operating loss (“NOL”) carryfoward while the deferred income tax expense of $9.8 million and $9.1 million during 2016 and 2015, respectively can be primarily attributed to the utilization of our NOL carryfoward and decrease in our AFLL.</w:t>
      </w:r>
    </w:p>
    <w:p>
      <w:pPr>
        <w:spacing w:after="0" w:line="73"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On December 22, 2017, President Donald Trump signed into law “H.R. 1”, also known as the “Tax Cuts and Jobs Act”, which among other things, reduced the federal corporate income tax rate to 21% effective January 1, 2018. As a result, we concluded that our deferred tax assets, net had to be remeasured. Our deferred tax assets, net represents expected corporate tax benefits anticipated to be realized in the future. The reduction in the federal corporate income tax rate reduces these anticipated future benefits. The remeasurement of our deferred tax assets, net at December 31, 2017 resulted in a reduction of these net assets and a corresponding increase in income tax expense of $6.0 million that was recorded in the fourth quarter of 2017.</w:t>
      </w:r>
    </w:p>
    <w:p>
      <w:pPr>
        <w:spacing w:after="0" w:line="5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reconciliation of income tax expense to the amount computed by applying the statutory federal income tax rate of 35% in each year presented to the income before income tax for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10,283</w:t>
            </w:r>
          </w:p>
        </w:tc>
        <w:tc>
          <w:tcPr>
            <w:tcW w:w="60" w:type="dxa"/>
            <w:vAlign w:val="bottom"/>
            <w:shd w:val="clear" w:color="auto" w:fill="CCEEFF"/>
          </w:tcPr>
          <w:p>
            <w:pPr>
              <w:spacing w:after="0"/>
              <w:rPr>
                <w:sz w:val="21"/>
                <w:szCs w:val="2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Change in statutory rate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(449)</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Unrecognized tax benefit</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meals, entertainment and memberships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22"/>
                <w:szCs w:val="22"/>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Net change in valuation allowance</w:t>
            </w:r>
          </w:p>
        </w:tc>
        <w:tc>
          <w:tcPr>
            <w:tcW w:w="1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4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9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17,963</w:t>
            </w: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9,363</w:t>
            </w:r>
          </w:p>
        </w:tc>
        <w:tc>
          <w:tcPr>
            <w:tcW w:w="6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Alternative minimum tax credit carry forward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6,113</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4,064</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7,104</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Loss carryforwards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17,131</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3,143</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Purchase premiums, net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1,460</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based payments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Litigation settlement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on trading securities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Reserve for unfunded lending commitments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Other than temporary impairment charge on securities available for sale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 accrual loan interest income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Loss reimbursement on sold loans reserve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on securities available for sale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Vehicle service contract counterparty contingency reserve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r>
      <w:tr>
        <w:trPr>
          <w:trHeight w:val="24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 on other real estate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r>
      <w:tr>
        <w:trPr>
          <w:trHeight w:val="237"/>
        </w:trPr>
        <w:tc>
          <w:tcPr>
            <w:tcW w:w="7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39,209</w:t>
            </w:r>
          </w:p>
        </w:tc>
        <w:tc>
          <w:tcPr>
            <w:tcW w:w="60" w:type="dxa"/>
            <w:vAlign w:val="bottom"/>
            <w:shd w:val="clear" w:color="auto" w:fill="CCEEFF"/>
          </w:tcPr>
          <w:p>
            <w:pPr>
              <w:spacing w:after="0"/>
              <w:rPr>
                <w:sz w:val="20"/>
                <w:szCs w:val="20"/>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(1,071)</w:t>
            </w:r>
          </w:p>
        </w:tc>
      </w:tr>
      <w:tr>
        <w:trPr>
          <w:trHeight w:val="237"/>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 net of valuation allowance</w:t>
            </w: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38,138</w:t>
            </w:r>
          </w:p>
        </w:tc>
        <w:tc>
          <w:tcPr>
            <w:tcW w:w="60" w:type="dxa"/>
            <w:vAlign w:val="bottom"/>
            <w:shd w:val="clear" w:color="auto" w:fill="CCEEFF"/>
          </w:tcPr>
          <w:p>
            <w:pPr>
              <w:spacing w:after="0"/>
              <w:rPr>
                <w:sz w:val="20"/>
                <w:szCs w:val="20"/>
                <w:color w:val="auto"/>
              </w:rPr>
            </w:pPr>
          </w:p>
        </w:tc>
      </w:tr>
      <w:tr>
        <w:trPr>
          <w:trHeight w:val="432"/>
        </w:trPr>
        <w:tc>
          <w:tcPr>
            <w:tcW w:w="7380" w:type="dxa"/>
            <w:vAlign w:val="bottom"/>
          </w:tcPr>
          <w:p>
            <w:pPr>
              <w:ind w:left="468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73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6"/>
                <w:szCs w:val="16"/>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7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Deferred loan fees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 on derivative financial instruments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Federal Home Loan Bank stock</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15,089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2017 and 2016, that the realization of substantially all of our deferred tax assets continues to be more likely than not.</w:t>
      </w:r>
    </w:p>
    <w:p>
      <w:pPr>
        <w:spacing w:after="0" w:line="7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had maintained a valuation allowance against our deferred tax assets of approximately $1.1 million at December 31, 2016. This valuation allowance on our deferred tax assets related to state income taxes at Mepco. In this instance, we determined that the future realization of these particular deferred tax assets was not more likely than not. That conclusion was based on the pending sale of Mepco’s payment plan business. After accounting for the May 2017 sale of our payment plan business, all that remained of these deferred tax assets were loss carryforwards that we wrote off against the related valuation allowance during the second quarter of 2017 as we will no longer be doing business in those states.</w:t>
      </w:r>
    </w:p>
    <w:p>
      <w:pPr>
        <w:spacing w:after="0" w:line="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Because of our NOL and tax credit carryforwards, we are still subject to the rules of Section 382 of the Internal Revenue Code of 1986, as amended. An ownership change, as defined by these rules, would negatively affect our ability to utilize our NOL carryforwards and other deferred tax assets in the future. If such an ownership change were to occur, we may suffer higher-than-anticipated tax expense, and consequently lower net income and cash flow, in those future years.</w:t>
      </w:r>
    </w:p>
    <w:p>
      <w:pPr>
        <w:spacing w:after="0" w:line="6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At December 31, 2017, we had federal NOL carryforwards of approximately $17.9 million which, if not used against taxable income, will expire in 2032. In addition to this amount we also had $6.1 million of alternative minimum tax credit carryforwards with indefinite lives at December 31, 2017.</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unrecognized tax benefits for the years ended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5"/>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Reductions due to the statute of limitations</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Reductions due to settlements</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recognized, the entire amount of unrecognized tax benefits, net of $0.15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2017, 2016 and 2015. No amounts were accrued for interest and penalties at December 31, 2017, 2016 or 2015. At December 31, 2017, U.S. Federal tax years 2014 through the present remain open to examination.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14 – SHARE BASED COMPENSATION AND BENEFIT PLANS</w:t>
      </w:r>
    </w:p>
    <w:p>
      <w:pPr>
        <w:spacing w:after="0" w:line="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December 31, 2017. The non-employee director stock purchase plan permits the grant of additional share based payments for up to 0.2 million shares of common stock as of December 31, 2017. Share based awards and payments are measured at fair value at the date of grant and are expensed over the requisite service period. Common shares issued upon exercise of stock options come from currently authorized but unissued shares.</w:t>
      </w:r>
    </w:p>
    <w:p>
      <w:pPr>
        <w:spacing w:after="0" w:line="7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During 2017, 2016 and 2015 pursuant to our long-term incentive plan, we granted 0.05 million, 0.10 million and 0.07 million shares, respectively of restricted stock and 0.02 million, 0.05 million and 0.03 million performance stock units (“PSUs”), respectively to certain officers. The shares of restricted stock issued during 2017 and 2015 cliff vest after a period of three years and the shares of restricted stock issued during 2016 cliff vest after periods ranging from one to four years. The PSUs issued during 2017 and 2015 cliff vest after a period of three years and the PSUs issued during 2016 cliff vest after periods ranging from three to five years. The performance feature of the PSUs is based on a comparison of our total shareholder return over the vesting period starting on the grant date to the total shareholder return over that period for a banking index of our peers.</w:t>
      </w:r>
    </w:p>
    <w:p>
      <w:pPr>
        <w:spacing w:after="0" w:line="5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directors may elect to receive at least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0.01 million shares to directors during each of the years ending 2017, 2016 and 2015 and expensed their value during those same periods.</w:t>
      </w:r>
    </w:p>
    <w:p>
      <w:pPr>
        <w:spacing w:after="0" w:line="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Total compensation expense recognized for grants pursuant to our long-term incentive plan was $1.6 million, $1.5 million and $1.4 million in 2017, 2016 and 2015, respectively. The corresponding tax benefit relating to this expense was $0.6 million, $0.5 million and $0.5 million in 2017, 2016 and 2015, respectively. Total expense recognized for non-employee director share based payments was $0.2 million, $0.1 million and $0.1 million in 2017, 2016 and 2015, respectively. The corresponding tax benefit relating to this expense was $0.06 million, $0.04 million and $0.03 million in 2017, 2016 and 2015, respectively.</w:t>
      </w:r>
    </w:p>
    <w:p>
      <w:pPr>
        <w:spacing w:after="0" w:line="6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At December 31, 2017, the total expected compensation cost related to non-vested restricted stock and PSUs not yet recognized was $1.9 million. The weighted-average period over which this amount will be recognized is 2.1 years.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Aggregated</w:t>
            </w: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Intrinsic</w:t>
            </w:r>
          </w:p>
        </w:tc>
      </w:tr>
      <w:tr>
        <w:trPr>
          <w:trHeight w:val="185"/>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2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211,018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(34,963)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Outstanding at December 31, 2017</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176,055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w:t>
            </w:r>
          </w:p>
        </w:tc>
        <w:tc>
          <w:tcPr>
            <w:tcW w:w="1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December 31, 2017</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176,055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176,055</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58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jc w:val="right"/>
              <w:ind w:right="530"/>
              <w:spacing w:after="0"/>
              <w:rPr>
                <w:sz w:val="20"/>
                <w:szCs w:val="20"/>
                <w:color w:val="auto"/>
              </w:rPr>
            </w:pPr>
            <w:r>
              <w:rPr>
                <w:rFonts w:ascii="Arial" w:cs="Arial" w:eastAsia="Arial" w:hAnsi="Arial"/>
                <w:sz w:val="18"/>
                <w:szCs w:val="18"/>
                <w:color w:val="auto"/>
              </w:rPr>
              <w:t>78</w:t>
            </w: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58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outstanding non-vested stock and related transactions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6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96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696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23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296,422</w:t>
            </w:r>
          </w:p>
        </w:tc>
        <w:tc>
          <w:tcPr>
            <w:tcW w:w="1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20"/>
                <w:szCs w:val="20"/>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68,473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(63,799)</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(10,569)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r>
      <w:tr>
        <w:trPr>
          <w:trHeight w:val="27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290,527</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regarding options exercised during the periods ending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Cash proceeds received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r>
      <w:tr>
        <w:trPr>
          <w:trHeight w:val="28"/>
        </w:trPr>
        <w:tc>
          <w:tcPr>
            <w:tcW w:w="5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maintain 401(k) and employee stock ownership plans covering substantially all of our full-time employees. During 2017, 2016 and 2015, we matched 50% of employee contributions to the 401(k) plan up to a maximum of 6%, 6% and 4% of participating employees’ eligible wages, respectively. Contributions to the employee stock ownership plan are determined annually and require approval of our Board of Directors. The maximum contribution is 6% of employees’ eligible wages. Contributions to the employee stock ownership plan were 2% for 2017, 2016 and 2015. Amounts expensed for these retirement plans were $1.6 million, $1.4 million, and $1.2 million in 2017, 2016 and 2015, respectively.</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employees participate in various performance-based compensation plans. Amounts expensed for all incentive plans totaled $8.0 million, $6.2 million and $5.7 million, in 2017, 2016 and 2015, respectively.</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also provide certain health care and life insurance programs to substantially all full-time employees. Amounts expensed for these programs totaled $4.0 million, $3.5 million and $3.6 million in 2017, 2016 and 2015 respectively. These insurance programs are also available to retired employees at their own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NON-INTEREST INCOME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non-interest income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60" w:type="dxa"/>
            <w:vAlign w:val="bottom"/>
            <w:shd w:val="clear" w:color="auto" w:fill="CCEEFF"/>
          </w:tcPr>
          <w:p>
            <w:pPr>
              <w:spacing w:after="0"/>
              <w:rPr>
                <w:sz w:val="21"/>
                <w:szCs w:val="2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ATM fees</w:t>
            </w: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1,551</w:t>
            </w:r>
          </w:p>
        </w:tc>
        <w:tc>
          <w:tcPr>
            <w:tcW w:w="60" w:type="dxa"/>
            <w:vAlign w:val="bottom"/>
          </w:tcPr>
          <w:p>
            <w:pPr>
              <w:spacing w:after="0"/>
              <w:rPr>
                <w:sz w:val="20"/>
                <w:szCs w:val="20"/>
                <w:color w:val="auto"/>
              </w:rPr>
            </w:pPr>
          </w:p>
        </w:tc>
      </w:tr>
      <w:tr>
        <w:trPr>
          <w:trHeight w:val="25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60" w:type="dxa"/>
            <w:vAlign w:val="bottom"/>
            <w:shd w:val="clear" w:color="auto" w:fill="CCEEFF"/>
          </w:tcPr>
          <w:p>
            <w:pPr>
              <w:spacing w:after="0"/>
              <w:rPr>
                <w:sz w:val="22"/>
                <w:szCs w:val="22"/>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4,188</w:t>
            </w:r>
          </w:p>
        </w:tc>
        <w:tc>
          <w:tcPr>
            <w:tcW w:w="60" w:type="dxa"/>
            <w:vAlign w:val="bottom"/>
          </w:tcPr>
          <w:p>
            <w:pPr>
              <w:spacing w:after="0"/>
              <w:rPr>
                <w:sz w:val="21"/>
                <w:szCs w:val="21"/>
                <w:color w:val="auto"/>
              </w:rPr>
            </w:pPr>
          </w:p>
        </w:tc>
      </w:tr>
      <w:tr>
        <w:trPr>
          <w:trHeight w:val="271"/>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non-interest income</w:t>
            </w:r>
          </w:p>
        </w:tc>
        <w:tc>
          <w:tcPr>
            <w:tcW w:w="2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60" w:type="dxa"/>
            <w:vAlign w:val="bottom"/>
            <w:shd w:val="clear" w:color="auto" w:fill="CCEEFF"/>
          </w:tcPr>
          <w:p>
            <w:pPr>
              <w:spacing w:after="0"/>
              <w:rPr>
                <w:sz w:val="23"/>
                <w:szCs w:val="23"/>
                <w:color w:val="auto"/>
              </w:rPr>
            </w:pPr>
          </w:p>
        </w:tc>
      </w:tr>
      <w:tr>
        <w:trPr>
          <w:trHeight w:val="432"/>
        </w:trPr>
        <w:tc>
          <w:tcPr>
            <w:tcW w:w="376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jc w:val="right"/>
              <w:ind w:right="1030"/>
              <w:spacing w:after="0"/>
              <w:rPr>
                <w:sz w:val="20"/>
                <w:szCs w:val="20"/>
                <w:color w:val="auto"/>
              </w:rPr>
            </w:pPr>
            <w:r>
              <w:rPr>
                <w:rFonts w:ascii="Arial" w:cs="Arial" w:eastAsia="Arial" w:hAnsi="Arial"/>
                <w:sz w:val="18"/>
                <w:szCs w:val="18"/>
                <w:color w:val="auto"/>
              </w:rPr>
              <w:t>79</w:t>
            </w: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59"/>
        </w:trPr>
        <w:tc>
          <w:tcPr>
            <w:tcW w:w="3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760" w:type="dxa"/>
            <w:vAlign w:val="bottom"/>
            <w:shd w:val="clear" w:color="auto" w:fill="000000"/>
          </w:tcPr>
          <w:p>
            <w:pPr>
              <w:spacing w:after="0"/>
              <w:rPr>
                <w:sz w:val="5"/>
                <w:szCs w:val="5"/>
                <w:color w:val="auto"/>
              </w:rPr>
            </w:pPr>
          </w:p>
        </w:tc>
        <w:tc>
          <w:tcPr>
            <w:tcW w:w="2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16 – DERIVATIVE FINANCIAL INSTRUMENTS</w:t>
      </w:r>
    </w:p>
    <w:p>
      <w:pPr>
        <w:spacing w:after="0" w:line="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derivative financial instruments according to the type of hedge in which they are designated at December 31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jc w:val="center"/>
              <w:ind w:left="755"/>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 hedge designation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Pay-variable interest rate swap agreements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jc w:val="center"/>
              <w:ind w:left="755"/>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Rate-lock mortgage loan commitments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Pay-variable interest rate swap agreements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Purchased options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187,092</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1,276</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79"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effectively have variable-rate debt with an established maximum rate. We pay an upfront premium on interest rate caps which is recognized in earnings in the same period in which the hedged item affects earnings. Unrecognized premiums from interest rate caps aggregated to $0.9 million at December 31, 2017.</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It is anticipated that $0.10 million, net of tax, of unrealized gains on Cash Flow Hedges at December 31, 2017, will be reclassified into earnings over the next twelve months. The maximum term of any Cash Flow Hedge at December 31, 2017 is 3.9 years.</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8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currently offer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All of the written and purchased options in the table above relate to this Altitude CD product.</w:t>
      </w:r>
    </w:p>
    <w:p>
      <w:pPr>
        <w:spacing w:after="0" w:line="80"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 with no hedge designation in the table above relate to this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Consolidated Statements of Financial Condition for the periods presented: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Values of Derivative Instruments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right="412"/>
              <w:spacing w:after="0"/>
              <w:rPr>
                <w:sz w:val="20"/>
                <w:szCs w:val="20"/>
                <w:color w:val="auto"/>
              </w:rPr>
            </w:pPr>
            <w:r>
              <w:rPr>
                <w:rFonts w:ascii="Arial" w:cs="Arial" w:eastAsia="Arial" w:hAnsi="Arial"/>
                <w:sz w:val="14"/>
                <w:szCs w:val="14"/>
                <w:b w:val="1"/>
                <w:bCs w:val="1"/>
                <w:color w:val="auto"/>
                <w:w w:val="89"/>
              </w:rPr>
              <w:t>Liability Derivatives</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672"/>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ind w:left="86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85"/>
              </w:rPr>
              <w:t>Balance</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1"/>
              </w:rPr>
              <w:t>Balance</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2"/>
                <w:szCs w:val="12"/>
                <w:color w:val="auto"/>
              </w:rPr>
            </w:pPr>
          </w:p>
        </w:tc>
        <w:tc>
          <w:tcPr>
            <w:tcW w:w="4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60" w:type="dxa"/>
            <w:vAlign w:val="bottom"/>
          </w:tcPr>
          <w:p>
            <w:pPr>
              <w:spacing w:after="0"/>
              <w:rPr>
                <w:sz w:val="14"/>
                <w:szCs w:val="1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Derivatives designated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 hedging instruments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540"/>
              <w:spacing w:after="0"/>
              <w:rPr>
                <w:sz w:val="20"/>
                <w:szCs w:val="20"/>
                <w:color w:val="auto"/>
              </w:rPr>
            </w:pPr>
            <w:r>
              <w:rPr>
                <w:rFonts w:ascii="Arial" w:cs="Arial" w:eastAsia="Arial" w:hAnsi="Arial"/>
                <w:sz w:val="15"/>
                <w:szCs w:val="15"/>
                <w:color w:val="auto"/>
              </w:rPr>
              <w:t>swap agreements</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245</w:t>
            </w:r>
          </w:p>
        </w:tc>
        <w:tc>
          <w:tcPr>
            <w:tcW w:w="1200" w:type="dxa"/>
            <w:vAlign w:val="bottom"/>
            <w:gridSpan w:val="3"/>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Interest rate cap</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Borders>
              <w:bottom w:val="single" w:sz="8" w:color="CCEEFF"/>
            </w:tcBorders>
            <w:shd w:val="clear" w:color="auto" w:fill="CCEEFF"/>
          </w:tcPr>
          <w:p>
            <w:pPr>
              <w:ind w:left="540"/>
              <w:spacing w:after="0" w:line="162" w:lineRule="exact"/>
              <w:rPr>
                <w:sz w:val="20"/>
                <w:szCs w:val="20"/>
                <w:color w:val="auto"/>
              </w:rPr>
            </w:pPr>
            <w:r>
              <w:rPr>
                <w:rFonts w:ascii="Arial" w:cs="Arial" w:eastAsia="Arial" w:hAnsi="Arial"/>
                <w:sz w:val="15"/>
                <w:szCs w:val="15"/>
                <w:color w:val="auto"/>
              </w:rPr>
              <w:t>agreements</w:t>
            </w:r>
          </w:p>
        </w:tc>
        <w:tc>
          <w:tcPr>
            <w:tcW w:w="1220" w:type="dxa"/>
            <w:vAlign w:val="bottom"/>
            <w:tcBorders>
              <w:bottom w:val="single" w:sz="8" w:color="CCEEFF"/>
            </w:tcBorders>
            <w:gridSpan w:val="3"/>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CCEEFF"/>
            </w:tcBorders>
            <w:gridSpan w:val="3"/>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w w:val="98"/>
              </w:rPr>
              <w:t>Other assets</w:t>
            </w: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0"/>
              </w:rPr>
              <w:t>1,221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Derivatives not designated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 hedging instruments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360"/>
              <w:spacing w:after="0" w:line="162" w:lineRule="exact"/>
              <w:rPr>
                <w:sz w:val="20"/>
                <w:szCs w:val="20"/>
                <w:color w:val="auto"/>
              </w:rPr>
            </w:pPr>
            <w:r>
              <w:rPr>
                <w:rFonts w:ascii="Arial" w:cs="Arial" w:eastAsia="Arial" w:hAnsi="Arial"/>
                <w:sz w:val="15"/>
                <w:szCs w:val="15"/>
                <w:color w:val="auto"/>
              </w:rPr>
              <w:t>Rate-lock mortgage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540"/>
              <w:spacing w:after="0"/>
              <w:rPr>
                <w:sz w:val="20"/>
                <w:szCs w:val="20"/>
                <w:color w:val="auto"/>
              </w:rPr>
            </w:pPr>
            <w:r>
              <w:rPr>
                <w:rFonts w:ascii="Arial" w:cs="Arial" w:eastAsia="Arial" w:hAnsi="Arial"/>
                <w:sz w:val="15"/>
                <w:szCs w:val="15"/>
                <w:color w:val="auto"/>
              </w:rPr>
              <w:t>loan commitments</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530</w:t>
            </w:r>
          </w:p>
        </w:tc>
        <w:tc>
          <w:tcPr>
            <w:tcW w:w="1200" w:type="dxa"/>
            <w:vAlign w:val="bottom"/>
            <w:gridSpan w:val="3"/>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646</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Mandatory commitments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 sell mortgage loans</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38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540"/>
              <w:spacing w:after="0"/>
              <w:rPr>
                <w:sz w:val="20"/>
                <w:szCs w:val="20"/>
                <w:color w:val="auto"/>
              </w:rPr>
            </w:pPr>
            <w:r>
              <w:rPr>
                <w:rFonts w:ascii="Arial" w:cs="Arial" w:eastAsia="Arial" w:hAnsi="Arial"/>
                <w:sz w:val="15"/>
                <w:szCs w:val="15"/>
                <w:color w:val="auto"/>
              </w:rPr>
              <w:t>swap agreements</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631</w:t>
            </w:r>
          </w:p>
        </w:tc>
        <w:tc>
          <w:tcPr>
            <w:tcW w:w="1200" w:type="dxa"/>
            <w:vAlign w:val="bottom"/>
            <w:gridSpan w:val="3"/>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493</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339</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w w:val="95"/>
              </w:rPr>
              <w:t>244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w w:val="97"/>
              </w:rPr>
              <w:t>Pay-variable interest rate swap</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agreements</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w:t>
            </w:r>
          </w:p>
        </w:tc>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493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360"/>
              <w:spacing w:after="0"/>
              <w:rPr>
                <w:sz w:val="20"/>
                <w:szCs w:val="20"/>
                <w:color w:val="auto"/>
              </w:rPr>
            </w:pPr>
            <w:r>
              <w:rPr>
                <w:rFonts w:ascii="Arial" w:cs="Arial" w:eastAsia="Arial" w:hAnsi="Arial"/>
                <w:sz w:val="15"/>
                <w:szCs w:val="15"/>
                <w:color w:val="auto"/>
              </w:rPr>
              <w:t>Purchased options</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322</w:t>
            </w:r>
          </w:p>
        </w:tc>
        <w:tc>
          <w:tcPr>
            <w:tcW w:w="1200" w:type="dxa"/>
            <w:vAlign w:val="bottom"/>
            <w:gridSpan w:val="3"/>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238</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Written options</w:t>
            </w: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8"/>
              </w:rPr>
              <w:t>Other assets</w:t>
            </w: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1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238</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1,859</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2,251</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1,292</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975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Total derivatives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3,080</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2,251</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1,292</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975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derivative financial instruments on the Consolidated Statements of Operations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8"/>
          </w:tcPr>
          <w:p>
            <w:pPr>
              <w:jc w:val="center"/>
              <w:ind w:left="12"/>
              <w:spacing w:after="0"/>
              <w:rPr>
                <w:sz w:val="20"/>
                <w:szCs w:val="20"/>
                <w:color w:val="auto"/>
              </w:rPr>
            </w:pPr>
            <w:r>
              <w:rPr>
                <w:rFonts w:ascii="Arial" w:cs="Arial" w:eastAsia="Arial" w:hAnsi="Arial"/>
                <w:sz w:val="13"/>
                <w:szCs w:val="13"/>
                <w:b w:val="1"/>
                <w:bCs w:val="1"/>
                <w:color w:val="auto"/>
                <w:w w:val="87"/>
              </w:rPr>
              <w:t>Year Ended December 31,</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of 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Reclassified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from</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6"/>
            <w:vMerge w:val="restart"/>
          </w:tcPr>
          <w:p>
            <w:pPr>
              <w:jc w:val="center"/>
              <w:ind w:left="155"/>
              <w:spacing w:after="0"/>
              <w:rPr>
                <w:sz w:val="20"/>
                <w:szCs w:val="20"/>
                <w:color w:val="auto"/>
              </w:rPr>
            </w:pPr>
            <w:r>
              <w:rPr>
                <w:rFonts w:ascii="Arial" w:cs="Arial" w:eastAsia="Arial" w:hAnsi="Arial"/>
                <w:sz w:val="13"/>
                <w:szCs w:val="13"/>
                <w:b w:val="1"/>
                <w:bCs w:val="1"/>
                <w:color w:val="auto"/>
                <w:w w:val="85"/>
              </w:rPr>
              <w:t>Gain Recognized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4"/>
              </w:rPr>
              <w:t>Loss Reclassified from</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2"/>
              </w:rPr>
              <w:t>in Other</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6"/>
          </w:tcPr>
          <w:p>
            <w:pPr>
              <w:jc w:val="center"/>
              <w:ind w:left="155"/>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Location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Gain (Loss)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Income (Loss)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6"/>
              </w:rPr>
              <w:t>Loss into Income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Gain (Loss)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4"/>
              </w:rPr>
              <w:t>Recognized</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tcBorders>
              <w:bottom w:val="single" w:sz="8" w:color="auto"/>
            </w:tcBorders>
            <w:gridSpan w:val="6"/>
          </w:tcPr>
          <w:p>
            <w:pPr>
              <w:jc w:val="center"/>
              <w:ind w:left="155"/>
              <w:spacing w:after="0" w:line="102" w:lineRule="exact"/>
              <w:rPr>
                <w:sz w:val="20"/>
                <w:szCs w:val="20"/>
                <w:color w:val="auto"/>
              </w:rPr>
            </w:pPr>
            <w:r>
              <w:rPr>
                <w:rFonts w:ascii="Arial" w:cs="Arial" w:eastAsia="Arial" w:hAnsi="Arial"/>
                <w:sz w:val="11"/>
                <w:szCs w:val="11"/>
                <w:b w:val="1"/>
                <w:bCs w:val="1"/>
                <w:color w:val="auto"/>
              </w:rPr>
              <w:t>(Effective Portion)</w:t>
            </w:r>
          </w:p>
        </w:tc>
        <w:tc>
          <w:tcPr>
            <w:tcW w:w="2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8"/>
              </w:rPr>
              <w:t>(Effective</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tcPr>
          <w:p>
            <w:pPr>
              <w:jc w:val="center"/>
              <w:spacing w:after="0" w:line="102" w:lineRule="exact"/>
              <w:rPr>
                <w:sz w:val="20"/>
                <w:szCs w:val="20"/>
                <w:color w:val="auto"/>
              </w:rPr>
            </w:pPr>
            <w:r>
              <w:rPr>
                <w:rFonts w:ascii="Arial" w:cs="Arial" w:eastAsia="Arial" w:hAnsi="Arial"/>
                <w:sz w:val="11"/>
                <w:szCs w:val="11"/>
                <w:b w:val="1"/>
                <w:bCs w:val="1"/>
                <w:color w:val="auto"/>
              </w:rPr>
              <w:t>(Effective Portion)</w:t>
            </w:r>
          </w:p>
        </w:tc>
        <w:tc>
          <w:tcPr>
            <w:tcW w:w="1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2"/>
              </w:rPr>
              <w:t>Recognized</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4"/>
          </w:tcPr>
          <w:p>
            <w:pPr>
              <w:jc w:val="center"/>
              <w:ind w:right="20"/>
              <w:spacing w:after="0" w:line="102" w:lineRule="exact"/>
              <w:rPr>
                <w:sz w:val="20"/>
                <w:szCs w:val="20"/>
                <w:color w:val="auto"/>
              </w:rPr>
            </w:pPr>
            <w:r>
              <w:rPr>
                <w:rFonts w:ascii="Arial" w:cs="Arial" w:eastAsia="Arial" w:hAnsi="Arial"/>
                <w:sz w:val="11"/>
                <w:szCs w:val="11"/>
                <w:b w:val="1"/>
                <w:bCs w:val="1"/>
                <w:color w:val="auto"/>
              </w:rPr>
              <w:t>in Income (1)</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3"/>
                <w:szCs w:val="13"/>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2016</w:t>
            </w:r>
          </w:p>
        </w:tc>
        <w:tc>
          <w:tcPr>
            <w:tcW w:w="200" w:type="dxa"/>
            <w:vAlign w:val="bottom"/>
          </w:tcPr>
          <w:p>
            <w:pPr>
              <w:spacing w:after="0"/>
              <w:rPr>
                <w:sz w:val="13"/>
                <w:szCs w:val="13"/>
                <w:color w:val="auto"/>
              </w:rPr>
            </w:pPr>
          </w:p>
        </w:tc>
        <w:tc>
          <w:tcPr>
            <w:tcW w:w="3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Portion)</w:t>
            </w:r>
          </w:p>
        </w:tc>
        <w:tc>
          <w:tcPr>
            <w:tcW w:w="180" w:type="dxa"/>
            <w:vAlign w:val="bottom"/>
          </w:tcPr>
          <w:p>
            <w:pPr>
              <w:spacing w:after="0"/>
              <w:rPr>
                <w:sz w:val="13"/>
                <w:szCs w:val="13"/>
                <w:color w:val="auto"/>
              </w:rPr>
            </w:pPr>
          </w:p>
        </w:tc>
        <w:tc>
          <w:tcPr>
            <w:tcW w:w="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2016</w:t>
            </w:r>
          </w:p>
        </w:tc>
        <w:tc>
          <w:tcPr>
            <w:tcW w:w="180" w:type="dxa"/>
            <w:vAlign w:val="bottom"/>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2015</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Income (1)</w:t>
            </w:r>
          </w:p>
        </w:tc>
        <w:tc>
          <w:tcPr>
            <w:tcW w:w="18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 Hedges</w:t>
            </w:r>
          </w:p>
        </w:tc>
        <w:tc>
          <w:tcPr>
            <w:tcW w:w="4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Interest rate cap agreements</w:t>
            </w:r>
          </w:p>
        </w:tc>
        <w:tc>
          <w:tcPr>
            <w:tcW w:w="400" w:type="dxa"/>
            <w:vAlign w:val="bottom"/>
          </w:tcPr>
          <w:p>
            <w:pPr>
              <w:jc w:val="right"/>
              <w:spacing w:after="0"/>
              <w:rPr>
                <w:sz w:val="20"/>
                <w:szCs w:val="20"/>
                <w:color w:val="auto"/>
              </w:rPr>
            </w:pPr>
            <w:r>
              <w:rPr>
                <w:rFonts w:ascii="Arial" w:cs="Arial" w:eastAsia="Arial" w:hAnsi="Arial"/>
                <w:sz w:val="14"/>
                <w:szCs w:val="14"/>
                <w:color w:val="auto"/>
              </w:rPr>
              <w:t>$ 108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Pay-fixed interest rate swap</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CEEFF"/>
            </w:tcBorders>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5"/>
              </w:rPr>
              <w:t>—</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100" w:type="dxa"/>
            <w:vAlign w:val="bottom"/>
            <w:gridSpan w:val="2"/>
            <w:shd w:val="clear" w:color="auto" w:fill="CCEEFF"/>
          </w:tcPr>
          <w:p>
            <w:pPr>
              <w:ind w:left="360"/>
              <w:spacing w:after="0" w:line="154" w:lineRule="exact"/>
              <w:rPr>
                <w:sz w:val="20"/>
                <w:szCs w:val="20"/>
                <w:color w:val="auto"/>
              </w:rPr>
            </w:pPr>
            <w:r>
              <w:rPr>
                <w:rFonts w:ascii="Arial" w:cs="Arial" w:eastAsia="Arial" w:hAnsi="Arial"/>
                <w:sz w:val="14"/>
                <w:szCs w:val="14"/>
                <w:color w:val="auto"/>
              </w:rPr>
              <w:t>agreements</w:t>
            </w:r>
          </w:p>
        </w:tc>
        <w:tc>
          <w:tcPr>
            <w:tcW w:w="40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200" w:type="dxa"/>
            <w:vAlign w:val="bottom"/>
            <w:tcBorders>
              <w:right w:val="single" w:sz="8" w:color="CCEEFF"/>
            </w:tcBorders>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340" w:type="dxa"/>
            <w:vAlign w:val="bottom"/>
            <w:gridSpan w:val="2"/>
            <w:shd w:val="clear" w:color="auto" w:fill="CCEEFF"/>
          </w:tcPr>
          <w:p>
            <w:pPr>
              <w:ind w:left="100"/>
              <w:spacing w:after="0" w:line="154" w:lineRule="exact"/>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right w:val="single" w:sz="8" w:color="CCEEFF"/>
            </w:tcBorders>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80" w:type="dxa"/>
            <w:vAlign w:val="bottom"/>
            <w:gridSpan w:val="2"/>
            <w:shd w:val="clear" w:color="auto" w:fill="CCEEFF"/>
          </w:tcPr>
          <w:p>
            <w:pPr>
              <w:ind w:left="120"/>
              <w:spacing w:after="0" w:line="154" w:lineRule="exact"/>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400" w:type="dxa"/>
            <w:vAlign w:val="bottom"/>
          </w:tcPr>
          <w:p>
            <w:pPr>
              <w:jc w:val="right"/>
              <w:spacing w:after="0"/>
              <w:rPr>
                <w:sz w:val="20"/>
                <w:szCs w:val="20"/>
                <w:color w:val="auto"/>
              </w:rPr>
            </w:pPr>
            <w:r>
              <w:rPr>
                <w:rFonts w:ascii="Arial" w:cs="Arial" w:eastAsia="Arial" w:hAnsi="Arial"/>
                <w:sz w:val="14"/>
                <w:szCs w:val="14"/>
                <w:color w:val="auto"/>
              </w:rPr>
              <w:t>$ 324</w:t>
            </w:r>
          </w:p>
        </w:tc>
        <w:tc>
          <w:tcPr>
            <w:tcW w:w="1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1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 hedge designation</w:t>
            </w:r>
          </w:p>
        </w:tc>
        <w:tc>
          <w:tcPr>
            <w:tcW w:w="4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Net gains 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mortgage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00" w:type="dxa"/>
            <w:vAlign w:val="bottom"/>
            <w:gridSpan w:val="3"/>
          </w:tcPr>
          <w:p>
            <w:pPr>
              <w:ind w:left="180"/>
              <w:spacing w:after="0"/>
              <w:rPr>
                <w:sz w:val="20"/>
                <w:szCs w:val="20"/>
                <w:color w:val="auto"/>
              </w:rPr>
            </w:pPr>
            <w:r>
              <w:rPr>
                <w:rFonts w:ascii="Arial" w:cs="Arial" w:eastAsia="Arial" w:hAnsi="Arial"/>
                <w:sz w:val="14"/>
                <w:szCs w:val="14"/>
                <w:color w:val="auto"/>
                <w:w w:val="95"/>
              </w:rPr>
              <w:t>Rate-lock mortgage loan commitments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loans</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(116)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96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gains on</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4"/>
                <w:szCs w:val="14"/>
                <w:color w:val="auto"/>
              </w:rPr>
              <w:t>Mandatory commitments to sell mortgage loans</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loans</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(593)</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00" w:type="dxa"/>
            <w:vAlign w:val="bottom"/>
            <w:gridSpan w:val="3"/>
          </w:tcPr>
          <w:p>
            <w:pPr>
              <w:ind w:left="180"/>
              <w:spacing w:after="0"/>
              <w:rPr>
                <w:sz w:val="20"/>
                <w:szCs w:val="20"/>
                <w:color w:val="auto"/>
              </w:rPr>
            </w:pPr>
            <w:r>
              <w:rPr>
                <w:rFonts w:ascii="Arial" w:cs="Arial" w:eastAsia="Arial" w:hAnsi="Arial"/>
                <w:sz w:val="14"/>
                <w:szCs w:val="14"/>
                <w:color w:val="auto"/>
                <w:w w:val="91"/>
              </w:rPr>
              <w:t>Pay-fixed interest rate swap agreements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746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w w:val="97"/>
              </w:rPr>
              <w:t>Pay-variable interest rate swap agreements</w:t>
            </w: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(746)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Purchased options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7"/>
              </w:rPr>
              <w:t>(116)</w:t>
            </w:r>
          </w:p>
        </w:tc>
        <w:tc>
          <w:tcPr>
            <w:tcW w:w="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4"/>
        </w:trPr>
        <w:tc>
          <w:tcPr>
            <w:tcW w:w="2100" w:type="dxa"/>
            <w:vAlign w:val="bottom"/>
            <w:gridSpan w:val="2"/>
            <w:shd w:val="clear" w:color="auto" w:fill="CCEEFF"/>
          </w:tcPr>
          <w:p>
            <w:pPr>
              <w:ind w:left="180"/>
              <w:spacing w:after="0" w:line="154" w:lineRule="exact"/>
              <w:rPr>
                <w:sz w:val="20"/>
                <w:szCs w:val="20"/>
                <w:color w:val="auto"/>
              </w:rPr>
            </w:pPr>
            <w:r>
              <w:rPr>
                <w:rFonts w:ascii="Arial" w:cs="Arial" w:eastAsia="Arial" w:hAnsi="Arial"/>
                <w:sz w:val="14"/>
                <w:szCs w:val="14"/>
                <w:color w:val="auto"/>
              </w:rPr>
              <w:t>Written options</w:t>
            </w:r>
          </w:p>
        </w:tc>
        <w:tc>
          <w:tcPr>
            <w:tcW w:w="4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120"/>
              <w:spacing w:after="0" w:line="154" w:lineRule="exact"/>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(709)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657</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4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For cash flow hedges, this location and amount refers to the ineffective portion.</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14" w:name="page115"/>
    <w:bookmarkEnd w:id="11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17 – RELATED PARTY TRANSACTIONS</w:t>
      </w:r>
    </w:p>
    <w:p>
      <w:pPr>
        <w:spacing w:after="0" w:line="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Certain of our directors and executive officers, including companies in which they are officers or have significant ownership, were loan and deposit customers during 2017 and 2016.</w:t>
      </w:r>
    </w:p>
    <w:p>
      <w:pPr>
        <w:spacing w:after="0" w:line="62"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A summary of loans to our directors and executive officers whose borrowing relationship (which includes loans to entities in which the individual owns a 10% or more voting interest) exceeds $60,000 for the years ended December 31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183"/>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r>
      <w:tr>
        <w:trPr>
          <w:trHeight w:val="237"/>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New loans and advances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r>
      <w:tr>
        <w:trPr>
          <w:trHeight w:val="223"/>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tcPr>
          <w:p>
            <w:pPr>
              <w:spacing w:after="0"/>
              <w:rPr>
                <w:sz w:val="19"/>
                <w:szCs w:val="19"/>
                <w:color w:val="auto"/>
              </w:rPr>
            </w:pPr>
          </w:p>
        </w:tc>
      </w:tr>
      <w:tr>
        <w:trPr>
          <w:trHeight w:val="21"/>
        </w:trPr>
        <w:tc>
          <w:tcPr>
            <w:tcW w:w="7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Deposits held by us for directors and executive officers totaled $1.4 million and $1.0 million at December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LEASES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have non-cancelable operating leases for certain office facilities, some of which include renewal options and escalation clauses.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summary of future minimum lease payments under non-cancelable operating leases at December 31, 2017,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0"/>
                <w:szCs w:val="20"/>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2023 and thereafter</w:t>
            </w: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Rental expense on operating leases totaled $1.4 million, $1.2 million and $1.2 million in 2017, 2016 and 2015,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Credit risk is the risk to earnings and capital arising from an obligor’s failure to meet the terms of any contract with our organization or otherwise fail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2017, include $809.2 million of loans secured by residential real estate and $143.2 million of construction and development loans.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Additionally, within our commercial real estate and commercial loan portfolio, we had significant standard industry classification concentrations in the following categories as of December 31, 2017: Lessors of Nonresidential Real Estate ($263.5 million); Lessors of Residential Real Estate ($99.6 million); Construction ($71.4 million) and Manufacturing ($62.9 million). A geographic concentration arises because we primarily conduct our lending activities in the State of Michigan.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REGULATORY MATTERS</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2017, the Bank had positive undivided profits of $17.4 million. It is not our intent to have dividends paid in amounts that would reduce the capital of our Bank to levels below those which we consider prudent and in accordance with guidelines of regulatory authorities.</w:t>
      </w:r>
    </w:p>
    <w:p>
      <w:pPr>
        <w:spacing w:after="0" w:line="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December 31, 2017 and 2016, categorized our Bank as well capitalized. Management is not aware of any conditions or events that would have changed the most recent Federal Deposit Insurance Corporation (“FDIC”) categorization.</w:t>
      </w:r>
    </w:p>
    <w:p>
      <w:pPr>
        <w:spacing w:after="0" w:line="7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1.25% and 0.625% added to the minimum ratio for adequately capitalized institutions for 2017 and 2016,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actual capital amounts and ratios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9"/>
              </w:rPr>
              <w:t>Minimum for</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9"/>
              </w:rPr>
              <w:t>Minimum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Adequately Capitalized</w:t>
            </w:r>
          </w:p>
        </w:tc>
        <w:tc>
          <w:tcPr>
            <w:tcW w:w="17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Well-Capitalized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Institutions</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Institutions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312,163</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290,188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164,675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$205,843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266,476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123,506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$164,675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Common equity tier 1 capital to</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255,934</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266,476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$133,798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266,476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109,041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$136,301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2016</w:t>
            </w: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286,289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144,413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8.00%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270,855</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144,223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$180,279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265,405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108,309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6.00%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108,167</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$144,223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equity tier 1 capital to</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238,996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81,232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4.50%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$117,181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1 capital to average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265,405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101,112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4.00%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$126,274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our regulatory capital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Independent Bank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7"/>
          </w:tcPr>
          <w:p>
            <w:pPr>
              <w:ind w:left="3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7"/>
          </w:tcPr>
          <w:p>
            <w:pPr>
              <w:ind w:left="3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248,980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Add (deduct)</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for regulatory purposes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Disallowed deferred tax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(10,994)</w:t>
            </w: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Common equity tier 1 capital</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255,934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238,996</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266,476</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Qualifying trust preferred securities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Disallowed deferred tax 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(8,091)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Tier 1 capital</w:t>
            </w: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288,451</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265,405</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Allowance for loan losses and allowance for unfunded lending</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23,712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20,884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23,712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commitments limited to 1.25% of total risk-weighted 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5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risk-based capital</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312,163</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286,289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290,188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270,855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DISCLOSURES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117" w:lineRule="exact"/>
        <w:rPr>
          <w:sz w:val="20"/>
          <w:szCs w:val="20"/>
          <w:color w:val="auto"/>
        </w:rPr>
      </w:pPr>
    </w:p>
    <w:p>
      <w:pPr>
        <w:jc w:val="both"/>
        <w:ind w:left="720" w:right="2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73" w:lineRule="exact"/>
        <w:rPr>
          <w:sz w:val="20"/>
          <w:szCs w:val="20"/>
          <w:color w:val="auto"/>
        </w:rPr>
      </w:pPr>
    </w:p>
    <w:p>
      <w:pPr>
        <w:jc w:val="both"/>
        <w:ind w:left="720" w:right="20"/>
        <w:spacing w:after="0" w:line="259"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79"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Where quoted market prices are available in an active market, securities (trading or available for sale) are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 The fair value of mortgage loans held for sale is based on agency cash window loan pricing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(recurring Level 2).</w:t>
      </w:r>
    </w:p>
    <w:p>
      <w:pPr>
        <w:spacing w:after="0" w:line="6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i w:val="1"/>
          <w:iCs w:val="1"/>
          <w:color w:val="auto"/>
        </w:rPr>
        <w:t>Impaired loans with specific loss allocations based on collateral value</w:t>
      </w:r>
      <w:r>
        <w:rPr>
          <w:rFonts w:ascii="Arial" w:cs="Arial" w:eastAsia="Arial" w:hAnsi="Arial"/>
          <w:sz w:val="17"/>
          <w:szCs w:val="17"/>
          <w:color w:val="auto"/>
        </w:rPr>
        <w:t>: From time to time, certain loans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and an AFLL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December 31, 2017 and 2016, all of our total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i w:val="1"/>
          <w:iCs w:val="1"/>
          <w:color w:val="auto"/>
        </w:rPr>
        <w:t>Other real estate</w:t>
      </w:r>
      <w:r>
        <w:rPr>
          <w:rFonts w:ascii="Arial" w:cs="Arial" w:eastAsia="Arial" w:hAnsi="Arial"/>
          <w:sz w:val="16"/>
          <w:szCs w:val="16"/>
          <w:color w:val="auto"/>
        </w:rPr>
        <w:t>: At the time of acquisition, other real estate is recorded at fair value, less estimated costs to sell,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the property’s new basis. Subsequent write-downs to reflect declines in value since the time of acquisition may occur from time to time and are recorded in net (gains) losses on other real estate and repossessed assets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5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Capitalized mortgage loan servicing rights</w:t>
      </w:r>
      <w:r>
        <w:rPr>
          <w:rFonts w:ascii="Arial" w:cs="Arial" w:eastAsia="Arial" w:hAnsi="Arial"/>
          <w:sz w:val="17"/>
          <w:szCs w:val="17"/>
          <w:color w:val="auto"/>
        </w:rPr>
        <w:t>: The fair value of capitalized mortgage loan servicing rights is based on a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nonrecurring Level 3. Management evaluates the third party valuation for reasonableness each quarter as part of our financial reporting control processes. Prior to January 1, 2017, capitalized mortgage loan servicing rights were accounted for using the amortization method of accounting and were measured at fair value on a non-recurring basis. During the first quarter of 2017, we adopted the fair value method of accounting for our capitalized mortgage loan servicing rights (see note #1) and are now measured at fair value on a recurring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9" w:name="page120"/>
    <w:bookmarkEnd w:id="119"/>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The fair value of rate-lock mortgage loan commitments is based on agency cash window loan pricing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81"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r>
      <w:tr>
        <w:trPr>
          <w:trHeight w:val="160"/>
        </w:trPr>
        <w:tc>
          <w:tcPr>
            <w:tcW w:w="14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w:t>
            </w: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observable</w:t>
            </w: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14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ments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December 31, 2017:</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20"/>
        </w:trPr>
        <w:tc>
          <w:tcPr>
            <w:tcW w:w="5440" w:type="dxa"/>
            <w:vAlign w:val="bottom"/>
            <w:gridSpan w:val="2"/>
          </w:tcPr>
          <w:p>
            <w:pPr>
              <w:spacing w:after="0"/>
              <w:rPr>
                <w:sz w:val="20"/>
                <w:szCs w:val="20"/>
                <w:color w:val="auto"/>
              </w:rPr>
            </w:pPr>
            <w:r>
              <w:rPr>
                <w:rFonts w:ascii="Arial" w:cs="Arial" w:eastAsia="Arial" w:hAnsi="Arial"/>
                <w:sz w:val="16"/>
                <w:szCs w:val="16"/>
                <w:color w:val="auto"/>
              </w:rPr>
              <w:t>Measured at Fair Value on a 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U.S. treasury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agency</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U.S. agency residential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137,918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agency commercial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Private label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asset 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93,898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93,898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Obligations of states and political subdivisions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172,945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172,945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Trust preferred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Foreign government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Loans held for sale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39,436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Capitalized mortgage loan servicing rights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15,699</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Derivatives (1)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Derivatives (2)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144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spacing w:after="0"/>
              <w:rPr>
                <w:sz w:val="20"/>
                <w:szCs w:val="20"/>
                <w:color w:val="auto"/>
              </w:rPr>
            </w:pPr>
            <w:r>
              <w:rPr>
                <w:rFonts w:ascii="Arial" w:cs="Arial" w:eastAsia="Arial" w:hAnsi="Arial"/>
                <w:sz w:val="16"/>
                <w:szCs w:val="16"/>
                <w:color w:val="auto"/>
              </w:rPr>
              <w:t>Measured at Fair Value on a Non-recurring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Impaired loans (3)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Income producing - real estate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Land, land development &amp; construction-real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Commercial and industrial</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Mortgage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1-4 family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Resort lending</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Other real estate (4)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Mortgage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1-4 family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Resort lending</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0"/>
                <w:szCs w:val="20"/>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312420</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20" w:name="page121"/>
    <w:bookmarkEnd w:id="120"/>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ments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December 31, 2016:</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Measured at Fair Value on a 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7"/>
                <w:szCs w:val="17"/>
                <w:color w:val="auto"/>
              </w:rPr>
              <w:t>Trading securities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410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410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Securities available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U.S. agency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28,988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U.S. agency residential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156,289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156,289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U.S. agency commercial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12,632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12,632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Private label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Other asset 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146,709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146,709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Obligations of states and political subdivisions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170,899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170,899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Corporate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56,180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Trust preferred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Foreign government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Loans held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35,946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35,946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7"/>
                <w:szCs w:val="17"/>
                <w:color w:val="auto"/>
              </w:rPr>
              <w:t>Derivatives (1)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7"/>
                <w:szCs w:val="17"/>
                <w:color w:val="auto"/>
              </w:rPr>
              <w:t>Derivatives (2)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Measured at Fair Value on a Non-recurring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7"/>
                <w:szCs w:val="17"/>
                <w:color w:val="auto"/>
              </w:rPr>
              <w:t>Capitalized mortgage loan servicing rights (3)</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Impaired loans (4)</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Commercial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Income producing - 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Land, land development &amp; construction-real estate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Commercial and industrial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Mortgage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1-4 family</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7"/>
                <w:szCs w:val="17"/>
                <w:color w:val="auto"/>
              </w:rPr>
              <w:t>Other real estate (5)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Commercial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Income producing - real estate (6)</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Land, land development &amp; construction-real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520"/>
              <w:spacing w:after="0"/>
              <w:rPr>
                <w:sz w:val="20"/>
                <w:szCs w:val="20"/>
                <w:color w:val="auto"/>
              </w:rPr>
            </w:pPr>
            <w:r>
              <w:rPr>
                <w:rFonts w:ascii="Arial" w:cs="Arial" w:eastAsia="Arial" w:hAnsi="Arial"/>
                <w:sz w:val="17"/>
                <w:szCs w:val="17"/>
                <w:color w:val="auto"/>
              </w:rPr>
              <w:t>Mortgage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1-4 family</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Resort lending</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909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9" w:lineRule="exact"/>
        <w:rPr>
          <w:sz w:val="20"/>
          <w:szCs w:val="20"/>
          <w:color w:val="auto"/>
        </w:rPr>
      </w:pPr>
    </w:p>
    <w:p>
      <w:pPr>
        <w:ind w:left="347" w:hanging="347"/>
        <w:spacing w:after="0"/>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valuation is based on a signed purchase agreement.</w:t>
      </w:r>
    </w:p>
    <w:p>
      <w:pPr>
        <w:spacing w:after="0" w:line="117"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There were no transfers between Level 1 and Level 2 during the years ended December 31, 2017 and 2016.</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Changes in fair values of financial assets for which we have elected the fair value option for the years ended December 31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6"/>
              </w:rPr>
              <w:t>Net Gains (Losses)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Values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on Assets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in Current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right"/>
              <w:ind w:right="260"/>
              <w:spacing w:after="0" w:line="160"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3"/>
                <w:szCs w:val="13"/>
                <w:color w:val="auto"/>
              </w:rPr>
            </w:pPr>
          </w:p>
        </w:tc>
        <w:tc>
          <w:tcPr>
            <w:tcW w:w="112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5"/>
              </w:rPr>
              <w:t>Loan</w:t>
            </w: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Servicing, net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5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securities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5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securities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following represent impairment charges recognized during the years ended December 31, 2017, 2016 and 2015 relating to assets measured at fair value on a non-recurring basis:</w:t>
      </w:r>
    </w:p>
    <w:p>
      <w:pPr>
        <w:spacing w:after="0" w:line="62" w:lineRule="exact"/>
        <w:rPr>
          <w:sz w:val="20"/>
          <w:szCs w:val="20"/>
          <w:color w:val="auto"/>
        </w:rPr>
      </w:pPr>
    </w:p>
    <w:p>
      <w:pPr>
        <w:jc w:val="both"/>
        <w:ind w:left="700" w:right="20" w:hanging="356"/>
        <w:spacing w:after="0" w:line="312"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Capitalized mortgage loan servicing rights, whose individual strata are measured at fair value, had a carrying amount of $8.2 million, which is net of a valuation allowance of $2.3 million, at December 31, 2016. A recovery of $1.0 million and $0.5 million was included in our results of operations for the years ending December 31, 2016 and 2015, respectively.</w:t>
      </w:r>
    </w:p>
    <w:p>
      <w:pPr>
        <w:spacing w:after="0" w:line="38" w:lineRule="exact"/>
        <w:rPr>
          <w:rFonts w:ascii="Arial" w:cs="Arial" w:eastAsia="Arial" w:hAnsi="Arial"/>
          <w:sz w:val="16"/>
          <w:szCs w:val="16"/>
          <w:color w:val="auto"/>
        </w:rPr>
      </w:pPr>
    </w:p>
    <w:p>
      <w:pPr>
        <w:jc w:val="both"/>
        <w:ind w:left="700" w:hanging="356"/>
        <w:spacing w:after="0" w:line="25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$2.6 million, with a valuation allowance of $0.7 million at December 31, 2017, and had a carrying amount of $4.0 million, with a valuation allowance of $2.0 million at December 31, 2016. An additional provision for loan losses relating to impaired loans of $0.5 million, $0.2 million and $1.1 million was included in our results of operations for the years ending December 31, 2017, 2016 and 2015, respectively.</w:t>
      </w:r>
    </w:p>
    <w:p>
      <w:pPr>
        <w:spacing w:after="0" w:line="80"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$0.3 million which is net of a valuation allowance of $0.1 million at December 31, 2017, and a carrying amount of $3.2 million, which is net of a valuation allowance of $0.8 million, at December 31, 2016. An additional charge relating to other real estate measured at fair value of $0.1 million, $0.6 million and $0.3 million was included in our results of operations during the years ended December 31, 2017, 2016 and 2015,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for the years ended December 31 follows:</w:t>
      </w:r>
    </w:p>
    <w:p>
      <w:pPr>
        <w:spacing w:after="0" w:line="27"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Capitalized Mortgage</w:t>
      </w:r>
    </w:p>
    <w:p>
      <w:pPr>
        <w:spacing w:after="0" w:line="17"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Loan Servicing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5080</wp:posOffset>
            </wp:positionV>
            <wp:extent cx="15862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14,213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Total losses realized and unrealized:</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losses for the period included in earnings attributable to the change in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(2,744)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relating to assets and liabilities still held at December 31</w:t>
            </w:r>
          </w:p>
        </w:tc>
        <w:tc>
          <w:tcPr>
            <w:tcW w:w="240" w:type="dxa"/>
            <w:vAlign w:val="bottom"/>
            <w:vMerge w:val="continue"/>
            <w:shd w:val="clear" w:color="auto" w:fill="CCEEFF"/>
          </w:tcPr>
          <w:p>
            <w:pPr>
              <w:spacing w:after="0"/>
              <w:rPr>
                <w:sz w:val="20"/>
                <w:szCs w:val="20"/>
                <w:color w:val="auto"/>
              </w:rPr>
            </w:pPr>
          </w:p>
        </w:tc>
        <w:tc>
          <w:tcPr>
            <w:tcW w:w="9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As discussed above we changed the accounting for capitalized mortgage loan servicing rights during the first quarter of 2017 (see note #1) and are now measuring valuation on a recurring basis. 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r>
      <w:tr>
        <w:trPr>
          <w:trHeight w:val="185"/>
        </w:trPr>
        <w:tc>
          <w:tcPr>
            <w:tcW w:w="25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16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Average</w:t>
            </w:r>
          </w:p>
        </w:tc>
      </w:tr>
      <w:tr>
        <w:trPr>
          <w:trHeight w:val="183"/>
        </w:trPr>
        <w:tc>
          <w:tcPr>
            <w:tcW w:w="2580" w:type="dxa"/>
            <w:vAlign w:val="bottom"/>
          </w:tcPr>
          <w:p>
            <w:pPr>
              <w:spacing w:after="0"/>
              <w:rPr>
                <w:sz w:val="15"/>
                <w:szCs w:val="15"/>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5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Capitalized mortgage loan</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5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servicing rights</w:t>
            </w: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$15,699</w:t>
            </w:r>
          </w:p>
        </w:tc>
        <w:tc>
          <w:tcPr>
            <w:tcW w:w="1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Present value of net</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Discount rate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9.88% to 11.00%</w:t>
            </w:r>
          </w:p>
        </w:tc>
        <w:tc>
          <w:tcPr>
            <w:tcW w:w="1320" w:type="dxa"/>
            <w:vAlign w:val="bottom"/>
            <w:gridSpan w:val="2"/>
            <w:shd w:val="clear" w:color="auto" w:fill="CCEEFF"/>
          </w:tcPr>
          <w:p>
            <w:pPr>
              <w:jc w:val="center"/>
              <w:ind w:left="123"/>
              <w:spacing w:after="0" w:line="162" w:lineRule="exact"/>
              <w:rPr>
                <w:sz w:val="20"/>
                <w:szCs w:val="20"/>
                <w:color w:val="auto"/>
              </w:rPr>
            </w:pPr>
            <w:r>
              <w:rPr>
                <w:rFonts w:ascii="Arial" w:cs="Arial" w:eastAsia="Arial" w:hAnsi="Arial"/>
                <w:sz w:val="15"/>
                <w:szCs w:val="15"/>
                <w:color w:val="auto"/>
                <w:w w:val="94"/>
              </w:rPr>
              <w:t>10.11%</w:t>
            </w:r>
          </w:p>
        </w:tc>
        <w:tc>
          <w:tcPr>
            <w:tcW w:w="100" w:type="dxa"/>
            <w:vAlign w:val="bottom"/>
            <w:shd w:val="clear" w:color="auto" w:fill="CCEEFF"/>
          </w:tcPr>
          <w:p>
            <w:pPr>
              <w:spacing w:after="0"/>
              <w:rPr>
                <w:sz w:val="14"/>
                <w:szCs w:val="14"/>
                <w:color w:val="auto"/>
              </w:rPr>
            </w:pPr>
          </w:p>
        </w:tc>
      </w:tr>
      <w:tr>
        <w:trPr>
          <w:trHeight w:val="162"/>
        </w:trPr>
        <w:tc>
          <w:tcPr>
            <w:tcW w:w="25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servicing revenue</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Cost to service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0"/>
              </w:rPr>
              <w:t>$66 to $216</w:t>
            </w:r>
          </w:p>
        </w:tc>
        <w:tc>
          <w:tcPr>
            <w:tcW w:w="1320" w:type="dxa"/>
            <w:vAlign w:val="bottom"/>
            <w:gridSpan w:val="2"/>
            <w:shd w:val="clear" w:color="auto" w:fill="CCEEFF"/>
          </w:tcPr>
          <w:p>
            <w:pPr>
              <w:jc w:val="center"/>
              <w:ind w:left="123"/>
              <w:spacing w:after="0" w:line="162" w:lineRule="exact"/>
              <w:rPr>
                <w:sz w:val="20"/>
                <w:szCs w:val="20"/>
                <w:color w:val="auto"/>
              </w:rPr>
            </w:pPr>
            <w:r>
              <w:rPr>
                <w:rFonts w:ascii="Arial" w:cs="Arial" w:eastAsia="Arial" w:hAnsi="Arial"/>
                <w:sz w:val="15"/>
                <w:szCs w:val="15"/>
                <w:color w:val="auto"/>
                <w:w w:val="95"/>
              </w:rPr>
              <w:t>$81</w:t>
            </w:r>
          </w:p>
        </w:tc>
        <w:tc>
          <w:tcPr>
            <w:tcW w:w="100" w:type="dxa"/>
            <w:vAlign w:val="bottom"/>
            <w:shd w:val="clear" w:color="auto" w:fill="CCEEFF"/>
          </w:tcPr>
          <w:p>
            <w:pPr>
              <w:spacing w:after="0"/>
              <w:rPr>
                <w:sz w:val="14"/>
                <w:szCs w:val="14"/>
                <w:color w:val="auto"/>
              </w:rPr>
            </w:pPr>
          </w:p>
        </w:tc>
      </w:tr>
      <w:tr>
        <w:trPr>
          <w:trHeight w:val="162"/>
        </w:trPr>
        <w:tc>
          <w:tcPr>
            <w:tcW w:w="25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Ancillary income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20 to 36</w:t>
            </w:r>
          </w:p>
        </w:tc>
        <w:tc>
          <w:tcPr>
            <w:tcW w:w="1320" w:type="dxa"/>
            <w:vAlign w:val="bottom"/>
            <w:gridSpan w:val="2"/>
            <w:shd w:val="clear" w:color="auto" w:fill="CCEEFF"/>
          </w:tcPr>
          <w:p>
            <w:pPr>
              <w:jc w:val="center"/>
              <w:ind w:left="123"/>
              <w:spacing w:after="0" w:line="162" w:lineRule="exact"/>
              <w:rPr>
                <w:sz w:val="20"/>
                <w:szCs w:val="20"/>
                <w:color w:val="auto"/>
              </w:rPr>
            </w:pPr>
            <w:r>
              <w:rPr>
                <w:rFonts w:ascii="Arial" w:cs="Arial" w:eastAsia="Arial" w:hAnsi="Arial"/>
                <w:sz w:val="15"/>
                <w:szCs w:val="15"/>
                <w:color w:val="auto"/>
                <w:w w:val="95"/>
              </w:rPr>
              <w:t>23</w:t>
            </w:r>
          </w:p>
        </w:tc>
        <w:tc>
          <w:tcPr>
            <w:tcW w:w="100" w:type="dxa"/>
            <w:vAlign w:val="bottom"/>
            <w:shd w:val="clear" w:color="auto" w:fill="CCEEFF"/>
          </w:tcPr>
          <w:p>
            <w:pPr>
              <w:spacing w:after="0"/>
              <w:rPr>
                <w:sz w:val="14"/>
                <w:szCs w:val="14"/>
                <w:color w:val="auto"/>
              </w:rPr>
            </w:pPr>
          </w:p>
        </w:tc>
      </w:tr>
      <w:tr>
        <w:trPr>
          <w:trHeight w:val="189"/>
        </w:trPr>
        <w:tc>
          <w:tcPr>
            <w:tcW w:w="25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Float rate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2.24% to 2.24%</w:t>
            </w:r>
          </w:p>
        </w:tc>
        <w:tc>
          <w:tcPr>
            <w:tcW w:w="1320" w:type="dxa"/>
            <w:vAlign w:val="bottom"/>
            <w:gridSpan w:val="2"/>
            <w:shd w:val="clear" w:color="auto" w:fill="CCEEFF"/>
          </w:tcPr>
          <w:p>
            <w:pPr>
              <w:jc w:val="center"/>
              <w:ind w:left="123"/>
              <w:spacing w:after="0"/>
              <w:rPr>
                <w:sz w:val="20"/>
                <w:szCs w:val="20"/>
                <w:color w:val="auto"/>
              </w:rPr>
            </w:pPr>
            <w:r>
              <w:rPr>
                <w:rFonts w:ascii="Arial" w:cs="Arial" w:eastAsia="Arial" w:hAnsi="Arial"/>
                <w:sz w:val="15"/>
                <w:szCs w:val="15"/>
                <w:color w:val="auto"/>
                <w:w w:val="93"/>
              </w:rPr>
              <w:t>2.24%</w:t>
            </w:r>
          </w:p>
        </w:tc>
        <w:tc>
          <w:tcPr>
            <w:tcW w:w="10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3" w:name="page124"/>
    <w:bookmarkEnd w:id="123"/>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7"/>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r>
      <w:tr>
        <w:trPr>
          <w:trHeight w:val="185"/>
        </w:trPr>
        <w:tc>
          <w:tcPr>
            <w:tcW w:w="24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180" w:type="dxa"/>
            <w:vAlign w:val="bottom"/>
          </w:tcPr>
          <w:p>
            <w:pPr>
              <w:spacing w:after="0"/>
              <w:rPr>
                <w:sz w:val="16"/>
                <w:szCs w:val="16"/>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r>
      <w:tr>
        <w:trPr>
          <w:trHeight w:val="183"/>
        </w:trPr>
        <w:tc>
          <w:tcPr>
            <w:tcW w:w="2480" w:type="dxa"/>
            <w:vAlign w:val="bottom"/>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ind w:left="180"/>
              <w:spacing w:after="0"/>
              <w:rPr>
                <w:sz w:val="20"/>
                <w:szCs w:val="20"/>
                <w:color w:val="auto"/>
              </w:rPr>
            </w:pPr>
            <w:r>
              <w:rPr>
                <w:rFonts w:ascii="Arial" w:cs="Arial" w:eastAsia="Arial" w:hAnsi="Arial"/>
                <w:sz w:val="15"/>
                <w:szCs w:val="15"/>
                <w:color w:val="auto"/>
              </w:rPr>
              <w:t>Impaired loans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Commercial</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1"/>
              </w:rPr>
              <w:t>$1,334</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(32.5)% to 25.0%</w:t>
            </w:r>
          </w:p>
        </w:tc>
        <w:tc>
          <w:tcPr>
            <w:tcW w:w="1540" w:type="dxa"/>
            <w:vAlign w:val="bottom"/>
            <w:gridSpan w:val="3"/>
            <w:shd w:val="clear" w:color="auto" w:fill="CCEEFF"/>
          </w:tcPr>
          <w:p>
            <w:pPr>
              <w:ind w:left="1100"/>
              <w:spacing w:after="0" w:line="162" w:lineRule="exact"/>
              <w:rPr>
                <w:sz w:val="20"/>
                <w:szCs w:val="20"/>
                <w:color w:val="auto"/>
              </w:rPr>
            </w:pPr>
            <w:r>
              <w:rPr>
                <w:rFonts w:ascii="Arial" w:cs="Arial" w:eastAsia="Arial" w:hAnsi="Arial"/>
                <w:sz w:val="15"/>
                <w:szCs w:val="15"/>
                <w:color w:val="auto"/>
                <w:w w:val="94"/>
              </w:rPr>
              <w:t>(4.5)%</w:t>
            </w: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Mortgage</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7"/>
              </w:rPr>
              <w:t>546</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4"/>
              </w:rPr>
              <w:t>(21.1) to 34.1</w:t>
            </w:r>
          </w:p>
        </w:tc>
        <w:tc>
          <w:tcPr>
            <w:tcW w:w="1440" w:type="dxa"/>
            <w:vAlign w:val="bottom"/>
            <w:gridSpan w:val="2"/>
            <w:shd w:val="clear" w:color="auto" w:fill="CCEEFF"/>
          </w:tcPr>
          <w:p>
            <w:pPr>
              <w:ind w:left="1100"/>
              <w:spacing w:after="0" w:line="162" w:lineRule="exact"/>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Other real estate-Mortgage</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7"/>
              </w:rPr>
              <w:t>251</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4"/>
              </w:rPr>
              <w:t>(33.0) to 44.5</w:t>
            </w:r>
          </w:p>
        </w:tc>
        <w:tc>
          <w:tcPr>
            <w:tcW w:w="1440" w:type="dxa"/>
            <w:vAlign w:val="bottom"/>
            <w:gridSpan w:val="2"/>
            <w:shd w:val="clear" w:color="auto" w:fill="CCEEFF"/>
          </w:tcPr>
          <w:p>
            <w:pPr>
              <w:ind w:left="1100"/>
              <w:spacing w:after="0" w:line="162" w:lineRule="exact"/>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spacing w:after="0"/>
              <w:rPr>
                <w:sz w:val="20"/>
                <w:szCs w:val="20"/>
                <w:color w:val="auto"/>
              </w:rPr>
            </w:pPr>
            <w:r>
              <w:rPr>
                <w:rFonts w:ascii="Arial" w:cs="Arial" w:eastAsia="Arial" w:hAnsi="Arial"/>
                <w:sz w:val="15"/>
                <w:szCs w:val="15"/>
                <w:color w:val="auto"/>
              </w:rPr>
              <w:t>2016</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Capitalized mortgage loan</w:t>
            </w: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servicing rights</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1"/>
              </w:rPr>
              <w:t>$ 8,163</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7"/>
              </w:rPr>
              <w:t>Present value of net</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Discount rate</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10.00% to 11.00%</w:t>
            </w:r>
          </w:p>
        </w:tc>
        <w:tc>
          <w:tcPr>
            <w:tcW w:w="1440" w:type="dxa"/>
            <w:vAlign w:val="bottom"/>
            <w:gridSpan w:val="2"/>
            <w:shd w:val="clear" w:color="auto" w:fill="CCEEFF"/>
          </w:tcPr>
          <w:p>
            <w:pPr>
              <w:jc w:val="center"/>
              <w:ind w:left="143"/>
              <w:spacing w:after="0" w:line="162" w:lineRule="exact"/>
              <w:rPr>
                <w:sz w:val="20"/>
                <w:szCs w:val="20"/>
                <w:color w:val="auto"/>
              </w:rPr>
            </w:pPr>
            <w:r>
              <w:rPr>
                <w:rFonts w:ascii="Arial" w:cs="Arial" w:eastAsia="Arial" w:hAnsi="Arial"/>
                <w:sz w:val="15"/>
                <w:szCs w:val="15"/>
                <w:color w:val="auto"/>
                <w:w w:val="90"/>
              </w:rPr>
              <w:t>10.07%</w:t>
            </w: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servicing revenue</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Cost to service</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$66 to $168</w:t>
            </w:r>
          </w:p>
        </w:tc>
        <w:tc>
          <w:tcPr>
            <w:tcW w:w="1440" w:type="dxa"/>
            <w:vAlign w:val="bottom"/>
            <w:gridSpan w:val="2"/>
            <w:shd w:val="clear" w:color="auto" w:fill="CCEEFF"/>
          </w:tcPr>
          <w:p>
            <w:pPr>
              <w:jc w:val="center"/>
              <w:ind w:left="143"/>
              <w:spacing w:after="0" w:line="162" w:lineRule="exact"/>
              <w:rPr>
                <w:sz w:val="20"/>
                <w:szCs w:val="20"/>
                <w:color w:val="auto"/>
              </w:rPr>
            </w:pPr>
            <w:r>
              <w:rPr>
                <w:rFonts w:ascii="Arial" w:cs="Arial" w:eastAsia="Arial" w:hAnsi="Arial"/>
                <w:sz w:val="15"/>
                <w:szCs w:val="15"/>
                <w:color w:val="auto"/>
                <w:w w:val="88"/>
              </w:rPr>
              <w:t>$ 83</w:t>
            </w: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Ancillary income</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20 to 40</w:t>
            </w:r>
          </w:p>
        </w:tc>
        <w:tc>
          <w:tcPr>
            <w:tcW w:w="1440" w:type="dxa"/>
            <w:vAlign w:val="bottom"/>
            <w:gridSpan w:val="2"/>
            <w:shd w:val="clear" w:color="auto" w:fill="CCEEFF"/>
          </w:tcPr>
          <w:p>
            <w:pPr>
              <w:jc w:val="center"/>
              <w:ind w:left="123"/>
              <w:spacing w:after="0" w:line="162" w:lineRule="exact"/>
              <w:rPr>
                <w:sz w:val="20"/>
                <w:szCs w:val="20"/>
                <w:color w:val="auto"/>
              </w:rPr>
            </w:pPr>
            <w:r>
              <w:rPr>
                <w:rFonts w:ascii="Arial" w:cs="Arial" w:eastAsia="Arial" w:hAnsi="Arial"/>
                <w:sz w:val="15"/>
                <w:szCs w:val="15"/>
                <w:color w:val="auto"/>
                <w:w w:val="95"/>
              </w:rPr>
              <w:t>24</w:t>
            </w:r>
          </w:p>
        </w:tc>
        <w:tc>
          <w:tcPr>
            <w:tcW w:w="100" w:type="dxa"/>
            <w:vAlign w:val="bottom"/>
            <w:shd w:val="clear" w:color="auto" w:fill="CCEEFF"/>
          </w:tcPr>
          <w:p>
            <w:pPr>
              <w:spacing w:after="0"/>
              <w:rPr>
                <w:sz w:val="14"/>
                <w:szCs w:val="14"/>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Float rate</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1.97% to 1.97%</w:t>
            </w:r>
          </w:p>
        </w:tc>
        <w:tc>
          <w:tcPr>
            <w:tcW w:w="1440" w:type="dxa"/>
            <w:vAlign w:val="bottom"/>
            <w:gridSpan w:val="2"/>
            <w:shd w:val="clear" w:color="auto" w:fill="CCEEFF"/>
          </w:tcPr>
          <w:p>
            <w:pPr>
              <w:jc w:val="center"/>
              <w:ind w:left="123"/>
              <w:spacing w:after="0"/>
              <w:rPr>
                <w:sz w:val="20"/>
                <w:szCs w:val="20"/>
                <w:color w:val="auto"/>
              </w:rPr>
            </w:pPr>
            <w:r>
              <w:rPr>
                <w:rFonts w:ascii="Arial" w:cs="Arial" w:eastAsia="Arial" w:hAnsi="Arial"/>
                <w:sz w:val="15"/>
                <w:szCs w:val="15"/>
                <w:color w:val="auto"/>
                <w:w w:val="94"/>
              </w:rPr>
              <w:t>1.97 %</w:t>
            </w: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4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Impaired loans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480" w:type="dxa"/>
            <w:vAlign w:val="bottom"/>
          </w:tcPr>
          <w:p>
            <w:pPr>
              <w:ind w:left="360"/>
              <w:spacing w:after="0" w:line="162" w:lineRule="exact"/>
              <w:rPr>
                <w:sz w:val="20"/>
                <w:szCs w:val="20"/>
                <w:color w:val="auto"/>
              </w:rPr>
            </w:pPr>
            <w:r>
              <w:rPr>
                <w:rFonts w:ascii="Arial" w:cs="Arial" w:eastAsia="Arial" w:hAnsi="Arial"/>
                <w:sz w:val="15"/>
                <w:szCs w:val="15"/>
                <w:color w:val="auto"/>
              </w:rPr>
              <w:t>Commercial (1)</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90"/>
              </w:rPr>
              <w:t>1,446</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color w:val="auto"/>
                <w:w w:val="93"/>
              </w:rPr>
              <w:t>(25.0)% to 17.0%</w:t>
            </w:r>
          </w:p>
        </w:tc>
        <w:tc>
          <w:tcPr>
            <w:tcW w:w="144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95"/>
              </w:rPr>
              <w:t>(1.5) %</w:t>
            </w:r>
          </w:p>
        </w:tc>
        <w:tc>
          <w:tcPr>
            <w:tcW w:w="1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48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87"/>
              </w:rPr>
              <w:t>361</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color w:val="auto"/>
                <w:w w:val="94"/>
              </w:rPr>
              <w:t>(23.2) to 19.4</w:t>
            </w:r>
          </w:p>
        </w:tc>
        <w:tc>
          <w:tcPr>
            <w:tcW w:w="144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97"/>
              </w:rPr>
              <w:t>(4.7)</w:t>
            </w:r>
          </w:p>
        </w:tc>
        <w:tc>
          <w:tcPr>
            <w:tcW w:w="1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ind w:left="180"/>
              <w:spacing w:after="0"/>
              <w:rPr>
                <w:sz w:val="20"/>
                <w:szCs w:val="20"/>
                <w:color w:val="auto"/>
              </w:rPr>
            </w:pPr>
            <w:r>
              <w:rPr>
                <w:rFonts w:ascii="Arial" w:cs="Arial" w:eastAsia="Arial" w:hAnsi="Arial"/>
                <w:sz w:val="15"/>
                <w:szCs w:val="15"/>
                <w:color w:val="auto"/>
              </w:rPr>
              <w:t>Other real estate</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Commercial</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7"/>
              </w:rPr>
              <w:t>176</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(35.0) to 0.0</w:t>
            </w:r>
          </w:p>
        </w:tc>
        <w:tc>
          <w:tcPr>
            <w:tcW w:w="1440" w:type="dxa"/>
            <w:vAlign w:val="bottom"/>
            <w:gridSpan w:val="2"/>
            <w:shd w:val="clear" w:color="auto" w:fill="CCEEFF"/>
          </w:tcPr>
          <w:p>
            <w:pPr>
              <w:jc w:val="center"/>
              <w:ind w:left="143"/>
              <w:spacing w:after="0" w:line="162" w:lineRule="exact"/>
              <w:rPr>
                <w:sz w:val="20"/>
                <w:szCs w:val="20"/>
                <w:color w:val="auto"/>
              </w:rPr>
            </w:pPr>
            <w:r>
              <w:rPr>
                <w:rFonts w:ascii="Arial" w:cs="Arial" w:eastAsia="Arial" w:hAnsi="Arial"/>
                <w:sz w:val="15"/>
                <w:szCs w:val="15"/>
                <w:color w:val="auto"/>
                <w:w w:val="96"/>
              </w:rPr>
              <w:t>(22.5)</w:t>
            </w: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Mortgage and installment</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7"/>
              </w:rPr>
              <w:t>231</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(26.8) to 2.8</w:t>
            </w:r>
          </w:p>
        </w:tc>
        <w:tc>
          <w:tcPr>
            <w:tcW w:w="1440" w:type="dxa"/>
            <w:vAlign w:val="bottom"/>
            <w:gridSpan w:val="2"/>
            <w:shd w:val="clear" w:color="auto" w:fill="CCEEFF"/>
          </w:tcPr>
          <w:p>
            <w:pPr>
              <w:jc w:val="center"/>
              <w:ind w:left="143"/>
              <w:spacing w:after="0" w:line="162" w:lineRule="exact"/>
              <w:rPr>
                <w:sz w:val="20"/>
                <w:szCs w:val="20"/>
                <w:color w:val="auto"/>
              </w:rPr>
            </w:pPr>
            <w:r>
              <w:rPr>
                <w:rFonts w:ascii="Arial" w:cs="Arial" w:eastAsia="Arial" w:hAnsi="Arial"/>
                <w:sz w:val="15"/>
                <w:szCs w:val="15"/>
                <w:color w:val="auto"/>
                <w:w w:val="97"/>
              </w:rPr>
              <w:t>(5.1)</w:t>
            </w:r>
          </w:p>
        </w:tc>
        <w:tc>
          <w:tcPr>
            <w:tcW w:w="100" w:type="dxa"/>
            <w:vAlign w:val="bottom"/>
            <w:shd w:val="clear" w:color="auto" w:fill="CCEEFF"/>
          </w:tcPr>
          <w:p>
            <w:pPr>
              <w:spacing w:after="0"/>
              <w:rPr>
                <w:sz w:val="14"/>
                <w:szCs w:val="14"/>
                <w:color w:val="auto"/>
              </w:rPr>
            </w:pPr>
          </w:p>
        </w:tc>
      </w:tr>
      <w:tr>
        <w:trPr>
          <w:trHeight w:val="162"/>
        </w:trPr>
        <w:tc>
          <w:tcPr>
            <w:tcW w:w="2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6"/>
              </w:rPr>
              <w:t>differences between</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909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6" w:lineRule="exact"/>
        <w:rPr>
          <w:sz w:val="20"/>
          <w:szCs w:val="20"/>
          <w:color w:val="auto"/>
        </w:rPr>
      </w:pPr>
    </w:p>
    <w:p>
      <w:pPr>
        <w:jc w:val="both"/>
        <w:ind w:left="347" w:hanging="347"/>
        <w:spacing w:after="0" w:line="297" w:lineRule="auto"/>
        <w:tabs>
          <w:tab w:leader="none" w:pos="3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addition to the valuation techniques and unobservable inputs discussed above, at December 31, 2016, we had an impaired collateral dependent commercial relationship that totaled $0.2 million that was primarily secured by collateral other than real estate. Collateral securing this relationship primarily included machinery and equipment and inventory at December 31, 2016. Valuation techniques at December 31, 2016, included appraisals and discounting restructuring firm valuations based on estimates of value recovery of each particular asset type. Discount rates used ranged from 0% to 100% of stated values.</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Contractual</w:t>
            </w:r>
          </w:p>
        </w:tc>
      </w:tr>
      <w:tr>
        <w:trPr>
          <w:trHeight w:val="185"/>
        </w:trPr>
        <w:tc>
          <w:tcPr>
            <w:tcW w:w="6440" w:type="dxa"/>
            <w:vAlign w:val="bottom"/>
          </w:tcPr>
          <w:p>
            <w:pPr>
              <w:spacing w:after="0"/>
              <w:rPr>
                <w:sz w:val="16"/>
                <w:szCs w:val="16"/>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Difference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r>
      <w:tr>
        <w:trPr>
          <w:trHeight w:val="183"/>
        </w:trPr>
        <w:tc>
          <w:tcPr>
            <w:tcW w:w="6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2017</w:t>
            </w:r>
          </w:p>
        </w:tc>
        <w:tc>
          <w:tcPr>
            <w:tcW w:w="860" w:type="dxa"/>
            <w:vAlign w:val="bottom"/>
          </w:tcPr>
          <w:p>
            <w:pPr>
              <w:jc w:val="right"/>
              <w:spacing w:after="0"/>
              <w:rPr>
                <w:sz w:val="20"/>
                <w:szCs w:val="20"/>
                <w:color w:val="auto"/>
              </w:rPr>
            </w:pPr>
            <w:r>
              <w:rPr>
                <w:rFonts w:ascii="Arial" w:cs="Arial" w:eastAsia="Arial" w:hAnsi="Arial"/>
                <w:sz w:val="18"/>
                <w:szCs w:val="18"/>
                <w:color w:val="auto"/>
              </w:rPr>
              <w:t>$   39,436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38,592</w:t>
            </w:r>
          </w:p>
        </w:tc>
      </w:tr>
      <w:tr>
        <w:trPr>
          <w:trHeight w:val="25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35,946</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35,509</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2015</w:t>
            </w:r>
          </w:p>
        </w:tc>
        <w:tc>
          <w:tcPr>
            <w:tcW w:w="860" w:type="dxa"/>
            <w:vAlign w:val="bottom"/>
          </w:tcPr>
          <w:p>
            <w:pPr>
              <w:jc w:val="right"/>
              <w:spacing w:after="0"/>
              <w:rPr>
                <w:sz w:val="20"/>
                <w:szCs w:val="20"/>
                <w:color w:val="auto"/>
              </w:rPr>
            </w:pPr>
            <w:r>
              <w:rPr>
                <w:rFonts w:ascii="Arial" w:cs="Arial" w:eastAsia="Arial" w:hAnsi="Arial"/>
                <w:sz w:val="18"/>
                <w:szCs w:val="18"/>
                <w:color w:val="auto"/>
              </w:rPr>
              <w:t>27,866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27,152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FAIR VALUES OF FINANCIAL INSTRUMENTS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80"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Estimated fair values have been determined using available data and methodologies that are considered suitable for each category of financial instrument. For instruments with adjustable-interest rates which reprice frequently and without significant credit risk, it is presumed that estimated fair values approximate the recorded book balances. Fair value methodologies discussed below do not necessarily represent an exit price in the determination of the fair value of these financial instruments.</w:t>
      </w:r>
    </w:p>
    <w:p>
      <w:pPr>
        <w:spacing w:after="0" w:line="6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Cash and due from banks and interest bearing deposits</w:t>
      </w:r>
      <w:r>
        <w:rPr>
          <w:rFonts w:ascii="Arial" w:cs="Arial" w:eastAsia="Arial" w:hAnsi="Arial"/>
          <w:sz w:val="18"/>
          <w:szCs w:val="18"/>
          <w:color w:val="auto"/>
        </w:rPr>
        <w:t>: The recorded book balance of cash and due from banks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deposits approximate fair value and are classified as Level 1.</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Interest bearing deposits - time</w:t>
      </w:r>
      <w:r>
        <w:rPr>
          <w:rFonts w:ascii="Arial" w:cs="Arial" w:eastAsia="Arial" w:hAnsi="Arial"/>
          <w:sz w:val="18"/>
          <w:szCs w:val="18"/>
          <w:color w:val="auto"/>
        </w:rPr>
        <w:t>: Interest bearing deposits - time have been valued based on a model using a benchmark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plus a base spread and are classified as Level 2.</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Financial instrument assets actively traded in a secondary market have been valued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securities and U.S. treasury securities available for sale are classified as Level 1 while all other securities available for sale are classified as Level 2 as described in note #21.</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Federal Home Loan Bank and Federal Reserve Bank Stock</w:t>
      </w:r>
      <w:r>
        <w:rPr>
          <w:rFonts w:ascii="Arial" w:cs="Arial" w:eastAsia="Arial" w:hAnsi="Arial"/>
          <w:sz w:val="18"/>
          <w:szCs w:val="18"/>
          <w:color w:val="auto"/>
        </w:rPr>
        <w:t>: It is not practicable to determine the fair value of FHLB and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due to restrictions placed on transferability.</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Net loans and loans held for sale</w:t>
      </w:r>
      <w:r>
        <w:rPr>
          <w:rFonts w:ascii="Arial" w:cs="Arial" w:eastAsia="Arial" w:hAnsi="Arial"/>
          <w:sz w:val="18"/>
          <w:szCs w:val="18"/>
          <w:color w:val="auto"/>
        </w:rPr>
        <w:t>: The fair value of loans is calculated by discounting estimated future cash flows using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market discount rates that reflect credit and interest-rate risk inherent in the loans and do not necessarily represent an exit price. Loans are classified as Level 3. Impaired loans are valued at the lower of cost or fair value as described in note #21. Loans held for sale are classified as Level 2 as described in note #21. Payment plan receivables held for sale are also classified as Level 2 based on a signed APA as described in note #1.</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Accrued interest receivable and payable</w:t>
      </w:r>
      <w:r>
        <w:rPr>
          <w:rFonts w:ascii="Arial" w:cs="Arial" w:eastAsia="Arial" w:hAnsi="Arial"/>
          <w:sz w:val="18"/>
          <w:szCs w:val="18"/>
          <w:color w:val="auto"/>
        </w:rPr>
        <w:t>: The recorded book balance of accrued interest receivable and payable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are classified at the same Level as the asset and liability they are associated with.</w:t>
      </w:r>
    </w:p>
    <w:p>
      <w:pPr>
        <w:spacing w:after="0" w:line="6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The fair value of rate-lock mortgage loan commitments is based on agency cash window loan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for comparable assets, the fair value of mandatory commitments to sell mortgage loans is based on mortgage backed security pricing for comparable assets, the fair value of interest rate swap and interest rate cap agreements is derived from proprietary models which utilize current market data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i w:val="1"/>
          <w:iCs w:val="1"/>
          <w:color w:val="auto"/>
        </w:rPr>
        <w:t>Deposits</w:t>
      </w:r>
      <w:r>
        <w:rPr>
          <w:rFonts w:ascii="Arial" w:cs="Arial" w:eastAsia="Arial" w:hAnsi="Arial"/>
          <w:sz w:val="17"/>
          <w:szCs w:val="17"/>
          <w:color w:val="auto"/>
        </w:rPr>
        <w:t>: Deposits without a stated maturity, including demand deposits, savings, NOW and money market accounts, have a</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63"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i w:val="1"/>
          <w:iCs w:val="1"/>
          <w:color w:val="auto"/>
        </w:rPr>
        <w:t>Other borrowings</w:t>
      </w:r>
      <w:r>
        <w:rPr>
          <w:rFonts w:ascii="Arial" w:cs="Arial" w:eastAsia="Arial" w:hAnsi="Arial"/>
          <w:sz w:val="17"/>
          <w:szCs w:val="17"/>
          <w:color w:val="auto"/>
        </w:rPr>
        <w:t>: Other borrowings have been valued based on the discounted value of contractual cash flows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approximating current market rates for liabilities with a similar maturity resulting in a Level 2 classification.</w:t>
      </w:r>
    </w:p>
    <w:p>
      <w:pPr>
        <w:spacing w:after="0" w:line="38"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Subordinated debentures</w:t>
      </w:r>
      <w:r>
        <w:rPr>
          <w:rFonts w:ascii="Arial" w:cs="Arial" w:eastAsia="Arial" w:hAnsi="Arial"/>
          <w:sz w:val="18"/>
          <w:szCs w:val="18"/>
          <w:color w:val="auto"/>
        </w:rPr>
        <w:t>: Subordinated debentures have generally been valued based on a quoted market price of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resulting in a Level 2 classification.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6" w:name="page127"/>
    <w:bookmarkEnd w:id="126"/>
    <w:p>
      <w:pPr>
        <w:ind w:left="7"/>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7"/>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estimated recorded book balances and fair values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Fair Value Using</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w:t>
            </w: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Book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r>
      <w:tr>
        <w:trPr>
          <w:trHeight w:val="183"/>
        </w:trPr>
        <w:tc>
          <w:tcPr>
            <w:tcW w:w="4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Interest bearing deposits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bearing deposits - time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522,925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522,925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522,027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w w:val="96"/>
              </w:rPr>
              <w:t>Federal Home Loan Bank and Federal Reserve Bank Stock</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loans and loans held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2,035,666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1,962,937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1,923,501</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6,416</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with no stated maturity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1,845,716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1,845,716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Deposits with stated maturity (1)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554,818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551,489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551,489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Subordinated debentures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35,238</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Interest bearing deposits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bearing deposits - time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610,616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610,616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610,616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w w:val="96"/>
              </w:rPr>
              <w:t>Federal Home Loan Bank and Federal Reserve Bank Stock</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loans and loans held for sale (2)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1,655,335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1,629,587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67,321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1,562,266</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4,947</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with no stated maturity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1,740,601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1,740,601</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Deposits with stated maturity (1)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485,118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483,469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483,469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Subordinated debentures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4440" w:type="dxa"/>
            <w:vAlign w:val="bottom"/>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909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6" w:lineRule="exact"/>
        <w:rPr>
          <w:sz w:val="20"/>
          <w:szCs w:val="20"/>
          <w:color w:val="auto"/>
        </w:rPr>
      </w:pPr>
    </w:p>
    <w:p>
      <w:pPr>
        <w:jc w:val="both"/>
        <w:ind w:left="347" w:right="20" w:hanging="347"/>
        <w:spacing w:after="0" w:line="264" w:lineRule="auto"/>
        <w:tabs>
          <w:tab w:leader="none" w:pos="3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$13.0 million and $7.4 million at December 31, 2017 and 2016, respectively. Deposits with a stated maturity include reciprocal deposits with a recorded book balance of $38.0 million and $31.3 million at December 31, 2017 and 2016, respectively.</w:t>
      </w:r>
    </w:p>
    <w:p>
      <w:pPr>
        <w:spacing w:after="0" w:line="73"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loans and loans held for sale at December 31, 2016 include $31.4 million of payment plan receivables and commercial loans held for sale.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ACCUMULATED OTHER COMPREHENSIVE LOSS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summary of changes in accumulated other comprehensive loss (“AOCL”), net of tax during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Dispropor-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tionate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Dispropor-</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Tax Effects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tionate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(Losses) on</w:t>
            </w: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from</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Tax Effects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7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Gains 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from</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Available</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Available</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Cash Flow</w:t>
            </w:r>
          </w:p>
        </w:tc>
        <w:tc>
          <w:tcPr>
            <w:tcW w:w="1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Cash Flow</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Sale</w:t>
            </w:r>
          </w:p>
        </w:tc>
        <w:tc>
          <w:tcPr>
            <w:tcW w:w="12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Sale</w:t>
            </w:r>
          </w:p>
        </w:tc>
        <w:tc>
          <w:tcPr>
            <w:tcW w:w="14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b w:val="1"/>
                <w:bCs w:val="1"/>
                <w:color w:val="auto"/>
                <w:w w:val="86"/>
              </w:rPr>
              <w:t>Hedges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Hedges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7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$(9,108)</w:t>
            </w:r>
          </w:p>
        </w:tc>
      </w:tr>
      <w:tr>
        <w:trPr>
          <w:trHeight w:val="249"/>
        </w:trPr>
        <w:tc>
          <w:tcPr>
            <w:tcW w:w="20" w:type="dxa"/>
            <w:vAlign w:val="bottom"/>
          </w:tcPr>
          <w:p>
            <w:pPr>
              <w:spacing w:after="0"/>
              <w:rPr>
                <w:sz w:val="21"/>
                <w:szCs w:val="21"/>
                <w:color w:val="auto"/>
              </w:rPr>
            </w:pPr>
          </w:p>
        </w:tc>
        <w:tc>
          <w:tcPr>
            <w:tcW w:w="5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7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 as adjusted</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(8,808)</w:t>
            </w:r>
          </w:p>
        </w:tc>
      </w:tr>
      <w:tr>
        <w:trPr>
          <w:trHeight w:val="249"/>
        </w:trPr>
        <w:tc>
          <w:tcPr>
            <w:tcW w:w="20" w:type="dxa"/>
            <w:vAlign w:val="bottom"/>
          </w:tcPr>
          <w:p>
            <w:pPr>
              <w:spacing w:after="0"/>
              <w:rPr>
                <w:sz w:val="21"/>
                <w:szCs w:val="21"/>
                <w:color w:val="auto"/>
              </w:rPr>
            </w:pPr>
          </w:p>
        </w:tc>
        <w:tc>
          <w:tcPr>
            <w:tcW w:w="5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6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Disproportionate tax effects due to change in tax rate</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5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certain deferred tax effects (1)</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right w:val="single" w:sz="8" w:color="CCEEFF"/>
            </w:tcBorders>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7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(5,999)</w:t>
            </w: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7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$(6,036)</w:t>
            </w:r>
          </w:p>
        </w:tc>
      </w:tr>
      <w:tr>
        <w:trPr>
          <w:trHeight w:val="249"/>
        </w:trPr>
        <w:tc>
          <w:tcPr>
            <w:tcW w:w="20" w:type="dxa"/>
            <w:vAlign w:val="bottom"/>
          </w:tcPr>
          <w:p>
            <w:pPr>
              <w:spacing w:after="0"/>
              <w:rPr>
                <w:sz w:val="21"/>
                <w:szCs w:val="21"/>
                <w:color w:val="auto"/>
              </w:rPr>
            </w:pPr>
          </w:p>
        </w:tc>
        <w:tc>
          <w:tcPr>
            <w:tcW w:w="5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w:t>
            </w:r>
          </w:p>
        </w:tc>
      </w:tr>
      <w:tr>
        <w:trPr>
          <w:trHeight w:val="243"/>
        </w:trPr>
        <w:tc>
          <w:tcPr>
            <w:tcW w:w="20" w:type="dxa"/>
            <w:vAlign w:val="bottom"/>
          </w:tcPr>
          <w:p>
            <w:pPr>
              <w:spacing w:after="0"/>
              <w:rPr>
                <w:sz w:val="21"/>
                <w:szCs w:val="21"/>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7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(9,108)</w:t>
            </w: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$(5,636)</w:t>
            </w:r>
          </w:p>
        </w:tc>
      </w:tr>
      <w:tr>
        <w:trPr>
          <w:trHeight w:val="249"/>
        </w:trPr>
        <w:tc>
          <w:tcPr>
            <w:tcW w:w="20" w:type="dxa"/>
            <w:vAlign w:val="bottom"/>
          </w:tcPr>
          <w:p>
            <w:pPr>
              <w:spacing w:after="0"/>
              <w:rPr>
                <w:sz w:val="21"/>
                <w:szCs w:val="21"/>
                <w:color w:val="auto"/>
              </w:rPr>
            </w:pPr>
          </w:p>
        </w:tc>
        <w:tc>
          <w:tcPr>
            <w:tcW w:w="5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r>
      <w:tr>
        <w:trPr>
          <w:trHeight w:val="243"/>
        </w:trPr>
        <w:tc>
          <w:tcPr>
            <w:tcW w:w="20" w:type="dxa"/>
            <w:vAlign w:val="bottom"/>
          </w:tcPr>
          <w:p>
            <w:pPr>
              <w:spacing w:after="0"/>
              <w:rPr>
                <w:sz w:val="21"/>
                <w:szCs w:val="21"/>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7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(6,036)</w:t>
            </w: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Amounts reclassified to accumulated deficit due to early adoption of ASU 2018-02. See note #1.</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disproportionate tax effects from securities available for sale arose primarily due to tax effects of other comprehensive income (“OCI”) in the presence of a valuation allowance against our deferred tax assets and a pretax loss from operations. Generally, the amount of income tax expense or benefit allocated to operations is determined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insubstantial portfolio of securities available for sale.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reclassifications out of each component of AOCL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Reclassified</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80" w:type="dxa"/>
            <w:vAlign w:val="bottom"/>
          </w:tcPr>
          <w:p>
            <w:pPr>
              <w:spacing w:after="0"/>
              <w:rPr>
                <w:sz w:val="14"/>
                <w:szCs w:val="14"/>
                <w:color w:val="auto"/>
              </w:rPr>
            </w:pP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5"/>
              </w:rPr>
              <w:t>Affected Line Item in</w:t>
            </w:r>
          </w:p>
        </w:tc>
      </w:tr>
      <w:tr>
        <w:trPr>
          <w:trHeight w:val="185"/>
        </w:trPr>
        <w:tc>
          <w:tcPr>
            <w:tcW w:w="41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AOCL Component</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AOCL</w:t>
            </w:r>
          </w:p>
        </w:tc>
        <w:tc>
          <w:tcPr>
            <w:tcW w:w="180" w:type="dxa"/>
            <w:vAlign w:val="bottom"/>
          </w:tcPr>
          <w:p>
            <w:pPr>
              <w:spacing w:after="0"/>
              <w:rPr>
                <w:sz w:val="16"/>
                <w:szCs w:val="16"/>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Consolidated Statements of Operations</w:t>
            </w:r>
          </w:p>
        </w:tc>
      </w:tr>
      <w:tr>
        <w:trPr>
          <w:trHeight w:val="184"/>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2017</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w:t>
      </w:r>
    </w:p>
    <w:p>
      <w:pPr>
        <w:spacing w:after="0" w:line="22" w:lineRule="exact"/>
        <w:rPr>
          <w:sz w:val="20"/>
          <w:szCs w:val="20"/>
          <w:color w:val="auto"/>
        </w:rPr>
      </w:pPr>
    </w:p>
    <w:p>
      <w:pPr>
        <w:ind w:left="5080" w:hanging="761"/>
        <w:spacing w:after="0"/>
        <w:tabs>
          <w:tab w:leader="none" w:pos="5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215  Net gains on securities</w:t>
      </w:r>
    </w:p>
    <w:p>
      <w:pPr>
        <w:spacing w:after="0" w:line="36" w:lineRule="exact"/>
        <w:rPr>
          <w:rFonts w:ascii="Arial" w:cs="Arial" w:eastAsia="Arial" w:hAnsi="Arial"/>
          <w:sz w:val="18"/>
          <w:szCs w:val="18"/>
          <w:color w:val="auto"/>
        </w:rPr>
      </w:pPr>
    </w:p>
    <w:p>
      <w:pPr>
        <w:ind w:left="5080" w:right="920" w:firstLine="90"/>
        <w:spacing w:after="0" w:line="306" w:lineRule="auto"/>
        <w:rPr>
          <w:rFonts w:ascii="Arial" w:cs="Arial" w:eastAsia="Arial" w:hAnsi="Arial"/>
          <w:sz w:val="18"/>
          <w:szCs w:val="18"/>
          <w:color w:val="auto"/>
        </w:rPr>
      </w:pPr>
      <w:r>
        <w:rPr>
          <w:rFonts w:ascii="Arial" w:cs="Arial" w:eastAsia="Arial" w:hAnsi="Arial"/>
          <w:sz w:val="17"/>
          <w:szCs w:val="17"/>
          <w:color w:val="auto"/>
        </w:rPr>
        <w:t>— Net impairment loss recognized in earnings 215 Total reclassifications before tax</w:t>
      </w:r>
    </w:p>
    <w:p>
      <w:pPr>
        <w:spacing w:after="0" w:line="1"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color w:val="auto"/>
        </w:rPr>
        <w:t>75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-601980</wp:posOffset>
            </wp:positionV>
            <wp:extent cx="607187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wp:posOffset>
            </wp:positionV>
            <wp:extent cx="607187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071870" cy="16319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hanging="761"/>
        <w:spacing w:after="0"/>
        <w:tabs>
          <w:tab w:leader="none" w:pos="5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hanging="861"/>
        <w:spacing w:after="0"/>
        <w:tabs>
          <w:tab w:leader="none" w:pos="5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  Interest expense</w:t>
      </w:r>
    </w:p>
    <w:p>
      <w:pPr>
        <w:spacing w:after="0" w:line="36" w:lineRule="exact"/>
        <w:rPr>
          <w:sz w:val="20"/>
          <w:szCs w:val="20"/>
          <w:color w:val="auto"/>
        </w:rPr>
      </w:pPr>
    </w:p>
    <w:p>
      <w:pPr>
        <w:ind w:left="5260"/>
        <w:spacing w:after="0"/>
        <w:tabs>
          <w:tab w:leader="none" w:pos="54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30" w:lineRule="exact"/>
        <w:rPr>
          <w:sz w:val="20"/>
          <w:szCs w:val="20"/>
          <w:color w:val="auto"/>
        </w:rPr>
      </w:pPr>
    </w:p>
    <w:p>
      <w:pPr>
        <w:ind w:left="5180" w:hanging="861"/>
        <w:spacing w:after="0"/>
        <w:tabs>
          <w:tab w:leader="none" w:pos="5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12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14605</wp:posOffset>
            </wp:positionV>
            <wp:extent cx="6858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40640</wp:posOffset>
            </wp:positionV>
            <wp:extent cx="6858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0" w:lineRule="exact"/>
        <w:rPr>
          <w:sz w:val="20"/>
          <w:szCs w:val="20"/>
          <w:color w:val="auto"/>
        </w:rPr>
      </w:pPr>
    </w:p>
    <w:p>
      <w:pPr>
        <w:ind w:left="5080" w:hanging="761"/>
        <w:spacing w:after="0"/>
        <w:tabs>
          <w:tab w:leader="none" w:pos="5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607187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w:t>
      </w:r>
    </w:p>
    <w:p>
      <w:pPr>
        <w:spacing w:after="0" w:line="22" w:lineRule="exact"/>
        <w:rPr>
          <w:sz w:val="20"/>
          <w:szCs w:val="20"/>
          <w:color w:val="auto"/>
        </w:rPr>
      </w:pPr>
    </w:p>
    <w:p>
      <w:pPr>
        <w:ind w:left="5080" w:hanging="761"/>
        <w:spacing w:after="0"/>
        <w:tabs>
          <w:tab w:leader="none" w:pos="5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301  Net gains on securities</w:t>
      </w:r>
    </w:p>
    <w:p>
      <w:pPr>
        <w:spacing w:after="0" w:line="3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30" w:lineRule="exact"/>
        <w:rPr>
          <w:sz w:val="20"/>
          <w:szCs w:val="20"/>
          <w:color w:val="auto"/>
        </w:rPr>
      </w:pPr>
    </w:p>
    <w:p>
      <w:pPr>
        <w:ind w:left="5080"/>
        <w:spacing w:after="0"/>
        <w:tabs>
          <w:tab w:leader="none" w:pos="54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Total reclassifications before tax</w:t>
      </w:r>
    </w:p>
    <w:p>
      <w:pPr>
        <w:spacing w:after="0" w:line="36" w:lineRule="exact"/>
        <w:rPr>
          <w:sz w:val="20"/>
          <w:szCs w:val="20"/>
          <w:color w:val="auto"/>
        </w:rPr>
      </w:pPr>
    </w:p>
    <w:p>
      <w:pPr>
        <w:ind w:left="5080"/>
        <w:spacing w:after="0"/>
        <w:tabs>
          <w:tab w:leader="none" w:pos="5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30" w:lineRule="exact"/>
        <w:rPr>
          <w:sz w:val="20"/>
          <w:szCs w:val="20"/>
          <w:color w:val="auto"/>
        </w:rPr>
      </w:pPr>
    </w:p>
    <w:p>
      <w:pPr>
        <w:ind w:left="5080" w:hanging="761"/>
        <w:spacing w:after="0"/>
        <w:tabs>
          <w:tab w:leader="none" w:pos="5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196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6071870" cy="1974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w:t>
      </w:r>
    </w:p>
    <w:p>
      <w:pPr>
        <w:spacing w:after="0" w:line="22" w:lineRule="exact"/>
        <w:rPr>
          <w:sz w:val="20"/>
          <w:szCs w:val="20"/>
          <w:color w:val="auto"/>
        </w:rPr>
      </w:pPr>
    </w:p>
    <w:p>
      <w:pPr>
        <w:ind w:left="5180" w:hanging="861"/>
        <w:spacing w:after="0"/>
        <w:tabs>
          <w:tab w:leader="none" w:pos="5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75  Net gains on securities</w:t>
      </w:r>
    </w:p>
    <w:p>
      <w:pPr>
        <w:spacing w:after="0" w:line="36" w:lineRule="exact"/>
        <w:rPr>
          <w:rFonts w:ascii="Arial" w:cs="Arial" w:eastAsia="Arial" w:hAnsi="Arial"/>
          <w:sz w:val="18"/>
          <w:szCs w:val="18"/>
          <w:color w:val="auto"/>
        </w:rPr>
      </w:pPr>
    </w:p>
    <w:p>
      <w:pPr>
        <w:ind w:left="5180" w:right="920"/>
        <w:spacing w:after="0" w:line="306" w:lineRule="auto"/>
        <w:rPr>
          <w:rFonts w:ascii="Arial" w:cs="Arial" w:eastAsia="Arial" w:hAnsi="Arial"/>
          <w:sz w:val="18"/>
          <w:szCs w:val="18"/>
          <w:color w:val="auto"/>
        </w:rPr>
      </w:pPr>
      <w:r>
        <w:rPr>
          <w:rFonts w:ascii="Arial" w:cs="Arial" w:eastAsia="Arial" w:hAnsi="Arial"/>
          <w:sz w:val="17"/>
          <w:szCs w:val="17"/>
          <w:color w:val="auto"/>
        </w:rPr>
        <w:t>— Net impairment loss recognized in earnings 75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-469900</wp:posOffset>
            </wp:positionV>
            <wp:extent cx="607187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607187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ind w:left="5180"/>
        <w:spacing w:after="0"/>
        <w:tabs>
          <w:tab w:leader="none" w:pos="54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180" w:hanging="861"/>
        <w:spacing w:after="0"/>
        <w:tabs>
          <w:tab w:leader="none" w:pos="5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49  Reclassifications, net of tax</w:t>
      </w:r>
    </w:p>
    <w:p>
      <w:pPr>
        <w:spacing w:after="0" w:line="292" w:lineRule="exact"/>
        <w:rPr>
          <w:rFonts w:ascii="Arial" w:cs="Arial" w:eastAsia="Arial" w:hAnsi="Arial"/>
          <w:sz w:val="18"/>
          <w:szCs w:val="18"/>
          <w:color w:val="auto"/>
        </w:rPr>
      </w:pPr>
    </w:p>
    <w:p>
      <w:pPr>
        <w:ind w:left="4680"/>
        <w:spacing w:after="0"/>
        <w:rPr>
          <w:rFonts w:ascii="Arial" w:cs="Arial" w:eastAsia="Arial" w:hAnsi="Arial"/>
          <w:sz w:val="18"/>
          <w:szCs w:val="18"/>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wp:posOffset>
            </wp:positionV>
            <wp:extent cx="607187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6071870" cy="1885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INDEPENDENT BANK CORPORATION (PARENT COMPANY ONLY) FINANCIAL INFORMATION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Presented below are condensed financial statements for our parent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30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tcPr>
          <w:p>
            <w:pPr>
              <w:spacing w:after="0"/>
              <w:rPr>
                <w:sz w:val="20"/>
                <w:szCs w:val="20"/>
                <w:color w:val="auto"/>
              </w:rPr>
            </w:pPr>
          </w:p>
        </w:tc>
        <w:tc>
          <w:tcPr>
            <w:tcW w:w="10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16,454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271,315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259,883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0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301,144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50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265,075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248,939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98"/>
              </w:rPr>
              <w:t>CONDENSED STATEMENTS OF 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Dividends from subsidiary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Administrative and other expenses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Income (Loss) Before Income Tax and Equity in Undistributed Net Income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Subsidiaries</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Income (Loss) Before Equity in Undistributed Net Income of Subsidiaries</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8,053</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18,692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60" w:type="dxa"/>
            <w:vAlign w:val="bottom"/>
            <w:tcBorders>
              <w:bottom w:val="single" w:sz="8" w:color="CCEEFF"/>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jc w:val="right"/>
              <w:ind w:right="103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6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ADJUSTMENTS TO RECONCILE NET INCOME TO NET CASH FROM</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(USED) IN OPERATING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 expense (benefit)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Share based compensation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decrease in accrued income and other assets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Increase (decrease) in accrued expenses and other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(18,692)</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Total Adjustments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(19,031)</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(Used) in Operating Activities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Purchases of interest bearing deposits - time</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Maturity of interest bearing deposits - time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Return of capital from subsidiary</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Investing Activities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USED IN FINANCING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(8,960)</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(7,274)</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(16,854)</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(23,020)</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60" w:type="dxa"/>
            <w:vAlign w:val="bottom"/>
            <w:tcBorders>
              <w:bottom w:val="single" w:sz="8" w:color="CCEEFF"/>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BRANCH SALE</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On April 29, 2015 we entered into a Purchase and Assumption Agreement (“PAA”) with Isabella Bank (based in Mt. Pleasant, Michigan). Pursuant to the PAA, on August 28, 2015, we sold the fixed assets, real property and certain other assets of our bank branch located in Midland, Michigan (the “Midland Branch”) to Isabella Bank. The deposit liabilities of the Midland Branch were assumed by Isabella Bank which totaled $8.7 million on the date of sale. Under the terms of the PAA, Isabella Bank paid a premium of $0.6 million (which was equal to 6.0% of the average deposit liabilities of $9.7 million based on the 20-day average ending two business days prior to the closing date of August 28, 2015) and $0.85 million for the real property and fixed assets (including the ATM). The real property and the fixed assets had a net book value of approximately $0.2 million as of August 28, 2015. We recorded a net gain of $1.2 million in the third quarter of 2015 on the sale of the Midland Branch.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MEPCO SALE</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December 30, 2016, Mepco, entered into an APA with Seabury Asset Management LLC (“Seabury”). Pursuant to the terms of the APA, we sold our payment plan processing business, payment plan receivables, and certain other assets to Seabury, who also assumed certain liabilities of Mepco. These assets and liabilities were categorized as “held for sale” in the December 31, 2016 Consolidated Statement of Financial Condition. We also recorded a $0.32 million loss related to the sale of these assets in the fourth quarter of 2016.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received cash totaling $33.4 million and recorded no gain or loss in 2017 as the assets were sold and the liabilities were assumed at book value.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Assets sold and liabilities assumed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May 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183"/>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ind w:left="4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sold</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Payment plan receivables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33,128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30,582</w:t>
            </w:r>
          </w:p>
        </w:tc>
        <w:tc>
          <w:tcPr>
            <w:tcW w:w="100" w:type="dxa"/>
            <w:vAlign w:val="bottom"/>
          </w:tcPr>
          <w:p>
            <w:pPr>
              <w:spacing w:after="0"/>
              <w:rPr>
                <w:sz w:val="20"/>
                <w:szCs w:val="20"/>
                <w:color w:val="auto"/>
              </w:rPr>
            </w:pPr>
          </w:p>
        </w:tc>
      </w:tr>
      <w:tr>
        <w:trPr>
          <w:trHeight w:val="249"/>
        </w:trPr>
        <w:tc>
          <w:tcPr>
            <w:tcW w:w="7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loans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r>
      <w:tr>
        <w:trPr>
          <w:trHeight w:val="271"/>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33,360</w:t>
            </w:r>
          </w:p>
        </w:tc>
        <w:tc>
          <w:tcPr>
            <w:tcW w:w="100" w:type="dxa"/>
            <w:vAlign w:val="bottom"/>
            <w:shd w:val="clear" w:color="auto" w:fill="CCEEFF"/>
          </w:tcPr>
          <w:p>
            <w:pPr>
              <w:spacing w:after="0"/>
              <w:rPr>
                <w:sz w:val="23"/>
                <w:szCs w:val="23"/>
                <w:color w:val="auto"/>
              </w:rPr>
            </w:pPr>
          </w:p>
        </w:tc>
      </w:tr>
      <w:tr>
        <w:trPr>
          <w:trHeight w:val="243"/>
        </w:trPr>
        <w:tc>
          <w:tcPr>
            <w:tcW w:w="744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7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PENDING ACQUISITION</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December 4, 2017, we entered into an Agreement and Plan of Merger with TCSB Bancorp, Inc. (“TCSB”) (the “Merger Agreement”) providing for a business combination of IBCP and TCSB. The Merger Agreement provides that, upon the terms and subject to the conditions set forth in the Merger Agreement, TCSB will be merged with and into IBCP, with IBCP as the surviving corporation (the “Merger”). In addition, IBCP intends to consolidate Traverse City State Bank, TCSB’s wholly-owned subsidiary bank, with and into the Bank (with the Bank as the surviving institution).</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Subject to the terms and conditions of the Merger Agreement, we will pay aggregate Merger consideration of approximately $63.2 million in IBCP common stock or stock options for all of the shares of TCSB common stock and TCSB stock options issued and outstanding immediately before the effective time of the Merger. The Merger consideration is subject to adjustment in certain limited circumstances, as set forth in the Merger Agreement.</w:t>
      </w:r>
    </w:p>
    <w:p>
      <w:pPr>
        <w:spacing w:after="0" w:line="7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Completion of the Merger is subject to certain closing conditions. These include, among others, (i) in the case of both parties, receipt of the requisite approval of TCSB’s shareholders, receipt of required regulatory approvals, the absence of any law or order prohibiting completion of the Merger and the absence of a material adverse effect (as defined in the Merger Agreement), and (ii) in the case of IBCP, the consolidated shareholders’ equity of TCSB must be at least $33 million (subject to adjustment as provided in the Merger Agreement) as of the final statement date (as defined in the Merger Agreement). The Merger Agreement provides certain termination rights for both IBCP and TCSB and further provides that, upon termination of the Merger Agreement under certain circumstances, TCSB will be obligated to pay IBCP a termination fee of approximately $2.5 million.</w:t>
      </w:r>
    </w:p>
    <w:p>
      <w:pPr>
        <w:spacing w:after="0" w:line="59"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proposed transaction has been approved by both the Federal Reserve Bank of Chicago and the Michigan Department of Insurance and Financial Services. A meeting of the TCSB shareholders has been scheduled for March 14, 2018 to consider and vote upon a proposal to approve the merger agreement between IBCP and TSCB. Assuming requisite TCSB shareholder approval and satisfaction of other closing conditions, the merger of IBCP and TCSB is currently expected to be effective on April 1, 2018.</w:t>
      </w:r>
    </w:p>
    <w:p>
      <w:pPr>
        <w:spacing w:after="0" w:line="4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Our 2017 non-interest expenses include $0.3 million of costs incurred through December 31, 2017 related to the Merger. As of December 31, 2017, TCSB Bancorp, Inc. had total assets of $338.5 million, total loans of $291.5 million, total deposits of $280.5 million, and total shareholders’ equity of $34.5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selected quarterly results of operations for the years ended December 31 follows:</w:t>
      </w:r>
    </w:p>
    <w:p>
      <w:pPr>
        <w:spacing w:after="0" w:line="82"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6350</wp:posOffset>
            </wp:positionV>
            <wp:extent cx="2821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5140"/>
        <w:spacing w:after="0"/>
        <w:tabs>
          <w:tab w:leader="none" w:pos="6200" w:val="left"/>
          <w:tab w:leader="none" w:pos="7160" w:val="left"/>
          <w:tab w:leader="none" w:pos="85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6350</wp:posOffset>
            </wp:positionV>
            <wp:extent cx="28213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23,379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23,533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25,371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26,026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21,466</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21,492</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22,912</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8,595</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8,594</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10,018</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5,974</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5,931</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6,859</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2016</w:t>
            </w: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21,267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15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19,763</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19,630</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19,998</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Income before income tax</w:t>
            </w:r>
          </w:p>
        </w:tc>
        <w:tc>
          <w:tcPr>
            <w:tcW w:w="15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6,057</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9,049</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9,352</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6,373</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During the fourth quarter of 2017, we recognized a remeasurement of our net deferred tax assets recording an increase in income tax expense of $6.0 million (see note #13). During the fourth quarter of 2016, we recognized a recovery of impairment on our capitalized mortgage loan servicing rights of $2.4 million (see note #4) and recorded a litigation settlement expense of $2.3 million (see note #11).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SUMMARY (UNAUDITED)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Reported Sales Prices of Common Shares</w:t>
            </w: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Cash Dividends</w:t>
            </w:r>
          </w:p>
        </w:tc>
      </w:tr>
      <w:tr>
        <w:trPr>
          <w:trHeight w:val="18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Declared</w:t>
            </w:r>
          </w:p>
        </w:tc>
        <w:tc>
          <w:tcPr>
            <w:tcW w:w="1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Close</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Close</w:t>
            </w:r>
          </w:p>
        </w:tc>
        <w:tc>
          <w:tcPr>
            <w:tcW w:w="180" w:type="dxa"/>
            <w:vAlign w:val="bottom"/>
          </w:tcPr>
          <w:p>
            <w:pPr>
              <w:spacing w:after="0"/>
              <w:rPr>
                <w:sz w:val="16"/>
                <w:szCs w:val="16"/>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$ 0.08</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Second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23.65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0.08</w:t>
            </w:r>
          </w:p>
        </w:tc>
      </w:tr>
      <w:tr>
        <w:trPr>
          <w:trHeight w:val="256"/>
        </w:trPr>
        <w:tc>
          <w:tcPr>
            <w:tcW w:w="2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Fourth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23.60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0.10</w:t>
            </w:r>
          </w:p>
        </w:tc>
      </w:tr>
    </w:tbl>
    <w:p>
      <w:pPr>
        <w:spacing w:after="0" w:line="10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approximately 1,400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tbl>
      <w:tblPr>
        <w:tblLayout w:type="fixed"/>
        <w:tblInd w:w="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3400" w:type="dxa"/>
            <w:vAlign w:val="bottom"/>
            <w:gridSpan w:val="3"/>
          </w:tcPr>
          <w:p>
            <w:pPr>
              <w:jc w:val="center"/>
              <w:ind w:right="300"/>
              <w:spacing w:after="0" w:line="199" w:lineRule="exact"/>
              <w:rPr>
                <w:sz w:val="20"/>
                <w:szCs w:val="20"/>
                <w:color w:val="auto"/>
              </w:rPr>
            </w:pPr>
            <w:r>
              <w:rPr>
                <w:rFonts w:ascii="Arial" w:cs="Arial" w:eastAsia="Arial" w:hAnsi="Arial"/>
                <w:sz w:val="18"/>
                <w:szCs w:val="18"/>
                <w:color w:val="auto"/>
                <w:w w:val="96"/>
              </w:rPr>
              <w:t>INDEPENDENT BANK CORPORATION</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3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Subsidiaries of the Registrant</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IBC Capital Finance III</w:t>
            </w: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1"/>
              </w:rPr>
              <w:t>State of Incorporation</w:t>
            </w:r>
          </w:p>
        </w:tc>
        <w:tc>
          <w:tcPr>
            <w:tcW w:w="0" w:type="dxa"/>
            <w:vAlign w:val="bottom"/>
          </w:tcPr>
          <w:p>
            <w:pPr>
              <w:spacing w:after="0"/>
              <w:rPr>
                <w:sz w:val="1"/>
                <w:szCs w:val="1"/>
                <w:color w:val="auto"/>
              </w:rPr>
            </w:pPr>
          </w:p>
        </w:tc>
      </w:tr>
      <w:tr>
        <w:trPr>
          <w:trHeight w:val="188"/>
        </w:trPr>
        <w:tc>
          <w:tcPr>
            <w:tcW w:w="588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1590"/>
              <w:spacing w:after="0" w:line="189" w:lineRule="exact"/>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Ionia, Michigan</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IBC Capital Finance IV</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Ionia, Michigan</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Midwest Guaranty Trust I</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Ionia, Michigan</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Independent Bank</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Grand Rapids, Michigan</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IB Wealth Management, Inc., Grand Rapids, Michigan</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(a subsidiary of Independent Bank)</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IB Insurance Services, Inc., Grand Rapids, Michigan</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(a subsidiary of Independent Bank)</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Independent Title Services, Inc., Grand Rapids, Michigan</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(a subsidiary of Independent Bank Corporation)</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Independent Life Insurance Trust, Grand Rapids, Michigan</w:t>
            </w:r>
          </w:p>
        </w:tc>
        <w:tc>
          <w:tcPr>
            <w:tcW w:w="3860" w:type="dxa"/>
            <w:vAlign w:val="bottom"/>
          </w:tcPr>
          <w:p>
            <w:pPr>
              <w:jc w:val="center"/>
              <w:ind w:right="159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30"/>
        </w:trPr>
        <w:tc>
          <w:tcPr>
            <w:tcW w:w="7560" w:type="dxa"/>
            <w:vAlign w:val="bottom"/>
            <w:gridSpan w:val="4"/>
          </w:tcPr>
          <w:p>
            <w:pPr>
              <w:ind w:left="660"/>
              <w:spacing w:after="0"/>
              <w:rPr>
                <w:sz w:val="20"/>
                <w:szCs w:val="20"/>
                <w:color w:val="auto"/>
              </w:rPr>
            </w:pPr>
            <w:r>
              <w:rPr>
                <w:rFonts w:ascii="Arial" w:cs="Arial" w:eastAsia="Arial" w:hAnsi="Arial"/>
                <w:sz w:val="18"/>
                <w:szCs w:val="18"/>
                <w:color w:val="auto"/>
              </w:rPr>
              <w:t>(a subsidiary of Independent Bank)</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Note: Table excludes insignificant subsidiaries, such as single-member limited liability companies formed solely to hold other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243205</wp:posOffset>
            </wp:positionH>
            <wp:positionV relativeFrom="page">
              <wp:posOffset>88900</wp:posOffset>
            </wp:positionV>
            <wp:extent cx="7160895"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60895" cy="34290"/>
                    </a:xfrm>
                    <a:prstGeom prst="rect">
                      <a:avLst/>
                    </a:prstGeom>
                    <a:noFill/>
                  </pic:spPr>
                </pic:pic>
              </a:graphicData>
            </a:graphic>
          </wp:anchor>
        </w:drawing>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(Nos. 333-89072, 333-125484 and 333-189437) on Forms S-8 of Independent Bank Corporation of our report dated March 7, 2018 with respect to the consolidated financial statements and effectiveness of internal control over financial reporting, appearing in this Annual Report on Form 10-K for the year ended December 31, 2017.</w:t>
      </w:r>
    </w:p>
    <w:p>
      <w:pPr>
        <w:spacing w:after="0" w:line="20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Crowe Horwath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74"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8"/>
          <w:szCs w:val="18"/>
          <w:color w:val="auto"/>
        </w:rPr>
        <w:t>15.15(f)) for the registrant and have:</w:t>
      </w:r>
    </w:p>
    <w:p>
      <w:pPr>
        <w:spacing w:after="0" w:line="237"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2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William B. Kessel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74"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8"/>
          <w:szCs w:val="18"/>
          <w:color w:val="auto"/>
        </w:rPr>
        <w:t>15.15(f)) for the registrant and have:</w:t>
      </w:r>
    </w:p>
    <w:p>
      <w:pPr>
        <w:spacing w:after="0" w:line="237"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2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N. Shuster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45"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I, William B. Kessel, President and Chief Executive Officer of Independent Bank Corporation, certify pursuant to Section 906 of the Sarbanes-Oxley Act of 2002 that:</w:t>
      </w:r>
    </w:p>
    <w:p>
      <w:pPr>
        <w:spacing w:after="0" w:line="207" w:lineRule="exact"/>
        <w:rPr>
          <w:sz w:val="20"/>
          <w:szCs w:val="20"/>
          <w:color w:val="auto"/>
        </w:rPr>
      </w:pPr>
    </w:p>
    <w:p>
      <w:pPr>
        <w:ind w:left="6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2017, fairly presents, in all material respects, the financial condition and results of operations of Independent Bank Corporation.</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B. Kessel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I, Robert N. Shuster, Chief Financial Officer of Independent Bank Corporation,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that:</w:t>
      </w:r>
    </w:p>
    <w:p>
      <w:pPr>
        <w:spacing w:after="0" w:line="222" w:lineRule="exact"/>
        <w:rPr>
          <w:sz w:val="20"/>
          <w:szCs w:val="20"/>
          <w:color w:val="auto"/>
        </w:rPr>
      </w:pPr>
    </w:p>
    <w:p>
      <w:pPr>
        <w:ind w:left="66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2017, fairly presents, in all material respects, the financial condition and results of operations of Independent Bank Corporation.</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Robert N. Shuster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upperLetter"/>
      <w:start w:val="9"/>
    </w:lvl>
    <w:lvl w:ilvl="1">
      <w:lvlJc w:val="left"/>
      <w:lvlText w:val="(%2)"/>
      <w:numFmt w:val="upperLetter"/>
      <w:start w:val="2"/>
    </w:lvl>
  </w:abstractNum>
  <w:abstractNum w:abstractNumId="3">
    <w:nsid w:val="7C3DBD3D"/>
    <w:multiLevelType w:val="hybridMultilevel"/>
    <w:lvl w:ilvl="0">
      <w:lvlJc w:val="left"/>
      <w:lvlText w:val="%1."/>
      <w:numFmt w:val="upperLetter"/>
      <w:start w:val="35"/>
    </w:lvl>
    <w:lvl w:ilvl="1">
      <w:lvlJc w:val="left"/>
      <w:lvlText w:val="(%2)"/>
      <w:numFmt w:val="upperLetter"/>
      <w:start w:val="1"/>
    </w:lvl>
  </w:abstractNum>
  <w:abstractNum w:abstractNumId="4">
    <w:nsid w:val="737B8DDC"/>
    <w:multiLevelType w:val="hybridMultilevel"/>
    <w:lvl w:ilvl="0">
      <w:lvlJc w:val="left"/>
      <w:lvlText w:val="%1."/>
      <w:numFmt w:val="upperLetter"/>
      <w:start w:val="61"/>
    </w:lvl>
    <w:lvl w:ilvl="1">
      <w:lvlJc w:val="left"/>
      <w:lvlText w:val="(%2)"/>
      <w:numFmt w:val="upperLetter"/>
      <w:start w:val="1"/>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lowerLetter"/>
      <w:start w:val="3"/>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upperLetter"/>
      <w:start w:val="2"/>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upperLetter"/>
      <w:start w:val="22"/>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decimal"/>
      <w:start w:val="2"/>
    </w:lvl>
  </w:abstractNum>
  <w:abstractNum w:abstractNumId="17">
    <w:nsid w:val="5C482A97"/>
    <w:multiLevelType w:val="hybridMultilevel"/>
    <w:lvl w:ilvl="0">
      <w:lvlJc w:val="left"/>
      <w:lvlText w:val="%1"/>
      <w:numFmt w:val="decimal"/>
      <w:start w:val="13"/>
    </w:lvl>
  </w:abstractNum>
  <w:abstractNum w:abstractNumId="18">
    <w:nsid w:val="2463B9EA"/>
    <w:multiLevelType w:val="hybridMultilevel"/>
    <w:lvl w:ilvl="0">
      <w:lvlJc w:val="left"/>
      <w:lvlText w:val="%1"/>
      <w:numFmt w:val="decimal"/>
      <w:start w:val="21"/>
    </w:lvl>
  </w:abstractNum>
  <w:abstractNum w:abstractNumId="19">
    <w:nsid w:val="5E884ADC"/>
    <w:multiLevelType w:val="hybridMultilevel"/>
    <w:lvl w:ilvl="0">
      <w:lvlJc w:val="left"/>
      <w:lvlText w:val="%1"/>
      <w:numFmt w:val="decimal"/>
      <w:start w:val="23"/>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endash "/>
      <w:numFmt w:val="bullet"/>
      <w:start w:val="1"/>
    </w:lvl>
  </w:abstractNum>
  <w:abstractNum w:abstractNumId="30">
    <w:nsid w:val="2CD89A32"/>
    <w:multiLevelType w:val="hybridMultilevel"/>
    <w:lvl w:ilvl="0">
      <w:lvlJc w:val="left"/>
      <w:lvlText w:val="(%1)"/>
      <w:numFmt w:val="lowerRoman"/>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
      <w:numFmt w:val="bullet"/>
      <w:start w:val="1"/>
    </w:lvl>
    <w:lvl w:ilvl="1">
      <w:lvlJc w:val="left"/>
      <w:lvlText w:val="\emdash "/>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jpe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jpe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51" Type="http://schemas.openxmlformats.org/officeDocument/2006/relationships/hyperlink" Target="http://www.sec.gov/Archives/edgar/data/39311/000114036117040856/ex3_1.htm" TargetMode="External"/><Relationship Id="rId52" Type="http://schemas.openxmlformats.org/officeDocument/2006/relationships/hyperlink" Target="http://www.sec.gov/Archives/edgar/data/39311/000156761917000394/h10041717x1_ex3-2.htm" TargetMode="External"/><Relationship Id="rId53" Type="http://schemas.openxmlformats.org/officeDocument/2006/relationships/hyperlink" Target="http://www.sec.gov/Archives/edgar/data/39311/000114036117047794/s002003x1_ex10-3.htm" TargetMode="External"/><Relationship Id="rId54" Type="http://schemas.openxmlformats.org/officeDocument/2006/relationships/hyperlink" Target="http://www.sec.gov/Archives/edgar/data/39311/000114036117047794/s002003x1_ex10-4.htm" TargetMode="External"/><Relationship Id="rId55" Type="http://schemas.openxmlformats.org/officeDocument/2006/relationships/hyperlink" Target="http://www.sec.gov/Archives/edgar/data/39311/000156761917000395/h10041940x1_def14a.htm#tAPPA" TargetMode="External"/><Relationship Id="rId56" Type="http://schemas.openxmlformats.org/officeDocument/2006/relationships/hyperlink" Target="http://www.sec.gov/Archives/edgar/data/39311/000114036111015619/ex10_2.htm" TargetMode="External"/><Relationship Id="rId57" Type="http://schemas.openxmlformats.org/officeDocument/2006/relationships/hyperlink" Target="http://www.sec.gov/Archives/edgar/data/39311/000114036112015122/ex10_1.htm" TargetMode="External"/><Relationship Id="rId58" Type="http://schemas.openxmlformats.org/officeDocument/2006/relationships/hyperlink" Target="http://www.sec.gov/Archives/edgar/data/39311/000114036111026023/ex10_2.htm" TargetMode="External"/><Relationship Id="rId59" Type="http://schemas.openxmlformats.org/officeDocument/2006/relationships/hyperlink" Target="http://www.sec.gov/Archives/edgar/data/39311/000114036114011558/ex10_12.htm" TargetMode="External"/><Relationship Id="rId60" Type="http://schemas.openxmlformats.org/officeDocument/2006/relationships/hyperlink" Target="http://www.sec.gov/Archives/edgar/data/39311/000156761915000219/s000723x1_ex10-10.htm" TargetMode="External"/><Relationship Id="rId61" Type="http://schemas.openxmlformats.org/officeDocument/2006/relationships/hyperlink" Target="http://www.sec.gov/Archives/edgar/data/39311/000114036117044917/ex2_1.htm" TargetMode="External"/><Relationship Id="rId62" Type="http://schemas.openxmlformats.org/officeDocument/2006/relationships/hyperlink" Target="http://www.sec.gov/Archives/edgar/data/39311/000114036117044917/ex10_1.htm" TargetMode="External"/><Relationship Id="rId63" Type="http://schemas.openxmlformats.org/officeDocument/2006/relationships/hyperlink" Target="http://www.sec.gov/Archives/edgar/data/39311/000114036117044917/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2020-01-14T16:55:26Z</dcterms:created>
  <dcterms:modified xsi:type="dcterms:W3CDTF">2020-01-14T16:55:26Z</dcterms:modified>
</cp:coreProperties>
</file>