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2018</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7080" w:type="dxa"/>
            <w:vAlign w:val="bottom"/>
            <w:gridSpan w:val="3"/>
          </w:tcPr>
          <w:p>
            <w:pPr>
              <w:jc w:val="center"/>
              <w:ind w:right="1460"/>
              <w:spacing w:after="0"/>
              <w:rPr>
                <w:sz w:val="20"/>
                <w:szCs w:val="20"/>
                <w:color w:val="auto"/>
              </w:rPr>
            </w:pPr>
            <w:r>
              <w:rPr>
                <w:rFonts w:ascii="Arial" w:cs="Arial" w:eastAsia="Arial" w:hAnsi="Arial"/>
                <w:sz w:val="18"/>
                <w:szCs w:val="18"/>
                <w:color w:val="auto"/>
                <w:w w:val="97"/>
              </w:rPr>
              <w:t>Michigan</w:t>
            </w:r>
          </w:p>
        </w:tc>
        <w:tc>
          <w:tcPr>
            <w:tcW w:w="434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7080" w:type="dxa"/>
            <w:vAlign w:val="bottom"/>
            <w:gridSpan w:val="3"/>
          </w:tcPr>
          <w:p>
            <w:pPr>
              <w:ind w:left="3840"/>
              <w:spacing w:after="0"/>
              <w:rPr>
                <w:sz w:val="20"/>
                <w:szCs w:val="20"/>
                <w:color w:val="auto"/>
              </w:rPr>
            </w:pPr>
            <w:r>
              <w:rPr>
                <w:rFonts w:ascii="Arial" w:cs="Arial" w:eastAsia="Arial" w:hAnsi="Arial"/>
                <w:sz w:val="18"/>
                <w:szCs w:val="18"/>
                <w:color w:val="auto"/>
                <w:w w:val="92"/>
              </w:rPr>
              <w:t>4200 East Beltline, Grand Rapids, Michigan</w:t>
            </w:r>
          </w:p>
        </w:tc>
        <w:tc>
          <w:tcPr>
            <w:tcW w:w="4340" w:type="dxa"/>
            <w:vAlign w:val="bottom"/>
          </w:tcPr>
          <w:p>
            <w:pPr>
              <w:jc w:val="right"/>
              <w:ind w:right="3750"/>
              <w:spacing w:after="0"/>
              <w:rPr>
                <w:sz w:val="20"/>
                <w:szCs w:val="20"/>
                <w:color w:val="auto"/>
              </w:rPr>
            </w:pPr>
            <w:r>
              <w:rPr>
                <w:rFonts w:ascii="Arial" w:cs="Arial" w:eastAsia="Arial" w:hAnsi="Arial"/>
                <w:sz w:val="18"/>
                <w:szCs w:val="18"/>
                <w:color w:val="auto"/>
                <w:w w:val="95"/>
              </w:rPr>
              <w:t>49525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spacing w:after="0" w:line="207" w:lineRule="exact"/>
        <w:tabs>
          <w:tab w:leader="none" w:pos="3320" w:val="left"/>
          <w:tab w:leader="none" w:pos="412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3"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1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no par value</w:t>
            </w:r>
          </w:p>
        </w:tc>
        <w:tc>
          <w:tcPr>
            <w:tcW w:w="5600" w:type="dxa"/>
            <w:vAlign w:val="bottom"/>
          </w:tcPr>
          <w:p>
            <w:pPr>
              <w:jc w:val="right"/>
              <w:ind w:right="2310"/>
              <w:spacing w:after="0"/>
              <w:rPr>
                <w:sz w:val="20"/>
                <w:szCs w:val="20"/>
                <w:color w:val="auto"/>
              </w:rPr>
            </w:pPr>
            <w:r>
              <w:rPr>
                <w:rFonts w:ascii="Arial" w:cs="Arial" w:eastAsia="Arial" w:hAnsi="Arial"/>
                <w:sz w:val="18"/>
                <w:szCs w:val="18"/>
                <w:color w:val="auto"/>
              </w:rPr>
              <w:t>24,106,711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Outstanding at May 2, 2018</w:t>
            </w:r>
          </w:p>
        </w:tc>
      </w:tr>
      <w:tr>
        <w:trPr>
          <w:trHeight w:val="337"/>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41"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120" w:type="dxa"/>
            <w:vAlign w:val="bottom"/>
            <w:gridSpan w:val="12"/>
          </w:tcPr>
          <w:p>
            <w:pPr>
              <w:jc w:val="center"/>
              <w:ind w:right="2020"/>
              <w:spacing w:after="0"/>
              <w:rPr>
                <w:sz w:val="20"/>
                <w:szCs w:val="20"/>
                <w:color w:val="auto"/>
              </w:rPr>
            </w:pPr>
            <w:r>
              <w:rPr>
                <w:rFonts w:ascii="Arial" w:cs="Arial" w:eastAsia="Arial" w:hAnsi="Arial"/>
                <w:sz w:val="18"/>
                <w:szCs w:val="18"/>
                <w:color w:val="auto"/>
                <w:w w:val="97"/>
              </w:rPr>
              <w:t>INDEPENDENT BANK CORPORATION AND SUBSIDIARIES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40" w:type="dxa"/>
            <w:vAlign w:val="bottom"/>
            <w:gridSpan w:val="11"/>
          </w:tcPr>
          <w:p>
            <w:pPr>
              <w:jc w:val="center"/>
              <w:ind w:right="428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3"/>
          </w:tcPr>
          <w:p>
            <w:pPr>
              <w:ind w:left="36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 -</w:t>
            </w:r>
          </w:p>
        </w:tc>
        <w:tc>
          <w:tcPr>
            <w:tcW w:w="89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auto"/>
              </w:rPr>
              <w:t>Financial Information</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March 31, 2018 and December 31, 2017</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76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Three-month periods ended March 31, 2018 and 2017</w:t>
              </w:r>
            </w:hyperlink>
          </w:p>
        </w:tc>
        <w:tc>
          <w:tcPr>
            <w:tcW w:w="130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900" w:type="dxa"/>
            <w:vAlign w:val="bottom"/>
            <w:gridSpan w:val="17"/>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Comprehensive Income Three-month periods ended March 31, 2018 and 2017</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Three-month periods ended March 31, 2018 and 2017</w:t>
              </w:r>
            </w:hyperlink>
          </w:p>
        </w:tc>
        <w:tc>
          <w:tcPr>
            <w:tcW w:w="124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900" w:type="dxa"/>
            <w:vAlign w:val="bottom"/>
            <w:gridSpan w:val="17"/>
          </w:tcPr>
          <w:p>
            <w:pPr>
              <w:spacing w:after="0" w:line="17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Shareholders' Equity Three-month periods ended March 31, 2018 and 2017</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Interim Condensed Consolidated Financial Statements</w:t>
              </w:r>
            </w:hyperlink>
          </w:p>
        </w:tc>
        <w:tc>
          <w:tcPr>
            <w:tcW w:w="432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1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55-77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Quantitative and Qualitative Disclosures about Market Risk</w:t>
              </w:r>
            </w:hyperlink>
          </w:p>
        </w:tc>
        <w:tc>
          <w:tcPr>
            <w:tcW w:w="458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8900" w:type="dxa"/>
            <w:vAlign w:val="bottom"/>
            <w:gridSpan w:val="1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PART II -</w:t>
            </w:r>
          </w:p>
        </w:tc>
        <w:tc>
          <w:tcPr>
            <w:tcW w:w="8900" w:type="dxa"/>
            <w:vAlign w:val="bottom"/>
            <w:gridSpan w:val="17"/>
          </w:tcPr>
          <w:p>
            <w:pPr>
              <w:spacing w:after="0" w:line="176" w:lineRule="exact"/>
              <w:rPr>
                <w:sz w:val="20"/>
                <w:szCs w:val="20"/>
                <w:color w:val="auto"/>
              </w:rPr>
            </w:pPr>
            <w:r>
              <w:rPr>
                <w:rFonts w:ascii="Arial" w:cs="Arial" w:eastAsia="Arial" w:hAnsi="Arial"/>
                <w:sz w:val="18"/>
                <w:szCs w:val="18"/>
                <w:color w:val="auto"/>
              </w:rPr>
              <w:t>Other Information</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Risk Factors</w:t>
              </w:r>
            </w:hyperlink>
          </w:p>
        </w:tc>
        <w:tc>
          <w:tcPr>
            <w:tcW w:w="7980" w:type="dxa"/>
            <w:vAlign w:val="bottom"/>
            <w:tcBorders>
              <w:bottom w:val="single" w:sz="8" w:color="CCEEFF"/>
            </w:tcBorders>
            <w:gridSpan w:val="15"/>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17"/>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00" w:type="dxa"/>
            <w:vAlign w:val="bottom"/>
            <w:gridSpan w:val="17"/>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7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list provides examples of factors that could affect the results described by forward-looking statements contained in this report, but the list is not intended to be all-inclusive.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factors that may cause actual results to differ from expectations regarding the April 1, 2018 acquisition of TCSB Bancorp, Inc. include, but are not limited to, the reaction to the transaction of the companies’ customers, employees and counterparties; customer disintermediation; inflation; expected synergies, cost savings and other financial benefits of the transaction might not be realized within the expected timeframes or might be less than projected; credit and interest rate risks associated with the parties' respective businesses, customers, borrowings, repayment, investment, and deposit practices; general economic conditions, either nationally or in the market areas in which the parties operate or anticipate doing business, are less favorable than expected; new regulatory or legal requirements or obligations; and other risks.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risk factors disclosed in Part I – Item 1A of our Annual Report on Form 10-K for the year ended December 31, 2017,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1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180" w:type="dxa"/>
            <w:vAlign w:val="bottom"/>
            <w:gridSpan w:val="3"/>
          </w:tcPr>
          <w:p>
            <w:pPr>
              <w:spacing w:after="0"/>
              <w:rPr>
                <w:sz w:val="20"/>
                <w:szCs w:val="20"/>
                <w:color w:val="auto"/>
              </w:rPr>
            </w:pPr>
            <w:r>
              <w:rPr>
                <w:rFonts w:ascii="Arial" w:cs="Arial" w:eastAsia="Arial" w:hAnsi="Arial"/>
                <w:sz w:val="18"/>
                <w:szCs w:val="18"/>
                <w:color w:val="auto"/>
              </w:rPr>
              <w:t>Part I - Item 1.</w:t>
            </w:r>
          </w:p>
        </w:tc>
        <w:tc>
          <w:tcPr>
            <w:tcW w:w="5580" w:type="dxa"/>
            <w:vAlign w:val="bottom"/>
            <w:gridSpan w:val="3"/>
          </w:tcPr>
          <w:p>
            <w:pPr>
              <w:jc w:val="right"/>
              <w:ind w:right="550"/>
              <w:spacing w:after="0"/>
              <w:rPr>
                <w:sz w:val="20"/>
                <w:szCs w:val="20"/>
                <w:color w:val="auto"/>
              </w:rPr>
            </w:pPr>
            <w:r>
              <w:rPr>
                <w:rFonts w:ascii="Arial" w:cs="Arial" w:eastAsia="Arial" w:hAnsi="Arial"/>
                <w:sz w:val="18"/>
                <w:szCs w:val="18"/>
                <w:color w:val="auto"/>
                <w:w w:val="99"/>
              </w:rPr>
              <w:t>INDEPENDENT BANK CORPORATION AND SUBSIDIARIES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580" w:type="dxa"/>
            <w:vAlign w:val="bottom"/>
            <w:gridSpan w:val="3"/>
          </w:tcPr>
          <w:p>
            <w:pPr>
              <w:jc w:val="right"/>
              <w:ind w:right="810"/>
              <w:spacing w:after="0" w:line="190" w:lineRule="exact"/>
              <w:rPr>
                <w:sz w:val="20"/>
                <w:szCs w:val="20"/>
                <w:color w:val="auto"/>
              </w:rPr>
            </w:pPr>
            <w:r>
              <w:rPr>
                <w:rFonts w:ascii="Arial" w:cs="Arial" w:eastAsia="Arial" w:hAnsi="Arial"/>
                <w:sz w:val="18"/>
                <w:szCs w:val="18"/>
                <w:color w:val="auto"/>
                <w:w w:val="97"/>
              </w:rPr>
              <w:t>Condensed Consolidated Statements of Financial Condition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center"/>
              <w:ind w:right="7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Loans held for sale, carried at fair value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Loans</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849,530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38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2,018,817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38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Net Loans</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2,048,364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1,996,230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real estate and repossessed assets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Capitalized mortgage loan servicing rights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38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2,793,119</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2,789,355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774,046</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Savings and interest-bearing checking</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Reciprocal</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Brokered time</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Total Deposits</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2,525,202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2,524,422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5"/>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no par value, 500,000,000 shares authorized; issued and outstanding: 21,374,816 shares at March 31,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40" w:type="dxa"/>
            <w:vAlign w:val="bottom"/>
            <w:gridSpan w:val="4"/>
            <w:shd w:val="clear" w:color="auto" w:fill="CCEEFF"/>
          </w:tcPr>
          <w:p>
            <w:pPr>
              <w:jc w:val="right"/>
              <w:ind w:right="4690"/>
              <w:spacing w:after="0"/>
              <w:rPr>
                <w:sz w:val="20"/>
                <w:szCs w:val="20"/>
                <w:color w:val="auto"/>
              </w:rPr>
            </w:pPr>
            <w:r>
              <w:rPr>
                <w:rFonts w:ascii="Arial" w:cs="Arial" w:eastAsia="Arial" w:hAnsi="Arial"/>
                <w:sz w:val="18"/>
                <w:szCs w:val="18"/>
                <w:color w:val="auto"/>
                <w:w w:val="88"/>
              </w:rPr>
              <w:t>2018 and 21,333,869 shares at December 31, 2017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(48,098)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Accumulated other comprehensive loss</w:t>
            </w:r>
          </w:p>
        </w:tc>
        <w:tc>
          <w:tcPr>
            <w:tcW w:w="38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8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5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Total Shareholders’ Equity</w:t>
            </w: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267,917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Total Liabilities and Shareholders’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2,793,119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2,789,355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7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380" w:type="dxa"/>
            <w:vAlign w:val="bottom"/>
            <w:gridSpan w:val="3"/>
          </w:tcPr>
          <w:p>
            <w:pPr>
              <w:jc w:val="right"/>
              <w:ind w:right="490"/>
              <w:spacing w:after="0"/>
              <w:rPr>
                <w:sz w:val="20"/>
                <w:szCs w:val="20"/>
                <w:color w:val="auto"/>
              </w:rPr>
            </w:pPr>
            <w:r>
              <w:rPr>
                <w:rFonts w:ascii="Arial" w:cs="Arial" w:eastAsia="Arial" w:hAnsi="Arial"/>
                <w:sz w:val="18"/>
                <w:szCs w:val="18"/>
                <w:color w:val="auto"/>
              </w:rPr>
              <w:t>INDEPENDENT BANK CORPORATION AND SUBSIDIARIES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380" w:type="dxa"/>
            <w:vAlign w:val="bottom"/>
            <w:gridSpan w:val="3"/>
          </w:tcPr>
          <w:p>
            <w:pPr>
              <w:jc w:val="right"/>
              <w:ind w:right="1070"/>
              <w:spacing w:after="0" w:line="190" w:lineRule="exact"/>
              <w:rPr>
                <w:sz w:val="20"/>
                <w:szCs w:val="20"/>
                <w:color w:val="auto"/>
              </w:rPr>
            </w:pPr>
            <w:r>
              <w:rPr>
                <w:rFonts w:ascii="Arial" w:cs="Arial" w:eastAsia="Arial" w:hAnsi="Arial"/>
                <w:sz w:val="18"/>
                <w:szCs w:val="18"/>
                <w:color w:val="auto"/>
              </w:rPr>
              <w:t>Condensed Consolidated Statements of Operations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2"/>
              </w:rPr>
              <w:t>(unaudited)</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170"/>
              <w:spacing w:after="0" w:line="201" w:lineRule="exact"/>
              <w:rPr>
                <w:sz w:val="20"/>
                <w:szCs w:val="20"/>
                <w:color w:val="auto"/>
              </w:rPr>
            </w:pPr>
            <w:r>
              <w:rPr>
                <w:rFonts w:ascii="Arial" w:cs="Arial" w:eastAsia="Arial" w:hAnsi="Arial"/>
                <w:sz w:val="18"/>
                <w:szCs w:val="18"/>
                <w:color w:val="auto"/>
                <w:w w:val="88"/>
              </w:rPr>
              <w:t>(In thousands, except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320"/>
              <w:spacing w:after="0"/>
              <w:rPr>
                <w:sz w:val="20"/>
                <w:szCs w:val="20"/>
                <w:color w:val="auto"/>
              </w:rPr>
            </w:pPr>
            <w:r>
              <w:rPr>
                <w:rFonts w:ascii="Arial" w:cs="Arial" w:eastAsia="Arial" w:hAnsi="Arial"/>
                <w:sz w:val="18"/>
                <w:szCs w:val="18"/>
                <w:color w:val="auto"/>
                <w:w w:val="87"/>
              </w:rPr>
              <w:t>per share amounts)</w:t>
            </w:r>
          </w:p>
        </w:tc>
        <w:tc>
          <w:tcPr>
            <w:tcW w:w="0" w:type="dxa"/>
            <w:vAlign w:val="bottom"/>
          </w:tcPr>
          <w:p>
            <w:pPr>
              <w:spacing w:after="0"/>
              <w:rPr>
                <w:sz w:val="1"/>
                <w:szCs w:val="1"/>
                <w:color w:val="auto"/>
              </w:rPr>
            </w:pPr>
          </w:p>
        </w:tc>
      </w:tr>
      <w:tr>
        <w:trPr>
          <w:trHeight w:val="216"/>
        </w:trPr>
        <w:tc>
          <w:tcPr>
            <w:tcW w:w="870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23,353</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Interest on securities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3"/>
          </w:tcPr>
          <w:p>
            <w:pPr>
              <w:ind w:left="20"/>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Interchange income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3"/>
          </w:tcPr>
          <w:p>
            <w:pPr>
              <w:ind w:left="2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Loan and collection</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Interchange expense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Merger related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Credit card and bank service fees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20" w:type="dxa"/>
            <w:vAlign w:val="bottom"/>
            <w:gridSpan w:val="2"/>
          </w:tcPr>
          <w:p>
            <w:pPr>
              <w:jc w:val="right"/>
              <w:ind w:right="30"/>
              <w:spacing w:after="0"/>
              <w:rPr>
                <w:sz w:val="20"/>
                <w:szCs w:val="20"/>
                <w:color w:val="auto"/>
              </w:rPr>
            </w:pPr>
            <w:r>
              <w:rPr>
                <w:rFonts w:ascii="Arial" w:cs="Arial" w:eastAsia="Arial" w:hAnsi="Arial"/>
                <w:sz w:val="18"/>
                <w:szCs w:val="18"/>
                <w:color w:val="auto"/>
              </w:rPr>
              <w:t>Income Before Income Tax</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9,161</w:t>
            </w:r>
          </w:p>
        </w:tc>
        <w:tc>
          <w:tcPr>
            <w:tcW w:w="16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Dividends Per Common Share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Declared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4"/>
          </w:tcPr>
          <w:p>
            <w:pPr>
              <w:ind w:left="160"/>
              <w:spacing w:after="0"/>
              <w:rPr>
                <w:sz w:val="20"/>
                <w:szCs w:val="20"/>
                <w:color w:val="auto"/>
              </w:rPr>
            </w:pPr>
            <w:r>
              <w:rPr>
                <w:rFonts w:ascii="Arial" w:cs="Arial" w:eastAsia="Arial" w:hAnsi="Arial"/>
                <w:sz w:val="18"/>
                <w:szCs w:val="18"/>
                <w:color w:val="auto"/>
              </w:rPr>
              <w:t>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7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40" w:type="dxa"/>
            <w:vAlign w:val="bottom"/>
            <w:gridSpan w:val="3"/>
          </w:tcPr>
          <w:p>
            <w:pPr>
              <w:ind w:left="2980"/>
              <w:spacing w:after="0"/>
              <w:rPr>
                <w:sz w:val="20"/>
                <w:szCs w:val="20"/>
                <w:color w:val="auto"/>
              </w:rPr>
            </w:pPr>
            <w:r>
              <w:rPr>
                <w:rFonts w:ascii="Arial" w:cs="Arial" w:eastAsia="Arial" w:hAnsi="Arial"/>
                <w:sz w:val="18"/>
                <w:szCs w:val="18"/>
                <w:color w:val="auto"/>
              </w:rPr>
              <w:t>INDEPENDENT BANK CORPORATION AND SUBSIDIARIES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340" w:type="dxa"/>
            <w:vAlign w:val="bottom"/>
            <w:gridSpan w:val="2"/>
          </w:tcPr>
          <w:p>
            <w:pPr>
              <w:jc w:val="right"/>
              <w:ind w:right="760"/>
              <w:spacing w:after="0" w:line="190" w:lineRule="exact"/>
              <w:rPr>
                <w:sz w:val="20"/>
                <w:szCs w:val="20"/>
                <w:color w:val="auto"/>
              </w:rPr>
            </w:pPr>
            <w:r>
              <w:rPr>
                <w:rFonts w:ascii="Arial" w:cs="Arial" w:eastAsia="Arial" w:hAnsi="Arial"/>
                <w:sz w:val="18"/>
                <w:szCs w:val="18"/>
                <w:color w:val="auto"/>
                <w:w w:val="88"/>
              </w:rPr>
              <w:t>Condensed Consolidated Statements of Comprehensive Income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Other comprehensive income (loss), before tax</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Unrealized gains (losses) arising during period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Change in unrealized gains for which a portion of other than temporary impairment has been recognized in earnings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Reclassification adjustments for (gains) losses included in earnings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Unrealized gains (losses) recognized in other comprehensive income (loss) on securities available for sale</w:t>
            </w: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Unrealized gains (losses)recognized in other comprehensive income (loss) on securities available for sale, net of tax</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4"/>
          </w:tcPr>
          <w:p>
            <w:pPr>
              <w:ind w:left="160"/>
              <w:spacing w:after="0"/>
              <w:rPr>
                <w:sz w:val="20"/>
                <w:szCs w:val="20"/>
                <w:color w:val="auto"/>
              </w:rPr>
            </w:pPr>
            <w:r>
              <w:rPr>
                <w:rFonts w:ascii="Arial" w:cs="Arial" w:eastAsia="Arial" w:hAnsi="Arial"/>
                <w:sz w:val="18"/>
                <w:szCs w:val="18"/>
                <w:color w:val="auto"/>
              </w:rPr>
              <w:t>Derivative instruments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arising during period</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20"/>
              <w:spacing w:after="0"/>
              <w:rPr>
                <w:sz w:val="20"/>
                <w:szCs w:val="20"/>
                <w:color w:val="auto"/>
              </w:rPr>
            </w:pPr>
            <w:r>
              <w:rPr>
                <w:rFonts w:ascii="Arial" w:cs="Arial" w:eastAsia="Arial" w:hAnsi="Arial"/>
                <w:sz w:val="18"/>
                <w:szCs w:val="18"/>
                <w:color w:val="auto"/>
              </w:rPr>
              <w:t>Reclassification adjustment for income recognized in earnings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Unrealized gains recognized in other comprehensive income (loss) on derivative instruments</w:t>
            </w: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Unrealized gains recognized in other comprehensive income (loss) on derivative instruments, net of tax</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340" w:type="dxa"/>
            <w:vAlign w:val="bottom"/>
            <w:gridSpan w:val="2"/>
          </w:tcPr>
          <w:p>
            <w:pPr>
              <w:jc w:val="right"/>
              <w:ind w:right="60"/>
              <w:spacing w:after="0"/>
              <w:rPr>
                <w:sz w:val="20"/>
                <w:szCs w:val="20"/>
                <w:color w:val="auto"/>
              </w:rPr>
            </w:pPr>
            <w:r>
              <w:rPr>
                <w:rFonts w:ascii="Arial" w:cs="Arial" w:eastAsia="Arial" w:hAnsi="Arial"/>
                <w:sz w:val="18"/>
                <w:szCs w:val="18"/>
                <w:color w:val="auto"/>
              </w:rPr>
              <w:t>Other comprehensive income (loss)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Comprehensive income</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700"/>
              <w:spacing w:after="0"/>
              <w:rPr>
                <w:sz w:val="20"/>
                <w:szCs w:val="20"/>
                <w:color w:val="auto"/>
              </w:rPr>
            </w:pPr>
            <w:r>
              <w:rPr>
                <w:rFonts w:ascii="Arial" w:cs="Arial" w:eastAsia="Arial" w:hAnsi="Arial"/>
                <w:sz w:val="18"/>
                <w:szCs w:val="18"/>
                <w:color w:val="auto"/>
              </w:rPr>
              <w:t>INDEPENDENT BANK CORPORATION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gridSpan w:val="3"/>
          </w:tcPr>
          <w:p>
            <w:pPr>
              <w:jc w:val="right"/>
              <w:ind w:right="124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220"/>
              <w:spacing w:after="0"/>
              <w:rPr>
                <w:sz w:val="20"/>
                <w:szCs w:val="20"/>
                <w:color w:val="auto"/>
              </w:rPr>
            </w:pPr>
            <w:r>
              <w:rPr>
                <w:rFonts w:ascii="Arial" w:cs="Arial" w:eastAsia="Arial" w:hAnsi="Arial"/>
                <w:sz w:val="18"/>
                <w:szCs w:val="18"/>
                <w:color w:val="auto"/>
                <w:w w:val="89"/>
              </w:rPr>
              <w:t>Three months ended March 31,</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8"/>
                <w:szCs w:val="18"/>
                <w:color w:val="auto"/>
                <w:w w:val="98"/>
              </w:rPr>
              <w:t>(unaudited - In thousands)</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Disbursements for loans held for sale</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(80,777)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other liabilities held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Deferred loan fees and costs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interest bearing deposits - time</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gains on mortgage loans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(2,571)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(losses) on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(gains) losses on other real estate and repossessed assets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(1,272)</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Decrease in accrued expenses and other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(3,229)</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Total Adjustments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 Used in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50,075</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(45,673)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portfolio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payment plan receivables and other assets held for sale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 From (Used in)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total deposits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37,340</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decrease in other borrowings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From (Used in) Financing Activities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34,805</w:t>
            </w: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83,194</w:t>
            </w: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30"/>
        </w:trPr>
        <w:tc>
          <w:tcPr>
            <w:tcW w:w="20" w:type="dxa"/>
            <w:vAlign w:val="bottom"/>
          </w:tcPr>
          <w:p>
            <w:pPr>
              <w:spacing w:after="0"/>
              <w:rPr>
                <w:sz w:val="20"/>
                <w:szCs w:val="20"/>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6,046</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center"/>
              <w:ind w:left="2190"/>
              <w:spacing w:after="0"/>
              <w:rPr>
                <w:sz w:val="20"/>
                <w:szCs w:val="20"/>
                <w:color w:val="auto"/>
              </w:rPr>
            </w:pPr>
            <w:r>
              <w:rPr>
                <w:rFonts w:ascii="Arial" w:cs="Arial" w:eastAsia="Arial" w:hAnsi="Arial"/>
                <w:sz w:val="18"/>
                <w:szCs w:val="18"/>
                <w:color w:val="auto"/>
                <w:w w:val="97"/>
              </w:rPr>
              <w:t>INDEPENDENT BANK CORPORATION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280" w:type="dxa"/>
            <w:vAlign w:val="bottom"/>
            <w:gridSpan w:val="2"/>
          </w:tcPr>
          <w:p>
            <w:pPr>
              <w:jc w:val="center"/>
              <w:ind w:right="92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267,917</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2017 included in our Annual Report on Form 10-K.</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opinion, the accompanying unaudited condensed consolidated financial statements contain all the adjustments necessary to present fairly our consolidated financial condition as of March 31, 2018 and December 31, 2017, and the results of operations for the three-month periods ended March 31, 2018 and 2017. The results of operations for the three-month period ended March 31, 2018,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valuation of capitalized mortgage loan servicing rights and the valuation of deferred tax assets. Refer to our 2017 Annual Report on Form 10-K for a disclosure of our accounting policies.</w:t>
      </w:r>
    </w:p>
    <w:p>
      <w:pPr>
        <w:spacing w:after="0" w:line="2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While the primary impact will be the recognition of certain operating leases on our Condensed Consolidated Statements of Financial Condition this impact is not expected to be material.</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Independent Bank (the “Bank”) that meets regularly to discuss the implementation of the ASU. We are currently in the process of gathering data and reviewing loss methodologies and have engaged third party resources that will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allowance for loan losses (“AFLL”) to increase under this ASU.</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is effective for us on January 1, 2019, and given our current level of derivatives designated as hedges is not expected to have a material impact on our consolidated operating results or financial condition.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2014-09”).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We adopted this ASU using the modified retrospective approach with no material impact to our accumulated deficit at January 1, 2018. Financial instruments for the most part and related contractual rights and obligations which are the sources of the majority of our operating revenue are excluded from the scope of this amended guidance. Those operating revenue streams that are included in the scope of this amended guidance were not materially impacted. Results for reporting periods beginning after January 1, 2018 are presented under this ASU while prior period amounts continue to be reported in accordance with legacy GAAP. The impact of the adoption of this ASU on our Condensed Consolidated Statements of Operations for the three month period ending March 31, 2018 is summarized in the table below. In addition, see note #17 for further discussion on our accounting policies for operating revenue streams that are included in the scope of this amended guidance.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adoption of ASU 2014-09 on our Condensed Consolidated Statement of Operations for the three months ending March 31, 2018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Under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Impact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As Reported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Legacy GAAP</w:t>
            </w:r>
          </w:p>
        </w:tc>
        <w:tc>
          <w:tcPr>
            <w:tcW w:w="10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ASU 2014-09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 - Interchange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Non-interest expense - interchange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Impact on net income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Represents certain costs charged by payment networks that were previously netted against interchange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 equity investments (except those accounted for under the equity method of accounting, or those that result in consolidation of the investee) to be measured at fair value with changes in fair value recognized in net income, require public business entities to use the exit price notion when measuring the fair value of financial instruments for disclosure purposes, require separate presentation of financial assets and financial liabilities by measurement category and form of financial asset and eliminate the requirement for public business entities to disclose the method(s) and significant assumptions used to estimate the fair value that is required to be disclosed for financial instruments measured at amortized cost. This amended guidance was effective for us on January 1, 2018. The adoption of this of this ASU did not have a material impact on our consolidated operating results or financial condition. As a result of the adoption of this ASU our equity securities previously classified as trading securities are now classified as equity securities at fair value on our March 31, 2018 Condensed Consolidated Statement of Financial Condition. In addition, this amended guidance impacted certain fair value disclosure items (see note #12).</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This new ASU clarifies the definition of a business with the objective of adding guidance to assist entities with evaluating whether transactions should be accounted for as acquisitions (or disposals) of assets or businesses which distinction determines whether goodwill is recorded or not. This amended guidance was effective for us on January 1, 2018, and did not have a material impact on our consolidated operating results or financial condition.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2017-4, “Intangibles – Goodwill and Other (Topic 350), Simplifying the Test for Goodwill Impairment”. This new ASU amends the requirement that entities compare the implied fair value of goodwill with its carrying amount as part of step 2 of the goodwill impairment test. As a result, entities should perform their annual or interim goodwill impairment test by comparing the fair value of a reporting unit with its carrying amount and recognize an impairment if the carrying amount exceeds the reporting unit’s fair value. This amended guidance is effective for us on January 1, 2020 with early application permitted. Due to our pending acquisition (see note #16) and expectations this ASU will be relevant to us in 2018 we elected to adopt this amended guidance as of January 1, 2018. The adoption of this ASU did not have a material impact on our consolidated operating results or financial condition.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This new ASU allows a reclassification from accumulated other comprehensive income to retained earnings for stranded tax effects resulting from the Tax Cuts and Jobs Act. As a result, this amended guidance eliminates the stranded tax effects resulting from the Tax Cuts and Jobs Act and will improve the usefulness of information reported to financial statement users. This amended guidance is effective for us on January 1, 2019, with early application permitted in any period for which financial statements have not yet been issued. We elected to adopt this amended guidance during the fourth quarter of 2017 and it resulted in a $0.04 million reclassification between accumulated other comprehensive loss and accumulated deficit.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Arial" w:cs="Arial" w:eastAsia="Arial" w:hAnsi="Arial"/>
                <w:sz w:val="18"/>
                <w:szCs w:val="18"/>
                <w:color w:val="auto"/>
              </w:rPr>
              <w:t>3.  Securities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20" w:type="dxa"/>
            <w:vAlign w:val="bottom"/>
            <w:gridSpan w:val="4"/>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March 31, 2018</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90,559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41,954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Treasury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174,073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523,520</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522,925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vMerge w:val="restart"/>
          </w:tcPr>
          <w:p>
            <w:pPr>
              <w:jc w:val="right"/>
              <w:ind w:right="214"/>
              <w:spacing w:after="0"/>
              <w:rPr>
                <w:sz w:val="20"/>
                <w:szCs w:val="20"/>
                <w:color w:val="auto"/>
              </w:rPr>
            </w:pPr>
            <w:r>
              <w:rPr>
                <w:rFonts w:ascii="Arial" w:cs="Arial" w:eastAsia="Arial" w:hAnsi="Arial"/>
                <w:sz w:val="14"/>
                <w:szCs w:val="14"/>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13,958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8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subdivisions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8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subdivisions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U.S. Treasury, U.S. agency, U.S. agency residential mortgage-backed securities and U.S. agency commercial mortgage backed securities — at March 31, 2018, we had one U.S. Treasury, 43 U.S. agency, 134 U.S. agency residential mortgage-backed and 18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Private label mortgage backed securities — at March 31, 2018, we had 27 of this type of security whose fair value is less than amortized cost. Unrealized losses are primarily due to credit spread widening and increases in interest rates since their acquisition.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Two private label mortgage-backed securities (included in the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these two securities whose fair value is less than amortized cost. See further discussion below.</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March 31, 2018, we had 103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Obligations of states and political subdivisions — at March 31, 2018, we had 382 municipal securities whose fair value is less than amortized cost. The unrealized losses are primarily due to wider benchmark pricing spreads and increases in interest rates since acquisition. Tax exempt securities have been negatively impacted by lower federal tax rates signed into law in December, 2017.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March 31, 2018, we had 26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March 31, 2018,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of the three securities are rated by two major rating agencies as investment grade while the other one is non-rated. The non-rated issue is a relatively small bank and was never rated. The issuer of this non-rated trust preferred security, which had a total amortized cost of $1.0 million and total fair value of $0.9 million as of March 31, 2018, continues to have satisfactory credit metrics and make interest payments.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March 31, 2018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810"/>
              <w:spacing w:after="0"/>
              <w:rPr>
                <w:sz w:val="20"/>
                <w:szCs w:val="20"/>
                <w:color w:val="auto"/>
              </w:rPr>
            </w:pPr>
            <w:r>
              <w:rPr>
                <w:rFonts w:ascii="Arial" w:cs="Arial" w:eastAsia="Arial" w:hAnsi="Arial"/>
                <w:sz w:val="18"/>
                <w:szCs w:val="18"/>
                <w:color w:val="auto"/>
              </w:rPr>
              <w:t>March 31, 2018</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2017</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Foreign government — at March 31, 2018, we had two foreign government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month periods ended March 31,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three private label mortgage-backed securities had credit related OTTI and are summarized as follows:</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7"/>
              </w:rPr>
              <w:t>Super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88"/>
              </w:rPr>
              <w:t>Senior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Senior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8"/>
              </w:rPr>
              <w:t>Senior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1"/>
              </w:rPr>
              <w:t>Support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Security</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Security</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Security</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30"/>
              <w:spacing w:after="0"/>
              <w:rPr>
                <w:sz w:val="20"/>
                <w:szCs w:val="20"/>
                <w:color w:val="auto"/>
              </w:rPr>
            </w:pPr>
            <w:r>
              <w:rPr>
                <w:rFonts w:ascii="Arial" w:cs="Arial" w:eastAsia="Arial" w:hAnsi="Arial"/>
                <w:sz w:val="18"/>
                <w:szCs w:val="18"/>
                <w:color w:val="auto"/>
                <w:w w:val="71"/>
              </w:rPr>
              <w:t>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Amortized cost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Non-credit unrealized loss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Unrealized gain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Cumulative credit related OTTI</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March 31, 2018.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ind w:left="3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Additions to credit losses on securities for which no previous OTTI was recognized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Increases to credit losses on securities for which OTTI was previously recognized</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w w:val="96"/>
              </w:rPr>
              <w:t>The amortized cost and fair value of securities available for sale at March 31, 2018, by contractual maturity, follow:</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95"/>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27,598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76,940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68,816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52,470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10,218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28,690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90,559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493,561</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Proceeds</w:t>
            </w:r>
          </w:p>
        </w:tc>
        <w:tc>
          <w:tcPr>
            <w:tcW w:w="2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30"/>
        </w:trPr>
        <w:tc>
          <w:tcPr>
            <w:tcW w:w="7440" w:type="dxa"/>
            <w:vAlign w:val="bottom"/>
          </w:tcPr>
          <w:p>
            <w:pPr>
              <w:jc w:val="right"/>
              <w:ind w:right="6990"/>
              <w:spacing w:after="0"/>
              <w:rPr>
                <w:sz w:val="20"/>
                <w:szCs w:val="20"/>
                <w:color w:val="auto"/>
              </w:rPr>
            </w:pPr>
            <w:r>
              <w:rPr>
                <w:rFonts w:ascii="Arial" w:cs="Arial" w:eastAsia="Arial" w:hAnsi="Arial"/>
                <w:sz w:val="18"/>
                <w:szCs w:val="18"/>
                <w:color w:val="auto"/>
                <w:w w:val="84"/>
              </w:rPr>
              <w:t>2017</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6,152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preferred stocks have been classified as equity securities at fair value in our Condensed Consolidated Statement of Financial Condition beginning on January 1, 2018. Previously these preferred stocks were classified as trading securities. See note #2. During the three months ended March 31, 2018 and 2017 we recognized losses on these preferred stocks of $0.154 million and $0.079 million, respectively, that are included in net gains (losses) on securities in the Condensed Consolidated Statements of Operations. These amounts relate to preferred stock still held at each respective period end.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Mortgage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840" w:type="dxa"/>
            <w:vAlign w:val="bottom"/>
            <w:gridSpan w:val="2"/>
            <w:vMerge w:val="restart"/>
          </w:tcPr>
          <w:p>
            <w:pPr>
              <w:jc w:val="right"/>
              <w:ind w:right="3390"/>
              <w:spacing w:after="0"/>
              <w:rPr>
                <w:sz w:val="20"/>
                <w:szCs w:val="20"/>
                <w:color w:val="auto"/>
              </w:rPr>
            </w:pPr>
            <w:r>
              <w:rPr>
                <w:rFonts w:ascii="Arial" w:cs="Arial" w:eastAsia="Arial" w:hAnsi="Arial"/>
                <w:sz w:val="18"/>
                <w:szCs w:val="18"/>
                <w:color w:val="auto"/>
                <w:w w:val="84"/>
              </w:rPr>
              <w:t>2018</w:t>
            </w:r>
          </w:p>
        </w:tc>
        <w:tc>
          <w:tcPr>
            <w:tcW w:w="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8,621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7,629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23,071</w:t>
            </w:r>
          </w:p>
        </w:tc>
        <w:tc>
          <w:tcPr>
            <w:tcW w:w="0" w:type="dxa"/>
            <w:vAlign w:val="bottom"/>
          </w:tcPr>
          <w:p>
            <w:pPr>
              <w:spacing w:after="0"/>
              <w:rPr>
                <w:sz w:val="1"/>
                <w:szCs w:val="1"/>
                <w:color w:val="auto"/>
              </w:rPr>
            </w:pPr>
          </w:p>
        </w:tc>
      </w:tr>
      <w:tr>
        <w:trPr>
          <w:trHeight w:val="21"/>
        </w:trPr>
        <w:tc>
          <w:tcPr>
            <w:tcW w:w="3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5,088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8,109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8,348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51,830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3,891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322,094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859,686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892,226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325,985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857,417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888,910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325,108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2,071,435</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December 31, 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5,725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8,733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7,395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847,140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799,629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855,560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853,260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316,027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w w:val="96"/>
              </w:rPr>
              <w:t>Loans on non-accrual status and past due more than 90 days (“Non-performing Loans”) follow:</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w w:val="88"/>
              </w:rPr>
              <w:t>90+ and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rPr>
              <w:t>Still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Performing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w w:val="94"/>
              </w:rPr>
              <w:t>Accruing</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4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2360" w:type="dxa"/>
            <w:vAlign w:val="bottom"/>
            <w:gridSpan w:val="2"/>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40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400" w:type="dxa"/>
            <w:vAlign w:val="bottom"/>
          </w:tcPr>
          <w:p>
            <w:pPr>
              <w:spacing w:after="0"/>
              <w:rPr>
                <w:sz w:val="18"/>
                <w:szCs w:val="18"/>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4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December 31, 2017</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23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4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3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vMerge w:val="restart"/>
          </w:tcPr>
          <w:p>
            <w:pPr>
              <w:jc w:val="right"/>
              <w:ind w:right="454"/>
              <w:spacing w:after="0"/>
              <w:rPr>
                <w:sz w:val="20"/>
                <w:szCs w:val="20"/>
                <w:color w:val="auto"/>
              </w:rPr>
            </w:pPr>
            <w:r>
              <w:rPr>
                <w:rFonts w:ascii="Arial" w:cs="Arial" w:eastAsia="Arial" w:hAnsi="Arial"/>
                <w:sz w:val="14"/>
                <w:szCs w:val="14"/>
                <w:color w:val="auto"/>
              </w:rPr>
              <w:t>18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51,382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665,487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86,582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59,598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6,190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11,081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2,066,816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2,077,897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88,620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92,737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7,612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12,554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2,012,764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2,025,318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are as follows:</w:t>
            </w: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15"/>
              <w:spacing w:after="0"/>
              <w:rPr>
                <w:sz w:val="20"/>
                <w:szCs w:val="20"/>
                <w:color w:val="auto"/>
              </w:rPr>
            </w:pPr>
            <w:r>
              <w:rPr>
                <w:rFonts w:ascii="Arial" w:cs="Arial" w:eastAsia="Arial" w:hAnsi="Arial"/>
                <w:sz w:val="18"/>
                <w:szCs w:val="18"/>
                <w:color w:val="auto"/>
                <w:w w:val="97"/>
              </w:rPr>
              <w:t>March 31,</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with no allocated allowance</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382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61,261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3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533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3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jc w:val="right"/>
              <w:ind w:right="2956"/>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Impaired loans by class are as follows (1):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1"/>
              </w:rPr>
              <w:t>March 31, 2018</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35,885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37,464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67,289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37,940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15,607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purchased mortgage loans at March 31, 2018 or December 31, 2017.</w:t>
      </w:r>
    </w:p>
    <w:p>
      <w:pPr>
        <w:sectPr>
          <w:pgSz w:w="11900" w:h="16838" w:orient="portrait"/>
          <w:cols w:equalWidth="0" w:num="1">
            <w:col w:w="11420"/>
          </w:cols>
          <w:pgMar w:left="240" w:top="121" w:right="239" w:bottom="21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14"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Average recorded investment in and interest income earned on impaired loans by class for the three month periods ending March 31, follows (1):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purchased mortgage loans during the three month periods ended March 31, 2018 and 2017,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1"/>
              </w:rPr>
              <w:t>March 31, 2018</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59,902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Non-performing TDRs(2)</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3,454</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3,729</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55,476</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7"/>
              </w:rPr>
              <w:t>December 31, 2017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52,367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60,115</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Non-performing TDRs(2)</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4,506</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4,829</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loans include mortgage and installment portfolio segments.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allocated $6.3 million and $6.8 million of specific reserves to customers whose loan terms have been modified in troubled debt restructurings as of March 31, 2018 and December 31, 2017,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2018 and 2017,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March 31 follow(1):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2018</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purchased mortgage loans classified as troubled debt restructurings during the three month periods ended March 31, 2018 and 2017, respectively.</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troubled debt restructurings described above for 2018 decreased the allowance for loan losses by $0.03 million and resulted in zero charge offs while the troubled debt restructurings described above for 2017 increased the allowance for loan losses by $0.05 million and resulted in zero charge offs.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troubled debt restructurings that subsequently defaulted within twelve months following the modification during the three months ended March 31, 2018 and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Our doubtful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303,189</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818,394</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31,080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9,773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859,686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288,869</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463,570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2,345</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494,873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822,561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2,198</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color w:val="auto"/>
              </w:rPr>
              <w:t>Mortgage (1)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15"/>
              <w:spacing w:after="0" w:line="201" w:lineRule="exact"/>
              <w:rPr>
                <w:sz w:val="20"/>
                <w:szCs w:val="20"/>
                <w:color w:val="auto"/>
              </w:rPr>
            </w:pPr>
            <w:r>
              <w:rPr>
                <w:rFonts w:ascii="Arial" w:cs="Arial" w:eastAsia="Arial" w:hAnsi="Arial"/>
                <w:sz w:val="18"/>
                <w:szCs w:val="18"/>
                <w:color w:val="auto"/>
                <w:w w:val="91"/>
              </w:rPr>
              <w:t>Home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Resort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15"/>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Purchased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1-4 Family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1st Lien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2nd Lien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3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6,990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7,862</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279,211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23,504</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17,462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8,177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7,336</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672,741</w:t>
            </w:r>
          </w:p>
        </w:tc>
        <w:tc>
          <w:tcPr>
            <w:tcW w:w="20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87,429</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96" w:lineRule="exact"/>
              <w:rPr>
                <w:sz w:val="20"/>
                <w:szCs w:val="20"/>
                <w:color w:val="auto"/>
              </w:rPr>
            </w:pPr>
            <w:r>
              <w:rPr>
                <w:rFonts w:ascii="Arial" w:cs="Arial" w:eastAsia="Arial" w:hAnsi="Arial"/>
                <w:sz w:val="18"/>
                <w:szCs w:val="18"/>
                <w:color w:val="auto"/>
              </w:rPr>
              <w:t>37,825</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60,487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33,744</w:t>
            </w:r>
          </w:p>
        </w:tc>
        <w:tc>
          <w:tcPr>
            <w:tcW w:w="36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892,226</w:t>
            </w:r>
          </w:p>
        </w:tc>
        <w:tc>
          <w:tcPr>
            <w:tcW w:w="0" w:type="dxa"/>
            <w:vAlign w:val="bottom"/>
          </w:tcPr>
          <w:p>
            <w:pPr>
              <w:spacing w:after="0"/>
              <w:rPr>
                <w:sz w:val="1"/>
                <w:szCs w:val="1"/>
                <w:color w:val="auto"/>
              </w:rPr>
            </w:pPr>
          </w:p>
        </w:tc>
      </w:tr>
      <w:tr>
        <w:trPr>
          <w:trHeight w:val="21"/>
        </w:trPr>
        <w:tc>
          <w:tcPr>
            <w:tcW w:w="33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70,540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6,169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7,983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16,561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15,012</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633,122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852,808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2,361</w:t>
            </w:r>
          </w:p>
        </w:tc>
        <w:tc>
          <w:tcPr>
            <w:tcW w:w="20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371</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96" w:lineRule="exact"/>
              <w:rPr>
                <w:sz w:val="20"/>
                <w:szCs w:val="20"/>
                <w:color w:val="auto"/>
              </w:rPr>
            </w:pPr>
            <w:r>
              <w:rPr>
                <w:rFonts w:ascii="Arial" w:cs="Arial" w:eastAsia="Arial" w:hAnsi="Arial"/>
                <w:sz w:val="18"/>
                <w:szCs w:val="18"/>
                <w:color w:val="auto"/>
              </w:rPr>
              <w:t>157</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95</w:t>
            </w:r>
          </w:p>
        </w:tc>
        <w:tc>
          <w:tcPr>
            <w:tcW w:w="36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1"/>
              </w:rPr>
              <w:t>Home</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Recreational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Vehicle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1st Lien</w:t>
            </w:r>
          </w:p>
        </w:tc>
        <w:tc>
          <w:tcPr>
            <w:tcW w:w="1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2nd Lien</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Boat Lending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Lending</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1,739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56,527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1,679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4,178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8,821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8,868</w:t>
            </w:r>
          </w:p>
        </w:tc>
        <w:tc>
          <w:tcPr>
            <w:tcW w:w="220" w:type="dxa"/>
            <w:vAlign w:val="bottom"/>
          </w:tcPr>
          <w:p>
            <w:pPr>
              <w:spacing w:after="0"/>
              <w:rPr>
                <w:sz w:val="18"/>
                <w:szCs w:val="18"/>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134,613</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98,557</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75,126</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325,985</w:t>
            </w:r>
          </w:p>
        </w:tc>
        <w:tc>
          <w:tcPr>
            <w:tcW w:w="0" w:type="dxa"/>
            <w:vAlign w:val="bottom"/>
          </w:tcPr>
          <w:p>
            <w:pPr>
              <w:spacing w:after="0"/>
              <w:rPr>
                <w:sz w:val="1"/>
                <w:szCs w:val="1"/>
                <w:color w:val="auto"/>
              </w:rPr>
            </w:pPr>
          </w:p>
        </w:tc>
      </w:tr>
      <w:tr>
        <w:trPr>
          <w:trHeight w:val="21"/>
        </w:trPr>
        <w:tc>
          <w:tcPr>
            <w:tcW w:w="3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16,754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17,993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9,455</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9,471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129,972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92,810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316,950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346</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254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241</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$1.5 million and $1.6 million at March 31, 2018 and December 31, 2017, respectively. Retail mortgage loans secured by residential real estate properties for which formal foreclosure proceedings are in process according to local requirements totaled $0.4 million and $0.8 million at March 31, 2018 and December 31, 2017,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we sold $16.5 million of single-family residential fixed and adjustable rate mortgage loans servicing retained to another financial institution and recognized a gain on sale of $0.05 million. These mortgage loans were all on properties located in Ohio, had a weighted average interest rate of 3.59% and were sold primarily for asset/liability management purposes.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22, 2018, our Board of Directors authorized a share repurchase plan (the “Repurchase Plan”) to buy back up to 5% of our outstanding common stock through December 31, 2018.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We did not repurchase any shares of common stock during the three months ended March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center"/>
              <w:ind w:right="340"/>
              <w:spacing w:after="0" w:line="201" w:lineRule="exact"/>
              <w:rPr>
                <w:sz w:val="20"/>
                <w:szCs w:val="20"/>
                <w:color w:val="auto"/>
              </w:rPr>
            </w:pPr>
            <w:r>
              <w:rPr>
                <w:rFonts w:ascii="Arial" w:cs="Arial" w:eastAsia="Arial" w:hAnsi="Arial"/>
                <w:sz w:val="18"/>
                <w:szCs w:val="18"/>
                <w:color w:val="auto"/>
                <w:w w:val="89"/>
              </w:rPr>
              <w:t>(In thousands, except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color w:val="auto"/>
                <w:w w:val="86"/>
              </w:rPr>
              <w:t>per share data)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Effect of stock options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Performance share units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for calculation of diluted earnings per share</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the three month periods ended March 31, 2018 and 2017, respectively.</w:t>
      </w:r>
    </w:p>
    <w:p>
      <w:pPr>
        <w:spacing w:after="0" w:line="170"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March 31, 2018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Cash flow hedge designation</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Interest rate cap agreements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 hedge designation</w:t>
            </w:r>
          </w:p>
        </w:tc>
        <w:tc>
          <w:tcPr>
            <w:tcW w:w="2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61,743</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80,449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Pay-variable interest rate swap agreements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281,038</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89"/>
              </w:rPr>
              <w:t>December 31,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Cash flow hedge designation</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Interest rate cap agreements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 hedge designation</w:t>
            </w:r>
          </w:p>
        </w:tc>
        <w:tc>
          <w:tcPr>
            <w:tcW w:w="2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6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56,127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Pay-variable interest rate swap agreements - commercial</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75,990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239,377</w:t>
            </w: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00" w:type="dxa"/>
            <w:vAlign w:val="bottom"/>
          </w:tcPr>
          <w:p>
            <w:pPr>
              <w:jc w:val="right"/>
              <w:ind w:right="1573"/>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variable-rate and short-term fixed-rate (less than 12 months) debt obligations to fund a portion of our balance sheet, which exposes us to variability in interest rates. 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$0.9 million at both March 31, 2018 and December 31, 2017, respectively.</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$0.29 million, of unrealized gains on Cash Flow Hedges at March 31, 2018 will be reclassified to earnings over the next twelve months. To the extent that the Cash Flow Hedges are not effective, the ineffective portion of the Cash Flow Hedges is immediately recognized in interest expense. The maximum term of the Cash Flow Hedge at March 31, 2018 is 3.7 years.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offer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also entered into a pay-variable interest rate swap agreement unrelated to the commercial loan program noted above. While we have not designated this swap agreement as an accounting hedge the use of this hedge has the expectation to turn certain short-term fixed rate debt into short-term variable rate debt. The change in the swap agreement fair value will be recorded in earnings in our Condensed Consolidated Statement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Asset Derivatives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w w:val="97"/>
              </w:rPr>
              <w:t>Liability Derivatives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20" w:type="dxa"/>
            <w:vAlign w:val="bottom"/>
            <w:gridSpan w:val="5"/>
          </w:tcPr>
          <w:p>
            <w:pPr>
              <w:ind w:left="540"/>
              <w:spacing w:after="0" w:line="201" w:lineRule="exact"/>
              <w:rPr>
                <w:sz w:val="20"/>
                <w:szCs w:val="20"/>
                <w:color w:val="auto"/>
              </w:rPr>
            </w:pPr>
            <w:r>
              <w:rPr>
                <w:rFonts w:ascii="Arial" w:cs="Arial" w:eastAsia="Arial" w:hAnsi="Arial"/>
                <w:sz w:val="18"/>
                <w:szCs w:val="18"/>
                <w:color w:val="auto"/>
              </w:rPr>
              <w:t>March 31,</w:t>
            </w:r>
          </w:p>
        </w:tc>
        <w:tc>
          <w:tcPr>
            <w:tcW w:w="1820" w:type="dxa"/>
            <w:vAlign w:val="bottom"/>
            <w:gridSpan w:val="4"/>
          </w:tcPr>
          <w:p>
            <w:pPr>
              <w:jc w:val="right"/>
              <w:ind w:right="31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1960" w:type="dxa"/>
            <w:vAlign w:val="bottom"/>
            <w:gridSpan w:val="5"/>
          </w:tcPr>
          <w:p>
            <w:pPr>
              <w:ind w:left="560"/>
              <w:spacing w:after="0" w:line="201" w:lineRule="exact"/>
              <w:rPr>
                <w:sz w:val="20"/>
                <w:szCs w:val="20"/>
                <w:color w:val="auto"/>
              </w:rPr>
            </w:pPr>
            <w:r>
              <w:rPr>
                <w:rFonts w:ascii="Arial" w:cs="Arial" w:eastAsia="Arial" w:hAnsi="Arial"/>
                <w:sz w:val="18"/>
                <w:szCs w:val="18"/>
                <w:color w:val="auto"/>
              </w:rPr>
              <w:t>March 31,</w:t>
            </w:r>
          </w:p>
        </w:tc>
        <w:tc>
          <w:tcPr>
            <w:tcW w:w="1860" w:type="dxa"/>
            <w:vAlign w:val="bottom"/>
            <w:gridSpan w:val="4"/>
          </w:tcPr>
          <w:p>
            <w:pPr>
              <w:ind w:left="42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89"/>
              </w:rPr>
              <w:t>2018</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89"/>
              </w:rPr>
              <w:t>2017</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94"/>
              </w:rPr>
              <w:t>2018</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99"/>
              </w:rPr>
              <w:t>2017</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20" w:type="dxa"/>
            <w:vAlign w:val="bottom"/>
            <w:gridSpan w:val="3"/>
          </w:tcPr>
          <w:p>
            <w:pPr>
              <w:jc w:val="center"/>
              <w:ind w:right="225"/>
              <w:spacing w:after="0" w:line="201" w:lineRule="exact"/>
              <w:rPr>
                <w:sz w:val="20"/>
                <w:szCs w:val="20"/>
                <w:color w:val="auto"/>
              </w:rPr>
            </w:pPr>
            <w:r>
              <w:rPr>
                <w:rFonts w:ascii="Arial" w:cs="Arial" w:eastAsia="Arial" w:hAnsi="Arial"/>
                <w:sz w:val="18"/>
                <w:szCs w:val="18"/>
                <w:color w:val="auto"/>
                <w:w w:val="89"/>
              </w:rPr>
              <w:t>Balance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Balance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Balance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Balance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gridSpan w:val="3"/>
          </w:tcPr>
          <w:p>
            <w:pPr>
              <w:jc w:val="center"/>
              <w:ind w:right="205"/>
              <w:spacing w:after="0"/>
              <w:rPr>
                <w:sz w:val="20"/>
                <w:szCs w:val="20"/>
                <w:color w:val="auto"/>
              </w:rPr>
            </w:pPr>
            <w:r>
              <w:rPr>
                <w:rFonts w:ascii="Arial" w:cs="Arial" w:eastAsia="Arial" w:hAnsi="Arial"/>
                <w:sz w:val="18"/>
                <w:szCs w:val="18"/>
                <w:color w:val="auto"/>
                <w:w w:val="84"/>
              </w:rPr>
              <w:t>Sheet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Fair</w:t>
            </w:r>
          </w:p>
        </w:tc>
        <w:tc>
          <w:tcPr>
            <w:tcW w:w="1120" w:type="dxa"/>
            <w:vAlign w:val="bottom"/>
            <w:gridSpan w:val="3"/>
          </w:tcPr>
          <w:p>
            <w:pPr>
              <w:jc w:val="center"/>
              <w:ind w:right="205"/>
              <w:spacing w:after="0"/>
              <w:rPr>
                <w:sz w:val="20"/>
                <w:szCs w:val="20"/>
                <w:color w:val="auto"/>
              </w:rPr>
            </w:pPr>
            <w:r>
              <w:rPr>
                <w:rFonts w:ascii="Arial" w:cs="Arial" w:eastAsia="Arial" w:hAnsi="Arial"/>
                <w:sz w:val="18"/>
                <w:szCs w:val="18"/>
                <w:color w:val="auto"/>
                <w:w w:val="84"/>
              </w:rPr>
              <w:t>Sheet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Fair</w:t>
            </w:r>
          </w:p>
        </w:tc>
        <w:tc>
          <w:tcPr>
            <w:tcW w:w="1140" w:type="dxa"/>
            <w:vAlign w:val="bottom"/>
            <w:gridSpan w:val="3"/>
          </w:tcPr>
          <w:p>
            <w:pPr>
              <w:ind w:left="240"/>
              <w:spacing w:after="0"/>
              <w:rPr>
                <w:sz w:val="20"/>
                <w:szCs w:val="20"/>
                <w:color w:val="auto"/>
              </w:rPr>
            </w:pPr>
            <w:r>
              <w:rPr>
                <w:rFonts w:ascii="Arial" w:cs="Arial" w:eastAsia="Arial" w:hAnsi="Arial"/>
                <w:sz w:val="18"/>
                <w:szCs w:val="18"/>
                <w:color w:val="auto"/>
              </w:rPr>
              <w:t>Sheet</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1160" w:type="dxa"/>
            <w:vAlign w:val="bottom"/>
            <w:gridSpan w:val="3"/>
          </w:tcPr>
          <w:p>
            <w:pPr>
              <w:ind w:left="240"/>
              <w:spacing w:after="0"/>
              <w:rPr>
                <w:sz w:val="20"/>
                <w:szCs w:val="20"/>
                <w:color w:val="auto"/>
              </w:rPr>
            </w:pPr>
            <w:r>
              <w:rPr>
                <w:rFonts w:ascii="Arial" w:cs="Arial" w:eastAsia="Arial" w:hAnsi="Arial"/>
                <w:sz w:val="18"/>
                <w:szCs w:val="18"/>
                <w:color w:val="auto"/>
              </w:rPr>
              <w:t>Sheet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Fair</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Value</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Value</w:t>
            </w:r>
          </w:p>
        </w:tc>
        <w:tc>
          <w:tcPr>
            <w:tcW w:w="100" w:type="dxa"/>
            <w:vAlign w:val="bottom"/>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9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660" w:type="dxa"/>
            <w:vAlign w:val="bottom"/>
            <w:gridSpan w:val="2"/>
          </w:tcPr>
          <w:p>
            <w:pPr>
              <w:spacing w:after="0"/>
              <w:rPr>
                <w:sz w:val="20"/>
                <w:szCs w:val="20"/>
                <w:color w:val="auto"/>
              </w:rPr>
            </w:pPr>
            <w:r>
              <w:rPr>
                <w:rFonts w:ascii="Arial" w:cs="Arial" w:eastAsia="Arial" w:hAnsi="Arial"/>
                <w:sz w:val="18"/>
                <w:szCs w:val="18"/>
                <w:color w:val="auto"/>
                <w:w w:val="97"/>
              </w:rPr>
              <w:t>Derivatives designated as hedging instruments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20" w:type="dxa"/>
            <w:vAlign w:val="bottom"/>
            <w:gridSpan w:val="3"/>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Interest rate cap agreements</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976</w:t>
            </w: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89"/>
              </w:rPr>
              <w:t>Derivatives not designated as hedging instruments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20" w:type="dxa"/>
            <w:vAlign w:val="bottom"/>
            <w:gridSpan w:val="3"/>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w w:val="91"/>
              </w:rPr>
              <w:t>Mandatory commitments to sell mortgage loans</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Pay-fixed interest rate swap agreements -</w:t>
            </w:r>
          </w:p>
        </w:tc>
        <w:tc>
          <w:tcPr>
            <w:tcW w:w="1120" w:type="dxa"/>
            <w:vAlign w:val="bottom"/>
            <w:gridSpan w:val="3"/>
            <w:shd w:val="clear" w:color="auto" w:fill="CCEEFF"/>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w w:val="96"/>
              </w:rPr>
              <w:t>Pay-variable interest rate swap agreements -</w:t>
            </w:r>
          </w:p>
        </w:tc>
        <w:tc>
          <w:tcPr>
            <w:tcW w:w="1120" w:type="dxa"/>
            <w:vAlign w:val="bottom"/>
            <w:gridSpan w:val="3"/>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339</w:t>
            </w: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Pay-variable interest rate swap agreements</w:t>
            </w: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20" w:type="dxa"/>
            <w:vAlign w:val="bottom"/>
            <w:gridSpan w:val="3"/>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120" w:type="dxa"/>
            <w:vAlign w:val="bottom"/>
            <w:gridSpan w:val="3"/>
          </w:tcPr>
          <w:p>
            <w:pPr>
              <w:ind w:left="280"/>
              <w:spacing w:after="0"/>
              <w:rPr>
                <w:sz w:val="20"/>
                <w:szCs w:val="20"/>
                <w:color w:val="auto"/>
              </w:rPr>
            </w:pPr>
            <w:r>
              <w:rPr>
                <w:rFonts w:ascii="Arial" w:cs="Arial" w:eastAsia="Arial" w:hAnsi="Arial"/>
                <w:sz w:val="18"/>
                <w:szCs w:val="18"/>
                <w:color w:val="auto"/>
              </w:rPr>
              <w:t>assets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322</w:t>
            </w:r>
          </w:p>
        </w:tc>
        <w:tc>
          <w:tcPr>
            <w:tcW w:w="11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25"/>
              <w:spacing w:after="0" w:line="201" w:lineRule="exact"/>
              <w:rPr>
                <w:sz w:val="20"/>
                <w:szCs w:val="20"/>
                <w:color w:val="auto"/>
              </w:rPr>
            </w:pPr>
            <w:r>
              <w:rPr>
                <w:rFonts w:ascii="Arial" w:cs="Arial" w:eastAsia="Arial" w:hAnsi="Arial"/>
                <w:sz w:val="18"/>
                <w:szCs w:val="18"/>
                <w:color w:val="auto"/>
                <w:w w:val="93"/>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245"/>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2,056</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57"/>
        </w:trPr>
        <w:tc>
          <w:tcPr>
            <w:tcW w:w="20" w:type="dxa"/>
            <w:vAlign w:val="bottom"/>
          </w:tcPr>
          <w:p>
            <w:pPr>
              <w:spacing w:after="0"/>
              <w:rPr>
                <w:sz w:val="22"/>
                <w:szCs w:val="22"/>
                <w:color w:val="auto"/>
              </w:rPr>
            </w:pPr>
          </w:p>
        </w:tc>
        <w:tc>
          <w:tcPr>
            <w:tcW w:w="3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derivatives</w:t>
            </w: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 Periods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5"/>
              </w:rPr>
              <w:t>Location of</w:t>
            </w: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Gain (Loss)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Reclassified</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from</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4"/>
              </w:rPr>
              <w:t>Gain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Accumulated</w:t>
            </w:r>
          </w:p>
        </w:tc>
        <w:tc>
          <w:tcPr>
            <w:tcW w:w="40" w:type="dxa"/>
            <w:vAlign w:val="bottom"/>
          </w:tcPr>
          <w:p>
            <w:pPr>
              <w:spacing w:after="0"/>
              <w:rPr>
                <w:sz w:val="18"/>
                <w:szCs w:val="18"/>
                <w:color w:val="auto"/>
              </w:rPr>
            </w:pPr>
          </w:p>
        </w:tc>
        <w:tc>
          <w:tcPr>
            <w:tcW w:w="1600" w:type="dxa"/>
            <w:vAlign w:val="bottom"/>
            <w:gridSpan w:val="5"/>
          </w:tcPr>
          <w:p>
            <w:pPr>
              <w:jc w:val="center"/>
              <w:ind w:left="10"/>
              <w:spacing w:after="0"/>
              <w:rPr>
                <w:sz w:val="20"/>
                <w:szCs w:val="20"/>
                <w:color w:val="auto"/>
              </w:rPr>
            </w:pPr>
            <w:r>
              <w:rPr>
                <w:rFonts w:ascii="Arial" w:cs="Arial" w:eastAsia="Arial" w:hAnsi="Arial"/>
                <w:sz w:val="18"/>
                <w:szCs w:val="18"/>
                <w:color w:val="auto"/>
                <w:w w:val="92"/>
              </w:rPr>
              <w:t>Gain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1"/>
              </w:rPr>
              <w:t>Recognized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Other</w:t>
            </w:r>
          </w:p>
        </w:tc>
        <w:tc>
          <w:tcPr>
            <w:tcW w:w="40" w:type="dxa"/>
            <w:vAlign w:val="bottom"/>
          </w:tcPr>
          <w:p>
            <w:pPr>
              <w:spacing w:after="0"/>
              <w:rPr>
                <w:sz w:val="18"/>
                <w:szCs w:val="18"/>
                <w:color w:val="auto"/>
              </w:rPr>
            </w:pPr>
          </w:p>
        </w:tc>
        <w:tc>
          <w:tcPr>
            <w:tcW w:w="1600" w:type="dxa"/>
            <w:vAlign w:val="bottom"/>
            <w:gridSpan w:val="5"/>
          </w:tcPr>
          <w:p>
            <w:pPr>
              <w:jc w:val="center"/>
              <w:ind w:left="30"/>
              <w:spacing w:after="0"/>
              <w:rPr>
                <w:sz w:val="20"/>
                <w:szCs w:val="20"/>
                <w:color w:val="auto"/>
              </w:rPr>
            </w:pPr>
            <w:r>
              <w:rPr>
                <w:rFonts w:ascii="Arial" w:cs="Arial" w:eastAsia="Arial" w:hAnsi="Arial"/>
                <w:sz w:val="18"/>
                <w:szCs w:val="18"/>
                <w:color w:val="auto"/>
                <w:w w:val="92"/>
              </w:rPr>
              <w:t>Reclassified from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40" w:type="dxa"/>
            <w:vAlign w:val="bottom"/>
          </w:tcPr>
          <w:p>
            <w:pPr>
              <w:spacing w:after="0"/>
              <w:rPr>
                <w:sz w:val="18"/>
                <w:szCs w:val="18"/>
                <w:color w:val="auto"/>
              </w:rPr>
            </w:pPr>
          </w:p>
        </w:tc>
        <w:tc>
          <w:tcPr>
            <w:tcW w:w="1600" w:type="dxa"/>
            <w:vAlign w:val="bottom"/>
            <w:gridSpan w:val="5"/>
          </w:tcPr>
          <w:p>
            <w:pPr>
              <w:jc w:val="center"/>
              <w:ind w:left="10"/>
              <w:spacing w:after="0"/>
              <w:rPr>
                <w:sz w:val="20"/>
                <w:szCs w:val="20"/>
                <w:color w:val="auto"/>
              </w:rPr>
            </w:pPr>
            <w:r>
              <w:rPr>
                <w:rFonts w:ascii="Arial" w:cs="Arial" w:eastAsia="Arial" w:hAnsi="Arial"/>
                <w:sz w:val="18"/>
                <w:szCs w:val="18"/>
                <w:color w:val="auto"/>
                <w:w w:val="92"/>
              </w:rPr>
              <w:t>Accumulated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Loss into</w:t>
            </w:r>
          </w:p>
        </w:tc>
        <w:tc>
          <w:tcPr>
            <w:tcW w:w="40" w:type="dxa"/>
            <w:vAlign w:val="bottom"/>
          </w:tcPr>
          <w:p>
            <w:pPr>
              <w:spacing w:after="0"/>
              <w:rPr>
                <w:sz w:val="18"/>
                <w:szCs w:val="18"/>
                <w:color w:val="auto"/>
              </w:rPr>
            </w:pPr>
          </w:p>
        </w:tc>
        <w:tc>
          <w:tcPr>
            <w:tcW w:w="1600" w:type="dxa"/>
            <w:vAlign w:val="bottom"/>
            <w:gridSpan w:val="5"/>
          </w:tcPr>
          <w:p>
            <w:pPr>
              <w:jc w:val="center"/>
              <w:ind w:left="30"/>
              <w:spacing w:after="0"/>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Location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Income</w:t>
            </w:r>
          </w:p>
        </w:tc>
        <w:tc>
          <w:tcPr>
            <w:tcW w:w="40" w:type="dxa"/>
            <w:vAlign w:val="bottom"/>
          </w:tcPr>
          <w:p>
            <w:pPr>
              <w:spacing w:after="0"/>
              <w:rPr>
                <w:sz w:val="18"/>
                <w:szCs w:val="18"/>
                <w:color w:val="auto"/>
              </w:rPr>
            </w:pPr>
          </w:p>
        </w:tc>
        <w:tc>
          <w:tcPr>
            <w:tcW w:w="160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Loss into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Gain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(Effective</w:t>
            </w:r>
          </w:p>
        </w:tc>
        <w:tc>
          <w:tcPr>
            <w:tcW w:w="40" w:type="dxa"/>
            <w:vAlign w:val="bottom"/>
          </w:tcPr>
          <w:p>
            <w:pPr>
              <w:spacing w:after="0"/>
              <w:rPr>
                <w:sz w:val="20"/>
                <w:szCs w:val="20"/>
                <w:color w:val="auto"/>
              </w:rPr>
            </w:pPr>
          </w:p>
        </w:tc>
        <w:tc>
          <w:tcPr>
            <w:tcW w:w="1600" w:type="dxa"/>
            <w:vAlign w:val="bottom"/>
            <w:gridSpan w:val="5"/>
          </w:tcPr>
          <w:p>
            <w:pPr>
              <w:jc w:val="center"/>
              <w:ind w:left="30"/>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in Income (1)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(In</w:t>
            </w:r>
          </w:p>
        </w:tc>
        <w:tc>
          <w:tcPr>
            <w:tcW w:w="860" w:type="dxa"/>
            <w:vAlign w:val="bottom"/>
            <w:gridSpan w:val="3"/>
          </w:tcPr>
          <w:p>
            <w:pPr>
              <w:jc w:val="right"/>
              <w:ind w:right="17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40" w:type="dxa"/>
            <w:vAlign w:val="bottom"/>
            <w:gridSpan w:val="2"/>
            <w:shd w:val="clear" w:color="auto" w:fill="CCEEFF"/>
          </w:tcPr>
          <w:p>
            <w:pPr>
              <w:jc w:val="right"/>
              <w:ind w:right="457"/>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Interest expense</w:t>
            </w:r>
          </w:p>
        </w:tc>
        <w:tc>
          <w:tcPr>
            <w:tcW w:w="6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87"/>
              </w:rPr>
              <w:t>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spacing w:after="0"/>
              <w:rPr>
                <w:sz w:val="20"/>
                <w:szCs w:val="20"/>
                <w:color w:val="auto"/>
              </w:rPr>
            </w:pPr>
            <w:r>
              <w:rPr>
                <w:rFonts w:ascii="Arial" w:cs="Arial" w:eastAsia="Arial" w:hAnsi="Arial"/>
                <w:sz w:val="18"/>
                <w:szCs w:val="18"/>
                <w:color w:val="auto"/>
                <w:w w:val="90"/>
              </w:rPr>
              <w:t>Interest expense</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87"/>
              </w:rPr>
              <w:t>Interest expense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5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line="201" w:lineRule="exact"/>
              <w:rPr>
                <w:sz w:val="20"/>
                <w:szCs w:val="20"/>
                <w:color w:val="auto"/>
              </w:rPr>
            </w:pPr>
            <w:r>
              <w:rPr>
                <w:rFonts w:ascii="Arial" w:cs="Arial" w:eastAsia="Arial" w:hAnsi="Arial"/>
                <w:sz w:val="18"/>
                <w:szCs w:val="18"/>
                <w:color w:val="auto"/>
                <w:w w:val="91"/>
              </w:rPr>
              <w:t>Net gains on 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mortage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Net gains on 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mortage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Mandatory commitments to sell mortgage loans</w:t>
            </w: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160"/>
              <w:spacing w:after="0" w:line="201" w:lineRule="exact"/>
              <w:rPr>
                <w:sz w:val="20"/>
                <w:szCs w:val="20"/>
                <w:color w:val="auto"/>
              </w:rPr>
            </w:pPr>
            <w:r>
              <w:rPr>
                <w:rFonts w:ascii="Arial" w:cs="Arial" w:eastAsia="Arial" w:hAnsi="Arial"/>
                <w:sz w:val="18"/>
                <w:szCs w:val="18"/>
                <w:color w:val="auto"/>
              </w:rPr>
              <w:t>Pay-fixed interest rate swap agreements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 commercial</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4"/>
              </w:rPr>
              <w:t>Interest 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Pay-variable interest rate swap agreements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Interest income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w w:val="97"/>
              </w:rPr>
              <w:t>Pay-variable interest rate swap agreements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87"/>
              </w:rPr>
              <w:t>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87"/>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87"/>
              </w:rPr>
              <w:t>Interest expense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4"/>
          </w:tcPr>
          <w:p>
            <w:pPr>
              <w:spacing w:after="0"/>
              <w:rPr>
                <w:sz w:val="20"/>
                <w:szCs w:val="20"/>
                <w:color w:val="auto"/>
              </w:rPr>
            </w:pPr>
            <w:r>
              <w:rPr>
                <w:rFonts w:ascii="Arial" w:cs="Arial" w:eastAsia="Arial" w:hAnsi="Arial"/>
                <w:sz w:val="18"/>
                <w:szCs w:val="18"/>
                <w:color w:val="auto"/>
              </w:rPr>
              <w:t>7. Intangible Assets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80" w:type="dxa"/>
            <w:vAlign w:val="bottom"/>
            <w:gridSpan w:val="4"/>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ind w:right="30"/>
              <w:spacing w:after="0"/>
              <w:rPr>
                <w:sz w:val="20"/>
                <w:szCs w:val="20"/>
                <w:color w:val="auto"/>
              </w:rPr>
            </w:pPr>
            <w:r>
              <w:rPr>
                <w:rFonts w:ascii="Arial" w:cs="Arial" w:eastAsia="Arial" w:hAnsi="Arial"/>
                <w:sz w:val="18"/>
                <w:szCs w:val="18"/>
                <w:color w:val="auto"/>
              </w:rPr>
              <w:t>March 31, 2018</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ind w:left="360"/>
              <w:spacing w:after="0"/>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0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6,118</w:t>
            </w:r>
          </w:p>
        </w:tc>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4,618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360" w:type="dxa"/>
            <w:vAlign w:val="bottom"/>
            <w:gridSpan w:val="8"/>
          </w:tcPr>
          <w:p>
            <w:pPr>
              <w:spacing w:after="0"/>
              <w:rPr>
                <w:sz w:val="20"/>
                <w:szCs w:val="20"/>
                <w:color w:val="auto"/>
              </w:rPr>
            </w:pPr>
            <w:r>
              <w:rPr>
                <w:rFonts w:ascii="Arial" w:cs="Arial" w:eastAsia="Arial" w:hAnsi="Arial"/>
                <w:sz w:val="18"/>
                <w:szCs w:val="18"/>
                <w:color w:val="auto"/>
              </w:rPr>
              <w:t>Amortization of other intangibles has been estimated through 2022 in the following table.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Nine months ending December 31, 2018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2019</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2021</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4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Share 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March 31, 2018. The non-employee director stock purchase plan permits the issuance of additional share based payments for up to 0.2 million shares of common stock as of March 31, 2018. Share based awards and payments are measured at fair value at the date of grant and are expensed over the requisite service period. Common shares issued upon exercise of stock options come from currently authorized but unissued shares.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 periods ended March 31, 2018 and 2017, pursuant to our long-term incentive plan, we granted 0.04 million and 0.05 million shares of restricted stock, respectively and 0.02 million and 0.02 million performance stock units (“PSU”), respectively to certain officers. Except for 0.002 million shares of restricted stock issued in 2018 that vest ratably over three years,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0.002 million shares during each three month period ended March 31, of 2018 and 2017 and expensed their value during those same periods.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expense recognized for grants pursuant to our long-term incentive plan was $0.4 million during each three month period ended March 31, 2018 and 2017. The corresponding tax benefit relating to this expense was $0.1 million for each period. Total expense recognized for non-employee director share based payments was $0.05 million and $0.04 million during the three months ended March 31, 2018 and 2017, respectively. The corresponding tax benefit relating to this expense was $0.01 million for each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the total expected compensation cost related to non-vested restricted stock and PSUs not yet recognized was $3.0 million. The weighted-average period over which this amount will be recognized is 2.3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176,055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March 31, 2018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172,255</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at March 31, 2018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172,255</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3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33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253,869</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2"/>
          </w:tcPr>
          <w:p>
            <w:pPr>
              <w:spacing w:after="0"/>
              <w:rPr>
                <w:sz w:val="20"/>
                <w:szCs w:val="20"/>
                <w:color w:val="auto"/>
              </w:rPr>
            </w:pPr>
            <w:r>
              <w:rPr>
                <w:rFonts w:ascii="Arial" w:cs="Arial" w:eastAsia="Arial" w:hAnsi="Arial"/>
                <w:sz w:val="18"/>
                <w:szCs w:val="18"/>
                <w:color w:val="auto"/>
                <w:w w:val="93"/>
              </w:rPr>
              <w:t>Certain information regarding options exercised during the periods follows:</w:t>
            </w: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40" w:type="dxa"/>
            <w:vAlign w:val="bottom"/>
            <w:gridSpan w:val="4"/>
          </w:tcPr>
          <w:p>
            <w:pPr>
              <w:jc w:val="right"/>
              <w:ind w:right="65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3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proceeds received</w:t>
            </w:r>
          </w:p>
        </w:tc>
        <w:tc>
          <w:tcPr>
            <w:tcW w:w="3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33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300" w:type="dxa"/>
            <w:vAlign w:val="bottom"/>
          </w:tcPr>
          <w:p>
            <w:pPr>
              <w:jc w:val="right"/>
              <w:ind w:right="2976"/>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$2.0 million and $2.6 million during the three months ended March 31, 2018 and 2017, respectively. On December 22, 2017, "H.R. 1" (also known as the "Tax Cuts and Jobs Act") was signed into law. H.R. 1, among other things, reduced the federal corporate income tax rate to 21% effective January 1, 2018 from 35% during 2017.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first quarters of 2018 and 2017, include reductions of $0.2 million and $0.1 million, respectively, of income tax expense related to impact of the excess value of stock awards that vested and stock options that were exercised as compared to the initial fair values that were expensed.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2018 and 2017, that the realization of substantially all of our deferred tax assets continues to be more likely than not.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March 31, 2018 and December 31, 2017, we had approximately $0.7 million, of gross unrecognized tax benefits. We do not expect the total amount of unrecognized tax benefits to significantly increase or decrease during the balance of 2018.</w:t>
      </w:r>
    </w:p>
    <w:p>
      <w:pPr>
        <w:spacing w:after="0" w:line="17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2018, the Bank had positive undivided profits of $27.1 million. It is not our intent to have dividends paid in amounts that would reduce the capital of our Bank to levels below those which we consider prudent and in accordance with guidelines of regulatory authorities.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Under capital adequacy guidelines, we must meet specific capital requirements that involve quantitative measures as well as qualitative judgments by the regulators. The most recent regulatory filings as of March 31, 2018 and December 31, 2017, categorized our Bank as well capitalized. Management is not aware of any conditions or events that would have changed the most recent Federal Deposit Insurance Corporation (“FDIC”) categorization.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1.875% and 1.25% added to the minimum ratio for adequately capitalized institutions for 2018 and 2017,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167,402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301,081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167,291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209,114</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125,551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276,999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125,468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167,291</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94,164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276,999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94,101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135,924</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110,783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276,999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110,726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138,408</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312,163</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164,782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164,675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205,843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288,451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123,586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123,506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164,675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255,934</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92,690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92,630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288,451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109,209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109,041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7"/>
              </w:rPr>
              <w:t>March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94"/>
              </w:rPr>
              <w:t>March 31,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267,917</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264,933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276,646</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269,481</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(gain) loss for regulatory purposes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59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(1,269)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r>
      <w:tr>
        <w:trPr>
          <w:trHeight w:val="216"/>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r>
      <w:tr>
        <w:trPr>
          <w:trHeight w:val="27"/>
        </w:trPr>
        <w:tc>
          <w:tcPr>
            <w:tcW w:w="5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2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255,934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276,999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266,476</w:t>
            </w:r>
          </w:p>
        </w:tc>
      </w:tr>
      <w:tr>
        <w:trPr>
          <w:trHeight w:val="216"/>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266,476</w:t>
            </w:r>
          </w:p>
        </w:tc>
        <w:tc>
          <w:tcPr>
            <w:tcW w:w="100" w:type="dxa"/>
            <w:vAlign w:val="bottom"/>
            <w:shd w:val="clear" w:color="auto" w:fill="CCEEFF"/>
          </w:tcPr>
          <w:p>
            <w:pPr>
              <w:spacing w:after="0"/>
              <w:rPr>
                <w:sz w:val="18"/>
                <w:szCs w:val="18"/>
                <w:color w:val="auto"/>
              </w:rPr>
            </w:pPr>
          </w:p>
        </w:tc>
      </w:tr>
      <w:tr>
        <w:trPr>
          <w:trHeight w:val="202"/>
        </w:trPr>
        <w:tc>
          <w:tcPr>
            <w:tcW w:w="5920" w:type="dxa"/>
            <w:vAlign w:val="bottom"/>
          </w:tcPr>
          <w:p>
            <w:pPr>
              <w:ind w:left="180"/>
              <w:spacing w:after="0" w:line="201" w:lineRule="exact"/>
              <w:rPr>
                <w:sz w:val="20"/>
                <w:szCs w:val="20"/>
                <w:color w:val="auto"/>
              </w:rPr>
            </w:pPr>
            <w:r>
              <w:rPr>
                <w:rFonts w:ascii="Arial" w:cs="Arial" w:eastAsia="Arial" w:hAnsi="Arial"/>
                <w:sz w:val="18"/>
                <w:szCs w:val="18"/>
                <w:color w:val="auto"/>
                <w:w w:val="94"/>
              </w:rPr>
              <w:t>Allowance for loan losses and allowance for unfunded lending commitments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20" w:type="dxa"/>
            <w:vAlign w:val="bottom"/>
          </w:tcPr>
          <w:p>
            <w:pPr>
              <w:ind w:left="300"/>
              <w:spacing w:after="0"/>
              <w:rPr>
                <w:sz w:val="20"/>
                <w:szCs w:val="20"/>
                <w:color w:val="auto"/>
              </w:rPr>
            </w:pPr>
            <w:r>
              <w:rPr>
                <w:rFonts w:ascii="Arial" w:cs="Arial" w:eastAsia="Arial" w:hAnsi="Arial"/>
                <w:sz w:val="18"/>
                <w:szCs w:val="18"/>
                <w:color w:val="auto"/>
              </w:rPr>
              <w:t>limited to 1.25% of total risk-weighted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24,082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23,712</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24,082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23,712</w:t>
            </w:r>
          </w:p>
        </w:tc>
      </w:tr>
      <w:tr>
        <w:trPr>
          <w:trHeight w:val="257"/>
        </w:trPr>
        <w:tc>
          <w:tcPr>
            <w:tcW w:w="5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risk-based capital</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301,081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Where quoted market prices are available in an active market, securities (equity securities at fair value, trading or available for sale) are classified as Level 1 of the valuation hierarchy. Level 1 securities include certain preferred stocks included in our trading portfolio for which there are quoted prices in active markets and US Treasuries in our securities available for sale portfolio.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agency cash window loan pricing for comparable assets (recurring Level 2).</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March 31, 2018 and December 31, 2017,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Other real estate</w:t>
      </w:r>
      <w:r>
        <w:rPr>
          <w:rFonts w:ascii="Arial" w:cs="Arial" w:eastAsia="Arial" w:hAnsi="Arial"/>
          <w:sz w:val="16"/>
          <w:szCs w:val="16"/>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 at fair value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23,936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137,244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9,945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9,945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28,451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90,527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90,527</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151,823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41,749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41,749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Impaired loans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Other real estate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2017:</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25,682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25,682</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137,918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9,760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93,898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93,898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47,853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Impaired loans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three months ended March 31, 2018 and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gridSpan w:val="9"/>
          </w:tcPr>
          <w:p>
            <w:pPr>
              <w:jc w:val="center"/>
              <w:ind w:right="260"/>
              <w:spacing w:after="0"/>
              <w:rPr>
                <w:sz w:val="20"/>
                <w:szCs w:val="20"/>
                <w:color w:val="auto"/>
              </w:rPr>
            </w:pPr>
            <w:r>
              <w:rPr>
                <w:rFonts w:ascii="Arial" w:cs="Arial" w:eastAsia="Arial" w:hAnsi="Arial"/>
                <w:sz w:val="18"/>
                <w:szCs w:val="18"/>
                <w:color w:val="auto"/>
                <w:w w:val="89"/>
              </w:rPr>
              <w:t>Changes in Fair Values for the three-Month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gridSpan w:val="9"/>
          </w:tcPr>
          <w:p>
            <w:pPr>
              <w:jc w:val="center"/>
              <w:ind w:right="260"/>
              <w:spacing w:after="0"/>
              <w:rPr>
                <w:sz w:val="20"/>
                <w:szCs w:val="20"/>
                <w:color w:val="auto"/>
              </w:rPr>
            </w:pPr>
            <w:r>
              <w:rPr>
                <w:rFonts w:ascii="Arial" w:cs="Arial" w:eastAsia="Arial" w:hAnsi="Arial"/>
                <w:sz w:val="18"/>
                <w:szCs w:val="18"/>
                <w:color w:val="auto"/>
                <w:w w:val="90"/>
              </w:rPr>
              <w:t>Ended March 31 for Items Measured at 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color w:val="auto"/>
                <w:w w:val="91"/>
              </w:rPr>
              <w:t>Pursuant to Election of the Fair Value Option</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right"/>
              <w:ind w:right="700"/>
              <w:spacing w:after="0"/>
              <w:rPr>
                <w:sz w:val="20"/>
                <w:szCs w:val="20"/>
                <w:color w:val="auto"/>
              </w:rPr>
            </w:pPr>
            <w:r>
              <w:rPr>
                <w:rFonts w:ascii="Arial" w:cs="Arial" w:eastAsia="Arial" w:hAnsi="Arial"/>
                <w:sz w:val="18"/>
                <w:szCs w:val="18"/>
                <w:color w:val="auto"/>
              </w:rPr>
              <w:t>Net Gains (Losses)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on Assets</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92"/>
              </w:rPr>
              <w:t>Mortgage</w:t>
            </w:r>
          </w:p>
        </w:tc>
        <w:tc>
          <w:tcPr>
            <w:tcW w:w="2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 Current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9"/>
              </w:rPr>
              <w:t>Mortgage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4"/>
              </w:rPr>
              <w:t>Loan</w:t>
            </w:r>
          </w:p>
        </w:tc>
        <w:tc>
          <w:tcPr>
            <w:tcW w:w="24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w w:val="96"/>
              </w:rPr>
              <w:t>Securities</w:t>
            </w:r>
          </w:p>
        </w:tc>
        <w:tc>
          <w:tcPr>
            <w:tcW w:w="3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Loans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30"/>
        </w:trPr>
        <w:tc>
          <w:tcPr>
            <w:tcW w:w="4660" w:type="dxa"/>
            <w:vAlign w:val="bottom"/>
            <w:gridSpan w:val="2"/>
            <w:vMerge w:val="restart"/>
          </w:tcPr>
          <w:p>
            <w:pPr>
              <w:jc w:val="right"/>
              <w:ind w:right="4210"/>
              <w:spacing w:after="0"/>
              <w:rPr>
                <w:sz w:val="20"/>
                <w:szCs w:val="20"/>
                <w:color w:val="auto"/>
              </w:rPr>
            </w:pPr>
            <w:r>
              <w:rPr>
                <w:rFonts w:ascii="Arial" w:cs="Arial" w:eastAsia="Arial" w:hAnsi="Arial"/>
                <w:sz w:val="18"/>
                <w:szCs w:val="18"/>
                <w:color w:val="auto"/>
                <w:w w:val="84"/>
              </w:rPr>
              <w:t>2018</w:t>
            </w:r>
          </w:p>
        </w:tc>
        <w:tc>
          <w:tcPr>
            <w:tcW w:w="1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4"/>
          </w:tcPr>
          <w:p>
            <w:pPr>
              <w:jc w:val="center"/>
              <w:ind w:right="330"/>
              <w:spacing w:after="0"/>
              <w:rPr>
                <w:sz w:val="20"/>
                <w:szCs w:val="20"/>
                <w:color w:val="auto"/>
              </w:rPr>
            </w:pPr>
            <w:r>
              <w:rPr>
                <w:rFonts w:ascii="Arial" w:cs="Arial" w:eastAsia="Arial" w:hAnsi="Arial"/>
                <w:sz w:val="18"/>
                <w:szCs w:val="18"/>
                <w:color w:val="auto"/>
                <w:w w:val="88"/>
              </w:rPr>
              <w:t>(In thousands)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at fair value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Capitalized mortgage loan servicing rights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 impairment charges recognized during the three month periods ended March 31, 2018 and 2017 relating to assets measured at fair value on a non-recurring basis:</w:t>
      </w:r>
    </w:p>
    <w:p>
      <w:pPr>
        <w:spacing w:after="0" w:line="197" w:lineRule="exact"/>
        <w:rPr>
          <w:sz w:val="20"/>
          <w:szCs w:val="20"/>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$2.0 million, with a valuation allowance of $0.5 million at March 31, 2018, and had a carrying amount of $2.6 million, with a valuation allowance of $0.7 million at December 31, 2017. The provision for loan losses included in our results of operations relating to impaired loans was an expense of $0.1 million and $0.3 million during the three month periods ended March 31, 2018 and 2017, respectively.</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$0.2 million which is net of a valuation allowance of $0.1 million at March 31, 2018, and a carrying amount of $0.3 million, which is net of a valuation allowance of $0.1 million, at December 31, 2017. An additional charge relating to other real estate measured at fair value of $0.02 million and $0.02 million was included in our results of operations during the three month periods ended March 31, 2018 and 2017, respectively.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Capitalized Mortgage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color w:val="auto"/>
                <w:w w:val="92"/>
              </w:rPr>
              <w:t>Loan Servicing Rights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5"/>
          </w:tcPr>
          <w:p>
            <w:pPr>
              <w:jc w:val="center"/>
              <w:ind w:right="170"/>
              <w:spacing w:after="0" w:line="201"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15,699</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Total gains (losses) realized and unrealized: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Included in other comprehensive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Amount of total gains (losses) for the period included in earnings attributable to the change in unrealized gains (losses)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relating to assets and liabilities still held at March 31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w:t>
            </w: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Fair</w:t>
            </w:r>
          </w:p>
        </w:tc>
        <w:tc>
          <w:tcPr>
            <w:tcW w:w="60" w:type="dxa"/>
            <w:vAlign w:val="bottom"/>
          </w:tcPr>
          <w:p>
            <w:pPr>
              <w:spacing w:after="0"/>
              <w:rPr>
                <w:sz w:val="18"/>
                <w:szCs w:val="18"/>
                <w:color w:val="auto"/>
              </w:rPr>
            </w:pPr>
          </w:p>
        </w:tc>
        <w:tc>
          <w:tcPr>
            <w:tcW w:w="1760" w:type="dxa"/>
            <w:vAlign w:val="bottom"/>
          </w:tcPr>
          <w:p>
            <w:pPr>
              <w:jc w:val="center"/>
              <w:ind w:left="470"/>
              <w:spacing w:after="0"/>
              <w:rPr>
                <w:sz w:val="20"/>
                <w:szCs w:val="20"/>
                <w:color w:val="auto"/>
              </w:rPr>
            </w:pPr>
            <w:r>
              <w:rPr>
                <w:rFonts w:ascii="Arial" w:cs="Arial" w:eastAsia="Arial" w:hAnsi="Arial"/>
                <w:sz w:val="18"/>
                <w:szCs w:val="18"/>
                <w:color w:val="auto"/>
                <w:w w:val="90"/>
              </w:rPr>
              <w:t>Valuation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ind w:left="68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20"/>
                <w:szCs w:val="20"/>
                <w:color w:val="auto"/>
              </w:rPr>
            </w:pPr>
          </w:p>
        </w:tc>
        <w:tc>
          <w:tcPr>
            <w:tcW w:w="1760" w:type="dxa"/>
            <w:vAlign w:val="bottom"/>
          </w:tcPr>
          <w:p>
            <w:pPr>
              <w:jc w:val="center"/>
              <w:ind w:left="450"/>
              <w:spacing w:after="0"/>
              <w:rPr>
                <w:sz w:val="20"/>
                <w:szCs w:val="20"/>
                <w:color w:val="auto"/>
              </w:rPr>
            </w:pPr>
            <w:r>
              <w:rPr>
                <w:rFonts w:ascii="Arial" w:cs="Arial" w:eastAsia="Arial" w:hAnsi="Arial"/>
                <w:sz w:val="18"/>
                <w:szCs w:val="18"/>
                <w:color w:val="auto"/>
                <w:w w:val="87"/>
              </w:rPr>
              <w:t>Technique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ind w:left="96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Range</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44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servicing rights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17,783</w:t>
            </w: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Present value of net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10.00% to 13.00 %</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servicing revenue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Cost to service</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$ 66 to $216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 to 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2.70% to 2.70 %</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December 31, 2017</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servicing rights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15,699</w:t>
            </w: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Present value of net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9.88% to 11.00 %</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servicing revenue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Cost to service</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$ 66 to $216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20 to 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2.24% to 2.24 %</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8"/>
          </w:tcPr>
          <w:p>
            <w:pPr>
              <w:spacing w:after="0"/>
              <w:rPr>
                <w:sz w:val="20"/>
                <w:szCs w:val="20"/>
                <w:color w:val="auto"/>
              </w:rPr>
            </w:pPr>
            <w:r>
              <w:rPr>
                <w:rFonts w:ascii="Arial" w:cs="Arial" w:eastAsia="Arial" w:hAnsi="Arial"/>
                <w:sz w:val="18"/>
                <w:szCs w:val="18"/>
                <w:color w:val="auto"/>
                <w:w w:val="91"/>
              </w:rPr>
              <w:t>Quantitative information about Level 3 fair value measurements measured on a non-recurring basis follows:</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Asset</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2040" w:type="dxa"/>
            <w:vAlign w:val="bottom"/>
          </w:tcPr>
          <w:p>
            <w:pPr>
              <w:ind w:left="660"/>
              <w:spacing w:after="0"/>
              <w:rPr>
                <w:sz w:val="20"/>
                <w:szCs w:val="20"/>
                <w:color w:val="auto"/>
              </w:rPr>
            </w:pPr>
            <w:r>
              <w:rPr>
                <w:rFonts w:ascii="Arial" w:cs="Arial" w:eastAsia="Arial" w:hAnsi="Arial"/>
                <w:sz w:val="18"/>
                <w:szCs w:val="18"/>
                <w:color w:val="auto"/>
              </w:rPr>
              <w:t>Valuation</w:t>
            </w:r>
          </w:p>
        </w:tc>
        <w:tc>
          <w:tcPr>
            <w:tcW w:w="100" w:type="dxa"/>
            <w:vAlign w:val="bottom"/>
          </w:tcPr>
          <w:p>
            <w:pPr>
              <w:spacing w:after="0"/>
              <w:rPr>
                <w:sz w:val="18"/>
                <w:szCs w:val="18"/>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2040" w:type="dxa"/>
            <w:vAlign w:val="bottom"/>
          </w:tcPr>
          <w:p>
            <w:pPr>
              <w:ind w:left="640"/>
              <w:spacing w:after="0"/>
              <w:rPr>
                <w:sz w:val="20"/>
                <w:szCs w:val="20"/>
                <w:color w:val="auto"/>
              </w:rPr>
            </w:pPr>
            <w:r>
              <w:rPr>
                <w:rFonts w:ascii="Arial" w:cs="Arial" w:eastAsia="Arial" w:hAnsi="Arial"/>
                <w:sz w:val="18"/>
                <w:szCs w:val="18"/>
                <w:color w:val="auto"/>
              </w:rPr>
              <w:t>Technique</w:t>
            </w:r>
          </w:p>
        </w:tc>
        <w:tc>
          <w:tcPr>
            <w:tcW w:w="100" w:type="dxa"/>
            <w:vAlign w:val="bottom"/>
          </w:tcPr>
          <w:p>
            <w:pPr>
              <w:spacing w:after="0"/>
              <w:rPr>
                <w:sz w:val="20"/>
                <w:szCs w:val="20"/>
                <w:color w:val="auto"/>
              </w:rPr>
            </w:pPr>
          </w:p>
        </w:tc>
        <w:tc>
          <w:tcPr>
            <w:tcW w:w="2160" w:type="dxa"/>
            <w:vAlign w:val="bottom"/>
          </w:tcPr>
          <w:p>
            <w:pPr>
              <w:ind w:left="86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1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5"/>
              </w:rPr>
              <w:t>(In thousands)</w:t>
            </w:r>
          </w:p>
        </w:tc>
        <w:tc>
          <w:tcPr>
            <w:tcW w:w="1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to 25.0%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2040" w:type="dxa"/>
            <w:vAlign w:val="bottom"/>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(30.9) to 77.9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 real estate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(33.0) to 44.5</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to 25.0%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2040" w:type="dxa"/>
            <w:vAlign w:val="bottom"/>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(21.1) to 34.1</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 real estate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0"/>
              </w:rPr>
              <w:t>Sales comparison approach</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comparable sales</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(33.0) to 44.5</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Principal</w:t>
            </w:r>
          </w:p>
        </w:tc>
        <w:tc>
          <w:tcPr>
            <w:tcW w:w="0" w:type="dxa"/>
            <w:vAlign w:val="bottom"/>
          </w:tcPr>
          <w:p>
            <w:pPr>
              <w:spacing w:after="0"/>
              <w:rPr>
                <w:sz w:val="1"/>
                <w:szCs w:val="1"/>
                <w:color w:val="auto"/>
              </w:rPr>
            </w:pPr>
          </w:p>
        </w:tc>
      </w:tr>
      <w:tr>
        <w:trPr>
          <w:trHeight w:val="230"/>
        </w:trPr>
        <w:tc>
          <w:tcPr>
            <w:tcW w:w="394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2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4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2018</w:t>
            </w:r>
          </w:p>
        </w:tc>
        <w:tc>
          <w:tcPr>
            <w:tcW w:w="2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33,457</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39,436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38,592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#2, we adopted ASU 2016-02 as of January 1, 2018. This new ASU requires entities to use the exit price notion when measuring the fair value of financial instruments for disclosure purposes. All of estimated fair values of our financial instruments in the table below at March 31, 2018 have used this exit price notion. In addition, except as discussed below in the net loans and loans held for sale section, all of our financial assets and liabilities have historically been valued using an exit price notion. This new ASU also removes the requirement to disclose the methods and significant assumptions used to estimate the fair value of financial instruments measured at amortized cost. The methods and significant assumptions for those financial instruments measured at amortized cost disclosed below are presented for fair values at December 31, 2017.</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Equity securities at fair value, trading securities and U.S. Treasury securities available for sale are classified as Level 1 while all other securities available for sale are classified as Level 2 as described in note #11.</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9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Net loans and loans held for sale</w:t>
      </w:r>
      <w:r>
        <w:rPr>
          <w:rFonts w:ascii="Arial" w:cs="Arial" w:eastAsia="Arial" w:hAnsi="Arial"/>
          <w:sz w:val="16"/>
          <w:szCs w:val="16"/>
          <w:color w:val="auto"/>
        </w:rPr>
        <w:t>: The fair value of loans at December 31, 2017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#11. Loans held for sale are classified as Level 2 as described in note #11.</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is based on agency cash window loan pricing for comparable assets, the fair value of mandatory commitments to sell mortgage loans is based on mortgage backed security pricing for comparable assets, the fair value of interest rate swap and interest rate cap agreements is derived from proprietary models which utilize current market data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Fair Value Using</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Quoted</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7"/>
              </w:rPr>
              <w:t>Prices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6"/>
              </w:rPr>
              <w:t>in Active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3"/>
              </w:rPr>
              <w:t>Markets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Significant</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4"/>
              </w:rPr>
              <w:t>for</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Identical</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8"/>
              </w:rPr>
              <w:t>Assets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Inputs</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4"/>
              </w:rPr>
              <w:t>(Level 1)</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13,250</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20"/>
              <w:spacing w:after="0" w:line="201" w:lineRule="exact"/>
              <w:rPr>
                <w:sz w:val="20"/>
                <w:szCs w:val="20"/>
                <w:color w:val="auto"/>
              </w:rPr>
            </w:pPr>
            <w:r>
              <w:rPr>
                <w:rFonts w:ascii="Arial" w:cs="Arial" w:eastAsia="Arial" w:hAnsi="Arial"/>
                <w:sz w:val="18"/>
                <w:szCs w:val="18"/>
                <w:color w:val="auto"/>
                <w:w w:val="99"/>
              </w:rPr>
              <w:t>Federal Home Loan Bank and Federal Reserve Bank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2,060,458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2,535</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1,891,343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1,891,343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1,891,343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539,058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534,832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27,847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27,981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17,744</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522,925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522,027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20"/>
              <w:spacing w:after="0" w:line="201" w:lineRule="exact"/>
              <w:rPr>
                <w:sz w:val="20"/>
                <w:szCs w:val="20"/>
                <w:color w:val="auto"/>
              </w:rPr>
            </w:pPr>
            <w:r>
              <w:rPr>
                <w:rFonts w:ascii="Arial" w:cs="Arial" w:eastAsia="Arial" w:hAnsi="Arial"/>
                <w:sz w:val="18"/>
                <w:szCs w:val="18"/>
                <w:color w:val="auto"/>
                <w:w w:val="99"/>
              </w:rPr>
              <w:t>Federal Home Loan Bank and Federal Reserve Bank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2,035,666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1,962,937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1,845,716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1,845,716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1,845,716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551,489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54,918</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$16.8 million and $13.0 million at March 31, 2018 and December 31, 2017, respectively. Deposits with a stated maturity include reciprocal deposits with a recorded book balance of $46.2 million and $38.0 million March 31, 2018 and December 31, 2017, respectively.</w:t>
      </w:r>
    </w:p>
    <w:p>
      <w:pPr>
        <w:sectPr>
          <w:pgSz w:w="11900" w:h="16838" w:orient="portrait"/>
          <w:cols w:equalWidth="0" w:num="1">
            <w:col w:w="11420"/>
          </w:cols>
          <w:pgMar w:left="240" w:top="122"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The Court issued a preliminary approval of this settlement in the first quarter of 2017 and a final approval of this settlement in January 2018. This litigation concerned the Bank’s checking account transaction sequencing during a period from February 2009 to June 2011. Under the terms of the settlement, we agreed to pay $2.2 million and we are also responsible for class notification costs and certain other expenses which are estimated to total approximately $0.1 million. The $2.2 million was paid in January 2018.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sale of Mepco Finance Corporation (“Mepco”) (see note #15),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March 31, 2018 Condensed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March 31, 2018 these receivables balances had declined to $8.2 million and to date the purchaser has made no claims for indemnification.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 breached a representation or warranty or other contractual requirement related to the loan sale. The provision for loss reimbursement on sold loans was an expense of $0.01 million and $0.03 million for the three month periods ended March 31, 2018 and 2017, respectively. The reserve for loss reimbursements on sold mortgage loans totaled $0.7 million at both March 31, 2018 and December 31, 2017,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Arial" w:cs="Arial" w:eastAsia="Arial" w:hAnsi="Arial"/>
                <w:sz w:val="18"/>
                <w:szCs w:val="18"/>
                <w:color w:val="auto"/>
              </w:rPr>
              <w:t>14. Accumulated Other Comprehensive Loss (“AOCL”)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Dispropor-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tionate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Tax Effects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from</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Gains 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Cash Flow</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for Sale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Hedges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March 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jc w:val="right"/>
              <w:ind w:right="3490"/>
              <w:spacing w:after="0"/>
              <w:rPr>
                <w:sz w:val="20"/>
                <w:szCs w:val="20"/>
                <w:color w:val="auto"/>
              </w:rPr>
            </w:pPr>
            <w:r>
              <w:rPr>
                <w:rFonts w:ascii="Arial" w:cs="Arial" w:eastAsia="Arial" w:hAnsi="Arial"/>
                <w:sz w:val="18"/>
                <w:szCs w:val="18"/>
                <w:color w:val="auto"/>
              </w:rPr>
              <w:t>2018</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2017</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Balances at beginning of period, as adjusted</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insubstantial portfolio of securities available for sale.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March 31 follows: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Unrealized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60" w:hanging="906"/>
        <w:spacing w:after="0"/>
        <w:tabs>
          <w:tab w:leader="none" w:pos="6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 Net gains (losses)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(19)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(4)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60" w:hanging="1006"/>
        <w:spacing w:after="0"/>
        <w:tabs>
          <w:tab w:leader="none" w:pos="6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 Interest expense</w:t>
      </w:r>
    </w:p>
    <w:p>
      <w:pPr>
        <w:spacing w:after="0" w:line="9" w:lineRule="exact"/>
        <w:rPr>
          <w:rFonts w:ascii="Arial" w:cs="Arial" w:eastAsia="Arial" w:hAnsi="Arial"/>
          <w:sz w:val="18"/>
          <w:szCs w:val="18"/>
          <w:color w:val="auto"/>
        </w:rPr>
      </w:pPr>
    </w:p>
    <w:p>
      <w:pPr>
        <w:ind w:left="6460" w:hanging="308"/>
        <w:spacing w:after="0"/>
        <w:tabs>
          <w:tab w:leader="none" w:pos="6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60" w:hanging="1006"/>
        <w:spacing w:after="0"/>
        <w:tabs>
          <w:tab w:leader="none" w:pos="6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5160"/>
        <w:spacing w:after="0"/>
        <w:tabs>
          <w:tab w:leader="none" w:pos="6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40" w:hanging="886"/>
        <w:spacing w:after="0"/>
        <w:tabs>
          <w:tab w:leader="none" w:pos="6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106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Total reclassifications before tax</w:t>
      </w:r>
    </w:p>
    <w:p>
      <w:pPr>
        <w:spacing w:after="0" w:line="23"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40640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Mepco Sale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2016, Mepco executed an Asset Purchase Agreement (the “APA”) with Seabury Asset Management LLC (“Seabury”). Pursuant to the terms of the APA, we sold our payment plan processing business, payment plan receivables, and certain other assets to Seabury, who also assumed certain liabilities of Mepco.</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received cash totaling $33.4 million and recorded no gain or loss in 2017 as the assets were sold and the liabilities were assumed at book value.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Recent Acquisition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April 1, 2018, we completed the acquisition of all of the issued and outstanding shares of common stock of TCSB Bancorp, Inc. (‘‘TCSB’’) and merged TCSB into Independent Bank Corporation (“IBCP”), with IBCP as the surviving corporation (the ‘‘Merger’’). On that same date we also consolidated Traverse City State Bank, TCSB’s wholly-owned subsidiary bank, into the Independent Bank (with the Independent Bank as the surviving institution). Under the terms of the merger agreement we issued 2.71 million shares of common stock and 0.19 million stock options with a fair value of approximately $64.5 million to the shareholders and option holders of TCSB. As the transaction did not occur until April 1, 2018, it was not practical to complete the purchase accounting adjustments for inclusion in these Notes to Interim Condensed Consolidated Financial Statements. We will record this acquisition and related purchase accounting adjustments in the second quarter of 2018.</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2018 non-interest expenses include $0.2 million of costs incurred during the three months ended March, 31, 2018 related to the Merger. As of March 31, 2018, prior to any fair value related adjustments, TCSB Bancorp, Inc. had total assets of $343.8 million, total loans of $301.8 million, total deposits of $288.1 million, and total shareholders’ equity of $34.7 million.</w:t>
      </w:r>
    </w:p>
    <w:p>
      <w:pPr>
        <w:spacing w:after="0" w:line="20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account for revenue in accordance with ASC Topic 606, Revenue from Contracts with Customers, which we adopted on January 1, 2018, using the modified retrospective method (see note #2). We derive the majority of our revenue from financial instruments and their related contractual rights and obligations which for the most part are excluded from the scope of ASU 2014-09. These sources of revenue that are excluded from the scope of this amended guidance include interest income, net gains on mortgage loans, net gains (losses) on securities, mortgage loan servicing, net and bank owned life insurance and were approximately 82.2% and 79.5% of total revenues at March 31, 2018 and 2017, respectively.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2018.</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Net (gains) losses other real estate and repossessed assets:</w:t>
      </w:r>
      <w:r>
        <w:rPr>
          <w:rFonts w:ascii="Arial" w:cs="Arial" w:eastAsia="Arial" w:hAnsi="Arial"/>
          <w:sz w:val="17"/>
          <w:szCs w:val="17"/>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months ending March 31, 2018 that were financed by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our revenue sources by attribute for the three months ending March 31, 2018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w:t>
            </w:r>
          </w:p>
        </w:tc>
        <w:tc>
          <w:tcPr>
            <w:tcW w:w="1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Charges</w:t>
            </w: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on Deposits</w:t>
            </w:r>
          </w:p>
        </w:tc>
        <w:tc>
          <w:tcPr>
            <w:tcW w:w="120" w:type="dxa"/>
            <w:vAlign w:val="bottom"/>
          </w:tcPr>
          <w:p>
            <w:pPr>
              <w:spacing w:after="0"/>
              <w:rPr>
                <w:sz w:val="20"/>
                <w:szCs w:val="20"/>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1"/>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Overdraft fees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Overdraft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ATM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Interchange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Transaction based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2,905</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689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deposit related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2017 Annual Report on Form 10-K filed with the U.S. Securities and Exchange Commission ("SEC"). That report includes a list of risk factors that you should consider in connection with any decision to buy or sell our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As a result, our success depends to a great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economic conditions in Michigan’s Lower Peninsula. At times, we have experienced a difficult economy in Michigan. Economic conditions in Michigan began to show signs of improvement during 2010. Generally, these improvements have continued into 2018, albeit at an uneven pace.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Recent Developments</w:t>
      </w:r>
      <w:r>
        <w:rPr>
          <w:rFonts w:ascii="Arial" w:cs="Arial" w:eastAsia="Arial" w:hAnsi="Arial"/>
          <w:sz w:val="17"/>
          <w:szCs w:val="17"/>
          <w:color w:val="auto"/>
        </w:rPr>
        <w:t>. On December 22, 2017, "H.R. 1" (also known as the "Tax Cuts and Jobs Act") was signed into law. H.R. 1, among other things,</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the federal corporate income tax rate to 21% effective January 1, 2018. As a result, we concluded that our deferred tax assets, net (“DTA”) had to be remeasured. Our DTA represents expected corporate tax benefits anticipated to be realized in the future. The reduction in the federal corporate income tax rate reduces these anticipated future benefits. The remeasurement of our DTA at December 31, 2017 resulted in a reduction of these net assets and a corresponding increase in income tax expense of $6.0 million that was recorded in the fourth quarter of 2017.</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aggregate Merger consideration of approximately $64.5 million in IBCP common stock or stock options for all of the shares of TCSB common stock and TCSB stock options issued and outstanding immediately before the effective time of the Merger.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2018, TCSB had $343.8 million of total assets, $301.8 million of loans, $288.1 million of deposits and $34.7 million of shareholders’ equity ($31.9 million of tangible common equity). TCSB reported a net income of $0.03 million in the first quarter of 2018. The TCSB first quarter 2018 results were adversely impacted due to $1.0 million of merger expenses. We expect the Merger to have a significant impact on our second quarter 2018 results because of the inclusion of their operations for the first time that quarter and merger related expenses.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color w:val="auto"/>
        </w:rPr>
        <w:t>. On July 2, 2013, the Federal Reserve Board approved a final rule that establishes an integrated regulatory capital framework (the "New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2018, 1.875% is being added to the minimum ratio for adequately capitalized institutions. To avoid limits on capital distributions and certain discretionary bonus payments we must meet the minimum ratio for adequately capitalized institutions plus the phased in buffer (now 6.375% in 2018).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March 31, 2018 and December 31, 2017 we exceeded all of the capital ratio requirements of the New Capital Rules.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It is against this backdrop that we discuss our results of operations and financial condition in the first quarter of 2018 as compared to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$9.2 million during the three months ended March 31, 2018, compared to net income of $6.0 million during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March 31, 2017. The increase in net income is primarily due to increases in net interest income and non-interest income and a decrease in income tax expense that were partially offset by increases in the provision for loan losses and non-interest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ind w:left="580"/>
              <w:spacing w:after="0"/>
              <w:rPr>
                <w:sz w:val="20"/>
                <w:szCs w:val="20"/>
                <w:color w:val="auto"/>
              </w:rPr>
            </w:pPr>
            <w:r>
              <w:rPr>
                <w:rFonts w:ascii="Arial" w:cs="Arial" w:eastAsia="Arial" w:hAnsi="Arial"/>
                <w:sz w:val="18"/>
                <w:szCs w:val="18"/>
                <w:b w:val="1"/>
                <w:bCs w:val="1"/>
                <w:color w:val="auto"/>
              </w:rPr>
              <w:t>Key performance ratios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vMerge w:val="restart"/>
          </w:tcPr>
          <w:p>
            <w:pPr>
              <w:jc w:val="center"/>
              <w:ind w:left="430"/>
              <w:spacing w:after="0"/>
              <w:rPr>
                <w:sz w:val="20"/>
                <w:szCs w:val="20"/>
                <w:color w:val="auto"/>
              </w:rPr>
            </w:pPr>
            <w:r>
              <w:rPr>
                <w:rFonts w:ascii="Arial" w:cs="Arial" w:eastAsia="Arial" w:hAnsi="Arial"/>
                <w:sz w:val="18"/>
                <w:szCs w:val="18"/>
                <w:color w:val="auto"/>
                <w:w w:val="88"/>
              </w:rPr>
              <w:t>Three months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color w:val="auto"/>
                <w:w w:val="90"/>
              </w:rPr>
              <w:t>ended March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580"/>
              <w:spacing w:after="0"/>
              <w:rPr>
                <w:sz w:val="20"/>
                <w:szCs w:val="20"/>
                <w:color w:val="auto"/>
              </w:rPr>
            </w:pPr>
            <w:r>
              <w:rPr>
                <w:rFonts w:ascii="Arial" w:cs="Arial" w:eastAsia="Arial" w:hAnsi="Arial"/>
                <w:sz w:val="18"/>
                <w:szCs w:val="18"/>
                <w:color w:val="auto"/>
              </w:rPr>
              <w:t>Net income (annualized) to</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0.95%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Average common shareholders’ equity</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14.04</w:t>
            </w:r>
          </w:p>
        </w:tc>
        <w:tc>
          <w:tcPr>
            <w:tcW w:w="46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w w:val="85"/>
              </w:rPr>
              <w:t>9.63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5"/>
              </w:rPr>
              <w:t>0.28</w:t>
            </w:r>
          </w:p>
        </w:tc>
        <w:tc>
          <w:tcPr>
            <w:tcW w:w="1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0.42</w:t>
            </w:r>
          </w:p>
        </w:tc>
        <w:tc>
          <w:tcPr>
            <w:tcW w:w="46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w w:val="85"/>
              </w:rPr>
              <w:t>0.28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80" w:type="dxa"/>
            <w:vAlign w:val="bottom"/>
          </w:tcPr>
          <w:p>
            <w:pPr>
              <w:jc w:val="right"/>
              <w:ind w:right="2299"/>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income totaled $23.9 million during the first quarter of 2018, which represents a $2.5 million, or 11.5% increase, from the comparable quarter one year earlier. The increase in net interest income in 2018 compared to 2017 primarily reflects a two basis point increase in our tax equivalent net interest income as a percent of average interest-earning assets (the “net interest margin”) as well as an increase in average interest-earning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average interest-earning assets were $2.61 billion in the first quarter of 2018 compared to $2.37 billion in the year ago quarter. Partially offsetting the growth in net interest income was a decline in net recoveries of interest on loans on non-accrual or previously charged-off to $0.18 million in the first quarter of 2018 compared to $0.50 million in the year ago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average interest-earning assets primarily reflects loan growth utilizing funds from increases in deposits and borrowed funds. The increase in the net interest margin reflects a change in the mix of average-interest earning assets (higher percentage of loans) as well as increases in short-term market interest rates.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interest income is also adversely impacted by our level of non-accrual loans. In the first quarter of 2018 non-accrual loans averaged $7.5 million compared to $11.6 million in the first quarter of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and Tax Equivalent Rates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Arial" w:cs="Arial" w:eastAsia="Arial" w:hAnsi="Arial"/>
                <w:sz w:val="18"/>
                <w:szCs w:val="18"/>
                <w:color w:val="auto"/>
                <w:w w:val="92"/>
              </w:rPr>
              <w:t>March 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260" w:type="dxa"/>
            <w:vAlign w:val="bottom"/>
          </w:tcPr>
          <w:p>
            <w:pPr>
              <w:spacing w:after="0"/>
              <w:rPr>
                <w:sz w:val="17"/>
                <w:szCs w:val="17"/>
                <w:color w:val="auto"/>
              </w:rPr>
            </w:pPr>
          </w:p>
        </w:tc>
        <w:tc>
          <w:tcPr>
            <w:tcW w:w="11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2,060,720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23,339</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521,407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78,044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66,708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6.47</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2,611,890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4.15</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2,371,705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23,640</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33,790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132,961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2,776,986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2,559,487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1,047,114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564,282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1,736</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482,188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1,724,153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2,861</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1,574,306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758,643</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704,551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29,064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264,584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2,776,986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2,559,487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24,064</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21,727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jc w:val="right"/>
              <w:ind w:right="31"/>
              <w:spacing w:after="0" w:line="201" w:lineRule="exact"/>
              <w:rPr>
                <w:sz w:val="20"/>
                <w:szCs w:val="20"/>
                <w:color w:val="auto"/>
              </w:rPr>
            </w:pPr>
            <w:r>
              <w:rPr>
                <w:rFonts w:ascii="Arial" w:cs="Arial" w:eastAsia="Arial" w:hAnsi="Arial"/>
                <w:sz w:val="18"/>
                <w:szCs w:val="18"/>
                <w:color w:val="auto"/>
              </w:rPr>
              <w:t>Net Interest Income as a Percent of</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jc w:val="right"/>
              <w:ind w:right="31"/>
              <w:spacing w:after="0"/>
              <w:rPr>
                <w:sz w:val="20"/>
                <w:szCs w:val="20"/>
                <w:color w:val="auto"/>
              </w:rPr>
            </w:pPr>
            <w:r>
              <w:rPr>
                <w:rFonts w:ascii="Arial" w:cs="Arial" w:eastAsia="Arial" w:hAnsi="Arial"/>
                <w:sz w:val="18"/>
                <w:szCs w:val="18"/>
                <w:color w:val="auto"/>
              </w:rPr>
              <w:t>Average 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on tax-exempt loans and securities is presented on a fully tax equivalent basis assuming a marginal tax rate of 21% in 2018 and 35% in 2017.</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6"/>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23,936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Add: taxable equivalent adjustment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24,064</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24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70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The provision for loan losses was an expense of $0.3 million and a credit of $0.4 million in the first quarters of 2018 and 2017,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first quarter of 2018.</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$11.5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$10.3 million during the first three months of 2018 and 2017, respectively. We adopted Financial Accounting Standards Board Accounting Standards Update 2014-09 “Revenue from Contracts with Customers (Topic 606)” (“ASU 2014-09”) on January 1, 2018, using the modified retrospective method. Although ASU 2014-09 did not have any impact on our January 1, 2018 shareholders’ equity or first quarter 2018 net income, it did result in a classification change in non-interest income and non-interest expense as compared to the prior year period. Specifically, in the first quarter of 2018, interchange income and interchange expense each increased by $0.3 million, due to classification changes under ASU 2014-09 (also see notes #2 and #17 to the Condensed Consolidated Financial Statements included within this report).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76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color w:val="auto"/>
                <w:w w:val="87"/>
              </w:rPr>
              <w:t>Three months ended</w:t>
            </w:r>
          </w:p>
        </w:tc>
      </w:tr>
      <w:tr>
        <w:trPr>
          <w:trHeight w:val="216"/>
        </w:trPr>
        <w:tc>
          <w:tcPr>
            <w:tcW w:w="3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4"/>
          </w:tcPr>
          <w:p>
            <w:pPr>
              <w:jc w:val="center"/>
              <w:ind w:left="1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3,009</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2,571</w:t>
            </w: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w:t>
            </w:r>
          </w:p>
        </w:tc>
      </w:tr>
      <w:tr>
        <w:trPr>
          <w:trHeight w:val="27"/>
        </w:trPr>
        <w:tc>
          <w:tcPr>
            <w:tcW w:w="32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11,713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10,339</w:t>
            </w:r>
          </w:p>
        </w:tc>
      </w:tr>
      <w:tr>
        <w:trPr>
          <w:trHeight w:val="21"/>
        </w:trPr>
        <w:tc>
          <w:tcPr>
            <w:tcW w:w="3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charges on deposit accounts totaled $2.9 million in the first quarter of 2018, a decrease of $0.1 million from the comparable period in 2017. This decrease was principally due to a decline in treasury management fees due in part to an increase in crediting rates to customers (as a result of increased interest rates).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Interchange income totaled $2.2 million in the first quarter of 2018 compared to $1.9 million in the year ago period. As discussed above, most of the first quarter 2018 increase in interchange income was due to a reclassification pursuant to ASU 2014-09. Transaction volume increased 3.4% year-over-year and interchange revenue per transaction was relatively unchanged.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gains on mortgage loans were $2.6 million in both the first quarters of 2018 and 2017. Mortgage loan sales totaled $106.3 million in the first quarter of 2018 compared to $79.7 million in the first quarter of 2017. Mortgage loans originated totaled $159.0 million in the first quarter of 2018 compared to $158.1 million in the comparable quarter of 2017.</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last quarter of 2016 and the first half of 2017, we significantly expanded our mortgage-banking operations by adding new employees and opening new loan production offices (Ann Arbor, Brighton, Dearborn, Grosse Pointe, Traverse City and Troy, Michigan and Columbus and Fairlawn, Ohio). This business expansion has accelerated the growth of portfolio mortgage loans and mortgage loans serviced for others, leading to increased mortgage loan interest income and mortgage loan servicing revenue. However, this expansion has also increased non-interest expenses, particularly compensation and employee benefits and occupancy. In addition, due to higher interest rates, mortgage loan refinance volume has declined on an industry-wide basis. It is important to our future results of operations that we effectively and successfully manage this business expansion.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02"/>
        </w:trPr>
        <w:tc>
          <w:tcPr>
            <w:tcW w:w="6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Mortgage loans sold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gains as a percentage of mortgage loans sold (“Loan Sales Margin”)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these fair value accounting adjustments, the Loan Sales Margin would have been 2.31% and 3.03% in the first quarters of 2018 and 2017, respectively. In 2018, our Loan Sales Margin contracted due primarily to competitive factors. In general, as overall industry-wide mortgage loan origination levels drop, pricing becomes more competitive. The changes in the fair value accounting adjustments are primarily due to changes in the amount of commitments to originate mortgage loans for sale during each period.</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net gains (losses) on securities of approximately $(0.17) million and $0.03 million in the first quarters of 2018 and 2017, respectively. The first quarter 2018 net losses on securities are due primarily to a decline in the fair value of equity securities of $0.15 million. First quarter 2018 securities sales of $22.3 million resulted in a small net loss of $0.02 million. The first quarter 2017 net gains on securities were due primarily to sales of $6.2 million that resulted in net gains of $0.11 million that were partially offset by a $0.08 million decline in the fair value of trading securities.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net impairment losses in either the first quarter of 2018 or 2017, for other than temporary impairment of securities available for sale. (See “Securities.”)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loan servicing generated income of $2.2 million and $0.8 million in the first quarters of 2018 and 2017, respectively. This activity is summarized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0"/>
              </w:rPr>
              <w:t>Three Months Ended</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March 31, 2018</w:t>
            </w: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March 31, 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Mortgage loan servicing:</w:t>
            </w:r>
          </w:p>
        </w:tc>
        <w:tc>
          <w:tcPr>
            <w:tcW w:w="260" w:type="dxa"/>
            <w:vAlign w:val="bottom"/>
          </w:tcPr>
          <w:p>
            <w:pPr>
              <w:spacing w:after="0"/>
              <w:rPr>
                <w:sz w:val="18"/>
                <w:szCs w:val="18"/>
                <w:color w:val="auto"/>
              </w:rPr>
            </w:pPr>
          </w:p>
        </w:tc>
        <w:tc>
          <w:tcPr>
            <w:tcW w:w="18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1,192</w:t>
            </w: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1,089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2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1,458</w:t>
            </w:r>
          </w:p>
        </w:tc>
        <w:tc>
          <w:tcPr>
            <w:tcW w:w="7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7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2,221</w:t>
            </w:r>
          </w:p>
        </w:tc>
        <w:tc>
          <w:tcPr>
            <w:tcW w:w="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significant variance in the fair value change due to price relates primarily to the rise in mortgage loan interest rates in the first quarter of 2018. That increase reduced projected prepayment rates for mortgage loans serviced for others, leading to an increase in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Activity related to capitalized mortgage loan servicing rights is as follows: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236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50"/>
              <w:spacing w:after="0"/>
              <w:rPr>
                <w:sz w:val="20"/>
                <w:szCs w:val="20"/>
                <w:color w:val="auto"/>
              </w:rPr>
            </w:pPr>
            <w:r>
              <w:rPr>
                <w:rFonts w:ascii="Arial" w:cs="Arial" w:eastAsia="Arial" w:hAnsi="Arial"/>
                <w:sz w:val="16"/>
                <w:szCs w:val="16"/>
                <w:color w:val="auto"/>
                <w:w w:val="73"/>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5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17,783</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2018 we were servicing approximately $1.86 billion in mortgage loans for others on which servicing rights have been capitalized. This servicing portfolio had a weighted average coupon rate of 4.16% and a weighted average service fee of approximately 25.9 basis points. Capitalized mortgage loan servicing rights (recorded at fair value) at March 31, 2018 totaled $17.8 million, representing approximately 95.6 basis points on the related amount of mortgage loans serviced for others.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insurance commissions were relatively unchanged in the first quarter of 2018 as compared to the year ago period.</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earned $0.26 million and $0.25 million in the first quarters of 2018 and 2017, respectively, principally as a result of increases in the cash surrender value of our separate account bank owned life insurance. Our separate account is primarily invested in agency mortgage-backed securities and managed by a third-party. The crediting rate (on which the earnings are based) reflects the performance of the separate account. The total cash surrender value of our bank owned life insurance was $54.4 million and $54.6 million at March 31, 2018 and December 31, 2017, respectively. The reduction in the cash surrender value of our bank owned life insurance during the first quarter of 2018 was due to the receipt of cash on a death claim that was partially offset by net earnings credits.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Other non-interest income was relatively unchanged and totaled $1.25 million and $1.26 million during the first quarters of 2018 and 2017,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is an important component of our results of operations. We strive to efficiently manage our cost structure.</w:t>
      </w: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totaled $23.9 million in the first quarter of 2018 compared to $23.6 million in the year ago period. The components of non-interest expense are as follows: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0"/>
                <w:szCs w:val="20"/>
                <w:color w:val="auto"/>
              </w:rPr>
            </w:pPr>
          </w:p>
        </w:tc>
        <w:tc>
          <w:tcPr>
            <w:tcW w:w="2260" w:type="dxa"/>
            <w:vAlign w:val="bottom"/>
            <w:gridSpan w:val="5"/>
            <w:vMerge w:val="restart"/>
          </w:tcPr>
          <w:p>
            <w:pPr>
              <w:jc w:val="right"/>
              <w:ind w:right="43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Merger related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Credit card and bank service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24,135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employee benefits expenses, in total, increased by $0.3 million, or 2.3%, in the first quarter of 2018, as compared to the year ago period.</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decreased by $0.6 million, or 5.7%. This year-over-year decrease was primarily due to the following factors: a $0.2 million increase in the amount of compensation that was deferred as direct loan origination costs in the first quarter of 2018 and $0.3 million of additional one-time compensation costs associated with the initial expansion of our mortgage banking operations that were incurred in the first quarter of 2017. Average full-time equivalent employees (“FTEs”) increased by 3.2, or 0.4%, during the first quarter of 2018 compared to the year ago quarter, as additional personnel added due to the expansion of our mortgage-banking operations were largely offset by a decline in employees in our payment plan processing business that was sold in May 2017.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Performance-based compensation increased by $0.6 million in 2018 due primarily to a higher accrual (increased by $0.3 million) for anticipated incentive compensation for salaried employees based on our forecasted 2018 performance as compared to goals, as well as a $0.3 million bonus that was paid to hourly employees in the first quarter of 2018.</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Payroll taxes and employee benefits increased $0.3 million in 2018 due primarily to higher payroll taxes, workers’ compensation insurance costs and 401(k) plan costs (the employee match was increased to 4% of eligible compensation in 2018 compared to 3% in 2017).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net, increased $0.1 million, or 5.7%, in the first quarter of 2018 compared to 2017 primarily because of the additional loan production offices opened as described above and higher snow removal costs.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Data processing expense decreased $0.1 million, or 3.0%, in the first quarter of 2018 compared to the year earlier period due primarily to 2017 including expenses related to our payment processing business that was sold in May 2017.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Furniture, fixtures and equipment, communications, advertising and supplies expenses were all relatively unchanged in the first quarter of 2018 as compared to the year earlier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and collection expenses primarily reflect costs related to lending activities, including the management and collection of non-performing loans and other problem credits. These expenses increased by $0.3 million in the first quarter of 2018 compared to the year ago quarter, as the first quarter of 2017 included a $0.2 million recovery of previously incurred costs related to a commercial loan relationship.</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Interchange expense increased by $0.3 million in the first quarter of 2018 compared to the year ago quarter due primarily to the impact of the implementation of ASU 2014-09 on January 1, 2018. Prior to the first quarter of 2018, certain processing costs were being netted against interchange income. As described above, under ASU 2014-09 these costs are no longer being netted against interchange income but instead are being reported as part of interchange expense.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and professional fees decreased by $0.06 million in the first quarter of 2018 compared to the year ago quarter due primarily to a decline in co-sourced internal audit costs and the sale of our payment processing business in May 2017.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FDIC deposit insurance expense increased by $0.03 million in the first quarter of 2018 compared to the year ago quarter due primarily to the growth in our total assets.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Merger related expenses totaled $0.2 million in the first quarter of 2018 and primarily represent professional fees incurred related to the TCSB Merger. (See “Recent Developments.” above.)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card and bank service fees decreased by $0.1 million in the first quarter of 2018 as compared to the year earlier period primarily due to the sale of our payment plan processing business in May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$1.5 million and $1.6 million at March 31, 2018 and December 31, 2017, respectively. See note #7 to the Condensed Consolidated Financial Statements for a schedule of future amortization of intangible assets. However, this category of non-interest expense will increase in the second quarter of 2018 due to the TCSB Merger.</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loss reimbursement on sold loans was an expense of $0.01 million and $0.03 million in the first quarters of 2018 and 2017, respectively, and represents our estimate of incurred losses related to mortgage loans that we have sold to investors (primarily Fannie Mae, Freddie Mac, Ginnie Mae and the Federal Home Loan Bank of Indianapolis [“FHLB”]). Since we sell mortgage loans without recourse, loss reimbursements only occur in those instances where we have breached a representation or warranty or other contractual requirement related to the loan sale. The reserve for loss reimbursements on sold mortgage loans totaled $0.68 million and $0.67 million at March 31, 2018 and December 31, 2017, respectively. This reserve is included in accrued expenses and other liabilities in our Condensed Consolidated Statements of Financial Condition. We believe that the amounts that we have accrued for incurred losses on sold mortgage loans are appropriate given our analyses. However, future losses could exceed our current estimate.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$0.3 million net gain in the first quarter of 2018 primarily relates to the sale of single-family homes and reflects generally increasing housing prices in our markets.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non-interest expenses increased by $0.2 million in the first quarter of 2018 compared to the year ago quarter due primarily to higher travel and meeting costs and increased directors fees (due to the addition of one director).</w:t>
      </w:r>
    </w:p>
    <w:p>
      <w:pPr>
        <w:spacing w:after="0" w:line="19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$2.0 million and $2.6 million in the first quarters of 2018 and 2017, respectively. As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earlier under “Recent Developments” our statutory federal corporate income tax rate was reduced to 21% (from 35%) effective on January 1, 2018.</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first quarters of 2018 and 2017, include reductions of $0.2 million and $0.1 million, respectively, of income tax expense related to impact of the excess value of stock awards that vested and stock options that were exercised as compared to the initial fair values that were expensed.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2018 and 2017 and at December 31, 2017, that the realization of substantially all of our deferred tax assets continues to be more likely than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$3.8 million during the first three months of 2018. Loans, excluding loans held for sale ("Portfolio Loans"), totaled</w:t>
      </w:r>
      <w:r>
        <w:rPr>
          <w:rFonts w:ascii="Arial" w:cs="Arial" w:eastAsia="Arial" w:hAnsi="Arial"/>
          <w:sz w:val="17"/>
          <w:szCs w:val="17"/>
          <w:b w:val="1"/>
          <w:bCs w:val="1"/>
          <w:color w:val="auto"/>
        </w:rPr>
        <w:t xml:space="preserve"> </w:t>
      </w:r>
      <w:r>
        <w:rPr>
          <w:rFonts w:ascii="Arial" w:cs="Arial" w:eastAsia="Arial" w:hAnsi="Arial"/>
          <w:sz w:val="17"/>
          <w:szCs w:val="17"/>
          <w:color w:val="auto"/>
        </w:rPr>
        <w:t>$2.07 billion at March 31, 2018, an increase of $52.6 million, or 2.6%, from December 31, 2017. (See "Portfolio Loans and asset quality.")</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totaled $2.43 billion at March 31, 2018, compared to $2.40 billion at December 31, 2017. The $29.9 million increase in total deposits during the period is primarily due to growth in savings and interest-bearing checking deposit account balances.</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vMerge w:val="restart"/>
          </w:tcPr>
          <w:p>
            <w:pPr>
              <w:spacing w:after="0"/>
              <w:rPr>
                <w:sz w:val="20"/>
                <w:szCs w:val="20"/>
                <w:color w:val="auto"/>
              </w:rPr>
            </w:pPr>
            <w:r>
              <w:rPr>
                <w:rFonts w:ascii="Arial" w:cs="Arial" w:eastAsia="Arial" w:hAnsi="Arial"/>
                <w:sz w:val="18"/>
                <w:szCs w:val="18"/>
                <w:color w:val="auto"/>
              </w:rPr>
              <w:t>Securities available for sale</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2018</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493,561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489,119</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523,520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3,197</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522,925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available for sale declined $33.8 million during the first quarter of 2018.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the first quarter of 2018 or 2017.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5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80" w:type="dxa"/>
            <w:vAlign w:val="bottom"/>
            <w:gridSpan w:val="3"/>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00" w:type="dxa"/>
            <w:vAlign w:val="bottom"/>
            <w:gridSpan w:val="4"/>
          </w:tcPr>
          <w:p>
            <w:pPr>
              <w:jc w:val="right"/>
              <w:ind w:right="67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20" w:type="dxa"/>
            <w:vAlign w:val="bottom"/>
            <w:vMerge w:val="restart"/>
          </w:tcPr>
          <w:p>
            <w:pPr>
              <w:spacing w:after="0"/>
              <w:rPr>
                <w:sz w:val="24"/>
                <w:szCs w:val="24"/>
                <w:color w:val="auto"/>
              </w:rPr>
            </w:pPr>
          </w:p>
        </w:tc>
        <w:tc>
          <w:tcPr>
            <w:tcW w:w="1980" w:type="dxa"/>
            <w:vAlign w:val="bottom"/>
            <w:vMerge w:val="restart"/>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22,277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198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76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Gross losses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 network, our principal lending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 In March 2018, we sold $16.5 million of single-family residential fixed and adjustable rate mortgage loans servicing retained to another financial institution and recognized a gain on sale of $0.05 million. These mortgage loans were all on properties located in Ohio, had a weighted average interest rate of 3.59% and were sold primarily for asset/liability management purposes.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74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40" w:type="dxa"/>
            <w:vAlign w:val="bottom"/>
            <w:gridSpan w:val="4"/>
          </w:tcPr>
          <w:p>
            <w:pPr>
              <w:spacing w:after="0"/>
              <w:rPr>
                <w:sz w:val="20"/>
                <w:szCs w:val="20"/>
                <w:color w:val="auto"/>
              </w:rPr>
            </w:pPr>
            <w:r>
              <w:rPr>
                <w:rFonts w:ascii="Arial" w:cs="Arial" w:eastAsia="Arial" w:hAnsi="Arial"/>
                <w:sz w:val="18"/>
                <w:szCs w:val="18"/>
                <w:color w:val="auto"/>
              </w:rPr>
              <w:t>A summary of our Portfolio Loans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55"/>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gridSpan w:val="4"/>
            <w:vMerge w:val="restart"/>
          </w:tcPr>
          <w:p>
            <w:pPr>
              <w:spacing w:after="0"/>
              <w:rPr>
                <w:sz w:val="20"/>
                <w:szCs w:val="20"/>
                <w:color w:val="auto"/>
              </w:rPr>
            </w:pPr>
            <w:r>
              <w:rPr>
                <w:rFonts w:ascii="Arial" w:cs="Arial" w:eastAsia="Arial" w:hAnsi="Arial"/>
                <w:sz w:val="18"/>
                <w:szCs w:val="18"/>
                <w:color w:val="auto"/>
              </w:rPr>
              <w:t>Real estate(1)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Residential first mortgages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690,288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672,592</w:t>
            </w:r>
          </w:p>
        </w:tc>
        <w:tc>
          <w:tcPr>
            <w:tcW w:w="0" w:type="dxa"/>
            <w:vAlign w:val="bottom"/>
          </w:tcPr>
          <w:p>
            <w:pPr>
              <w:spacing w:after="0"/>
              <w:rPr>
                <w:sz w:val="1"/>
                <w:szCs w:val="1"/>
                <w:color w:val="auto"/>
              </w:rPr>
            </w:pPr>
          </w:p>
        </w:tc>
      </w:tr>
      <w:tr>
        <w:trPr>
          <w:trHeight w:val="216"/>
        </w:trPr>
        <w:tc>
          <w:tcPr>
            <w:tcW w:w="7440" w:type="dxa"/>
            <w:vAlign w:val="bottom"/>
            <w:gridSpan w:val="4"/>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5"/>
              <w:spacing w:after="0"/>
              <w:rPr>
                <w:sz w:val="20"/>
                <w:szCs w:val="20"/>
                <w:color w:val="auto"/>
              </w:rPr>
            </w:pPr>
            <w:r>
              <w:rPr>
                <w:rFonts w:ascii="Arial" w:cs="Arial" w:eastAsia="Arial" w:hAnsi="Arial"/>
                <w:sz w:val="18"/>
                <w:szCs w:val="18"/>
                <w:color w:val="auto"/>
              </w:rPr>
              <w:t>143,037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136,560</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Construction and land development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133,852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143,188</w:t>
            </w:r>
          </w:p>
        </w:tc>
        <w:tc>
          <w:tcPr>
            <w:tcW w:w="0" w:type="dxa"/>
            <w:vAlign w:val="bottom"/>
          </w:tcPr>
          <w:p>
            <w:pPr>
              <w:spacing w:after="0"/>
              <w:rPr>
                <w:sz w:val="1"/>
                <w:szCs w:val="1"/>
                <w:color w:val="auto"/>
              </w:rPr>
            </w:pPr>
          </w:p>
        </w:tc>
      </w:tr>
      <w:tr>
        <w:trPr>
          <w:trHeight w:val="216"/>
        </w:trPr>
        <w:tc>
          <w:tcPr>
            <w:tcW w:w="7440" w:type="dxa"/>
            <w:vAlign w:val="bottom"/>
            <w:gridSpan w:val="4"/>
          </w:tcPr>
          <w:p>
            <w:pPr>
              <w:ind w:left="180"/>
              <w:spacing w:after="0"/>
              <w:rPr>
                <w:sz w:val="20"/>
                <w:szCs w:val="20"/>
                <w:color w:val="auto"/>
              </w:rPr>
            </w:pPr>
            <w:r>
              <w:rPr>
                <w:rFonts w:ascii="Arial" w:cs="Arial" w:eastAsia="Arial" w:hAnsi="Arial"/>
                <w:sz w:val="18"/>
                <w:szCs w:val="18"/>
                <w:color w:val="auto"/>
              </w:rPr>
              <w:t>Other(2)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5"/>
              <w:spacing w:after="0"/>
              <w:rPr>
                <w:sz w:val="20"/>
                <w:szCs w:val="20"/>
                <w:color w:val="auto"/>
              </w:rPr>
            </w:pPr>
            <w:r>
              <w:rPr>
                <w:rFonts w:ascii="Arial" w:cs="Arial" w:eastAsia="Arial" w:hAnsi="Arial"/>
                <w:sz w:val="18"/>
                <w:szCs w:val="18"/>
                <w:color w:val="auto"/>
              </w:rPr>
              <w:t>547,314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538,880</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306,757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291,091</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5"/>
              <w:spacing w:after="0"/>
              <w:rPr>
                <w:sz w:val="20"/>
                <w:szCs w:val="20"/>
                <w:color w:val="auto"/>
              </w:rPr>
            </w:pPr>
            <w:r>
              <w:rPr>
                <w:rFonts w:ascii="Arial" w:cs="Arial" w:eastAsia="Arial" w:hAnsi="Arial"/>
                <w:sz w:val="18"/>
                <w:szCs w:val="18"/>
                <w:color w:val="auto"/>
              </w:rPr>
              <w:t>245,845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231,786</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Agricultural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4"/>
          </w:tcPr>
          <w:p>
            <w:pPr>
              <w:ind w:left="180"/>
              <w:spacing w:after="0"/>
              <w:rPr>
                <w:sz w:val="20"/>
                <w:szCs w:val="20"/>
                <w:color w:val="auto"/>
              </w:rPr>
            </w:pPr>
            <w:r>
              <w:rPr>
                <w:rFonts w:ascii="Arial" w:cs="Arial" w:eastAsia="Arial" w:hAnsi="Arial"/>
                <w:sz w:val="18"/>
                <w:szCs w:val="18"/>
                <w:color w:val="auto"/>
              </w:rPr>
              <w:t>Total loans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5"/>
              <w:spacing w:after="0"/>
              <w:rPr>
                <w:sz w:val="20"/>
                <w:szCs w:val="20"/>
                <w:color w:val="auto"/>
              </w:rPr>
            </w:pPr>
            <w:r>
              <w:rPr>
                <w:rFonts w:ascii="Arial" w:cs="Arial" w:eastAsia="Arial" w:hAnsi="Arial"/>
                <w:sz w:val="18"/>
                <w:szCs w:val="18"/>
                <w:color w:val="auto"/>
              </w:rPr>
              <w:t>2,071,435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2,018,817</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40" w:type="dxa"/>
            <w:vAlign w:val="bottom"/>
            <w:gridSpan w:val="4"/>
          </w:tcPr>
          <w:p>
            <w:pPr>
              <w:spacing w:after="0"/>
              <w:rPr>
                <w:sz w:val="20"/>
                <w:szCs w:val="20"/>
                <w:color w:val="auto"/>
              </w:rPr>
            </w:pPr>
            <w:r>
              <w:rPr>
                <w:rFonts w:ascii="Arial" w:cs="Arial" w:eastAsia="Arial" w:hAnsi="Arial"/>
                <w:sz w:val="18"/>
                <w:szCs w:val="18"/>
                <w:color w:val="auto"/>
              </w:rPr>
              <w:t>(1) Includes both residential and non-residential commercial loans secured by real estate.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gridSpan w:val="4"/>
          </w:tcPr>
          <w:p>
            <w:pPr>
              <w:spacing w:after="0"/>
              <w:rPr>
                <w:sz w:val="20"/>
                <w:szCs w:val="20"/>
                <w:color w:val="auto"/>
              </w:rPr>
            </w:pPr>
            <w:r>
              <w:rPr>
                <w:rFonts w:ascii="Arial" w:cs="Arial" w:eastAsia="Arial" w:hAnsi="Arial"/>
                <w:sz w:val="18"/>
                <w:szCs w:val="18"/>
                <w:color w:val="auto"/>
              </w:rPr>
              <w:t>(2) Includes loans secured by multi-family residential and non-farm, non-residential property.</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2"/>
        </w:trPr>
        <w:tc>
          <w:tcPr>
            <w:tcW w:w="320" w:type="dxa"/>
            <w:vAlign w:val="bottom"/>
          </w:tcPr>
          <w:p>
            <w:pPr>
              <w:spacing w:after="0"/>
              <w:rPr>
                <w:sz w:val="24"/>
                <w:szCs w:val="24"/>
                <w:color w:val="auto"/>
              </w:rPr>
            </w:pPr>
          </w:p>
        </w:tc>
        <w:tc>
          <w:tcPr>
            <w:tcW w:w="7120" w:type="dxa"/>
            <w:vAlign w:val="bottom"/>
            <w:gridSpan w:val="3"/>
          </w:tcPr>
          <w:p>
            <w:pPr>
              <w:ind w:left="820"/>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30"/>
                <w:szCs w:val="30"/>
                <w:b w:val="1"/>
                <w:bCs w:val="1"/>
                <w:color w:val="auto"/>
                <w:vertAlign w:val="superscript"/>
              </w:rPr>
              <w:t>(1)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w w:val="94"/>
              </w:rPr>
              <w:t>March 31,</w:t>
            </w:r>
          </w:p>
        </w:tc>
        <w:tc>
          <w:tcPr>
            <w:tcW w:w="140" w:type="dxa"/>
            <w:vAlign w:val="bottom"/>
          </w:tcPr>
          <w:p>
            <w:pPr>
              <w:spacing w:after="0"/>
              <w:rPr>
                <w:sz w:val="24"/>
                <w:szCs w:val="24"/>
                <w:color w:val="auto"/>
              </w:rPr>
            </w:pPr>
          </w:p>
        </w:tc>
        <w:tc>
          <w:tcPr>
            <w:tcW w:w="1140" w:type="dxa"/>
            <w:vAlign w:val="bottom"/>
            <w:gridSpan w:val="2"/>
            <w:vMerge w:val="restart"/>
          </w:tcPr>
          <w:p>
            <w:pPr>
              <w:jc w:val="right"/>
              <w:ind w:right="35"/>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in</w:t>
            </w: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As a percent of Portfolio Loans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Non-performing loans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275.99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tabs>
          <w:tab w:leader="none" w:pos="32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Excludes loans classified as “troubled debt restructured” that are not past due.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77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March 31, 2018</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Retail (1)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81"/>
              </w:rPr>
              <w:t>(In thousands)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52,022</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59,902</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Non-performing TDR's(2)</w:t>
            </w:r>
          </w:p>
        </w:tc>
        <w:tc>
          <w:tcPr>
            <w:tcW w:w="3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3,454</w:t>
            </w:r>
            <w:r>
              <w:rPr>
                <w:rFonts w:ascii="Arial" w:cs="Arial" w:eastAsia="Arial" w:hAnsi="Arial"/>
                <w:sz w:val="25"/>
                <w:szCs w:val="25"/>
                <w:color w:val="auto"/>
                <w:vertAlign w:val="superscript"/>
              </w:rPr>
              <w:t>(3)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3,729</w:t>
            </w:r>
          </w:p>
        </w:tc>
      </w:tr>
      <w:tr>
        <w:trPr>
          <w:trHeight w:val="257"/>
        </w:trPr>
        <w:tc>
          <w:tcPr>
            <w:tcW w:w="7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55,476</w:t>
            </w: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3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89"/>
              </w:rPr>
              <w:t>December 31, 2017</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Retail</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81"/>
              </w:rPr>
              <w:t>(In thousands)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52,367</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60,115</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Non-performing TDR's(2)</w:t>
            </w:r>
          </w:p>
        </w:tc>
        <w:tc>
          <w:tcPr>
            <w:tcW w:w="3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4,506</w:t>
            </w:r>
            <w:r>
              <w:rPr>
                <w:rFonts w:ascii="Arial" w:cs="Arial" w:eastAsia="Arial" w:hAnsi="Arial"/>
                <w:sz w:val="25"/>
                <w:szCs w:val="25"/>
                <w:color w:val="auto"/>
                <w:vertAlign w:val="superscript"/>
              </w:rPr>
              <w:t>(3)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4,829</w:t>
            </w:r>
          </w:p>
        </w:tc>
      </w:tr>
      <w:tr>
        <w:trPr>
          <w:trHeight w:val="257"/>
        </w:trPr>
        <w:tc>
          <w:tcPr>
            <w:tcW w:w="7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56,873</w:t>
            </w: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Retail loans include mortgage and installment portfolio segments.</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Non-performing loans decreased by $1.6 million, or 19.0%, during the first quarter of 2018 due principally to decreases in non-performing commercial loans and mortgage loans. These declines primarily reflect reduced levels of new loan defaults as well as loan charge-offs, pay-offs, negotiated transactions, and the migration of loans into other real estate.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$59.9 million, or 2.9% of total Portfolio Loans, and $60.1 million, or 3.0% of total Portfolio Loans, at March 31, 2018 and December 31, 2017, respectively. The decrease in the amount of performing TDRs in the first quarter of 2018 primarily reflects pay downs and payoffs.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Other real estate and repossessed assets were essentially unchanged and totaled $1.6 million at both March 31, 2018 and December 31, 2017.</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ratio of loan net charge-offs to average Portfolio Loans was a negative 0.03% (as a result of net recoveries) on an annualized basis in the first quarter of 2018 compared to a negative 0.04% in the first quarter of 2017. The dollar amount of loan net recoveries was essentially unchanged in the first quarter of 2018 as compared to the year-ago period.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Allowance for loan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8"/>
            <w:vMerge w:val="restart"/>
          </w:tcPr>
          <w:p>
            <w:pPr>
              <w:jc w:val="center"/>
              <w:ind w:right="760"/>
              <w:spacing w:after="0"/>
              <w:rPr>
                <w:sz w:val="20"/>
                <w:szCs w:val="20"/>
                <w:color w:val="auto"/>
              </w:rPr>
            </w:pPr>
            <w:r>
              <w:rPr>
                <w:rFonts w:ascii="Arial" w:cs="Arial" w:eastAsia="Arial" w:hAnsi="Arial"/>
                <w:sz w:val="18"/>
                <w:szCs w:val="18"/>
                <w:color w:val="auto"/>
                <w:w w:val="87"/>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8"/>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5"/>
            <w:vMerge w:val="restart"/>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180" w:type="dxa"/>
            <w:vAlign w:val="bottom"/>
            <w:gridSpan w:val="5"/>
          </w:tcPr>
          <w:p>
            <w:pPr>
              <w:jc w:val="center"/>
              <w:ind w:left="230"/>
              <w:spacing w:after="0"/>
              <w:rPr>
                <w:sz w:val="20"/>
                <w:szCs w:val="20"/>
                <w:color w:val="auto"/>
              </w:rPr>
            </w:pPr>
            <w:r>
              <w:rPr>
                <w:rFonts w:ascii="Arial" w:cs="Arial" w:eastAsia="Arial" w:hAnsi="Arial"/>
                <w:sz w:val="18"/>
                <w:szCs w:val="18"/>
                <w:color w:val="auto"/>
                <w:w w:val="92"/>
              </w:rPr>
              <w:t>March 31,</w:t>
            </w:r>
          </w:p>
        </w:tc>
        <w:tc>
          <w:tcPr>
            <w:tcW w:w="1280" w:type="dxa"/>
            <w:vAlign w:val="bottom"/>
            <w:gridSpan w:val="5"/>
            <w:vMerge w:val="restart"/>
          </w:tcPr>
          <w:p>
            <w:pPr>
              <w:jc w:val="right"/>
              <w:ind w:right="37"/>
              <w:spacing w:after="0"/>
              <w:rPr>
                <w:sz w:val="20"/>
                <w:szCs w:val="20"/>
                <w:color w:val="auto"/>
              </w:rPr>
            </w:pPr>
            <w:r>
              <w:rPr>
                <w:rFonts w:ascii="Arial" w:cs="Arial" w:eastAsia="Arial" w:hAnsi="Arial"/>
                <w:sz w:val="18"/>
                <w:szCs w:val="18"/>
                <w:color w:val="auto"/>
              </w:rPr>
              <w:t>2017</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3"/>
          </w:tcPr>
          <w:p>
            <w:pPr>
              <w:jc w:val="right"/>
              <w:ind w:right="110"/>
              <w:spacing w:after="0" w:line="201" w:lineRule="exact"/>
              <w:rPr>
                <w:sz w:val="20"/>
                <w:szCs w:val="20"/>
                <w:color w:val="auto"/>
              </w:rPr>
            </w:pPr>
            <w:r>
              <w:rPr>
                <w:rFonts w:ascii="Arial" w:cs="Arial" w:eastAsia="Arial" w:hAnsi="Arial"/>
                <w:sz w:val="18"/>
                <w:szCs w:val="18"/>
                <w:color w:val="auto"/>
              </w:rPr>
              <w:t>Unfunded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89"/>
              </w:rPr>
              <w:t>Loans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9"/>
          </w:tcPr>
          <w:p>
            <w:pPr>
              <w:jc w:val="center"/>
              <w:ind w:right="560"/>
              <w:spacing w:after="0"/>
              <w:rPr>
                <w:sz w:val="20"/>
                <w:szCs w:val="20"/>
                <w:color w:val="auto"/>
              </w:rPr>
            </w:pPr>
            <w:r>
              <w:rPr>
                <w:rFonts w:ascii="Arial" w:cs="Arial" w:eastAsia="Arial" w:hAnsi="Arial"/>
                <w:sz w:val="18"/>
                <w:szCs w:val="18"/>
                <w:color w:val="auto"/>
                <w:w w:val="91"/>
              </w:rPr>
              <w:t>(Dollars 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22,587</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Additions (deductions)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Recoveries credited to allowance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1,129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(845)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Additions included in non-interest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loans charged against the allowance to average Portfolio Loans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4"/>
            <w:vMerge w:val="restart"/>
          </w:tcPr>
          <w:p>
            <w:pPr>
              <w:jc w:val="right"/>
              <w:ind w:right="19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4"/>
                <w:szCs w:val="24"/>
                <w:color w:val="auto"/>
              </w:rPr>
            </w:pPr>
          </w:p>
        </w:tc>
        <w:tc>
          <w:tcPr>
            <w:tcW w:w="1180" w:type="dxa"/>
            <w:vAlign w:val="bottom"/>
            <w:gridSpan w:val="5"/>
            <w:vMerge w:val="restart"/>
          </w:tcPr>
          <w:p>
            <w:pPr>
              <w:ind w:left="40"/>
              <w:spacing w:after="0"/>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right"/>
              <w:ind w:right="7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8"/>
                <w:szCs w:val="18"/>
                <w:color w:val="auto"/>
              </w:rPr>
              <w:t>(In thousands)</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6,839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1,865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7,245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Additional allocations based on subjective factors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7,629</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23,071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allowance for loan losses increased $0.5 million to $23.1 million at March 31, 2018 from $22.6 million at December 31, 2017 and was equal to 1.11% of total Portfolio Loans at March 31, 2018 compared to 1.12% at December 31, 2017.</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Three of the four components of the allowance for loan losses outlined above increased in the first quarter of 2018. The allowance for loan losses related to specific loans decreased $0.5 million in 2018 due primarily to a decline in the balance of individually impaired loans and lower loss given default rates as well as charge-offs. The allowance for loan losses related to other adversely rated commercial loans increased $0.6 million in 2018 primarily due to an increase in the balance of such loans included in this component to $35.3 million at March 31, 2018 from $27.2 million at December 31, 2017 and $11.6 million at March 31, 2017. Approximately two-thirds of the year-over-year increase of $23.7 million was in the earliest watch stage (7-rated commercial loans), all of the loans representing the increase are current and at the present time, no significant loss is expected on any of these credits. The allowance for loan losses related to historical losses increased $0.1 million during 2018 due principally to loan growth. The allowance for loan losses related to subjective factors increased $0.2 million during 2018 primarily due to loan growth.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By comparison, three of the four components of the allowance for loan losses outlined above increased in the first quarter of 2017. The allowance for loan losses related to specific loans decreased $1.5 million in 2017 due primarily to a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$0.1 million in 2017 primarily due to slight upward adjustments in our probability of default and expected loss rates that were partially offset by a decrease in the balance of such loans included in this component to $11.6 million at March 31, 2017 from $11.8 million at December 31, 2016. The allowance for loan losses related to historical losses increased $0.9 million during 2017 due principally to slight upward adjustments in our probability of default and expected loss rates for commercial loans, an additional component of approximately $0.5 million added for loans secured by commercial real estate due primarily to emerging risks in this sector (such as retail store closings and potential overdevelopment in certain markets) and loan growth. We also extended our historical lookback period to be more representative of the probability of default and account for infrequent migration events and extremely low levels of watch credits. The allowance for loan losses related to subjective factors increased $0.3 million during 2017 primarily due to loan growth.</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Deposits totaled $2.43 billion and $2.40 billion at March 31, 2018 and December 31, 2017, respectively. The $29.9 million increase in deposits in the first quarter of 2018 is primarily due to growth in savings and interest-bearing checking deposit account balances. Reciprocal deposits totaled $63.0 million and $51.0 million at March 31, 2018 and December 31, 2017, respectively. These deposits represent demand, money market and time deposits from our customers that have been placed through Promontory Interfinancial Network’s Insured Cash Sweep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service and Certificate of Deposit Account Registry Service</w:t>
      </w:r>
      <w:r>
        <w:rPr>
          <w:rFonts w:ascii="Arial" w:cs="Arial" w:eastAsia="Arial" w:hAnsi="Arial"/>
          <w:sz w:val="30"/>
          <w:szCs w:val="30"/>
          <w:color w:val="auto"/>
          <w:vertAlign w:val="superscript"/>
        </w:rPr>
        <w:t>®</w:t>
      </w:r>
      <w:r>
        <w:rPr>
          <w:rFonts w:ascii="Arial" w:cs="Arial" w:eastAsia="Arial" w:hAnsi="Arial"/>
          <w:sz w:val="18"/>
          <w:szCs w:val="18"/>
          <w:color w:val="auto"/>
        </w:rPr>
        <w:t>. These services allow our customers to access multi-million dollar FDIC deposit insurance on deposit balances greater than the standard FDIC insurance maximum.</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March 31, 2018, we had approximately $536.0 million of uninsured deposits. A reduction in core deposits would likely increase our need to rely on wholesale funding sources.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borrowings, comprised primarily of federal funds purchased and advances from the FHLB, totaled $27.8 million and $54.6 million at March 31, 2018 and December 31, 2017, respectively.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we utilize wholesale funding, including FHLB borrowings and Brokered CDs to augment our core deposits and fund a portion of our assets. At March 31, 2018, our use of such wholesale funding sources (including reciprocal deposits) amounted to approximately $206.0 million, or 8.4%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quarters of 2018 and 2017, we entered into $11.3 million and $9.8 million (aggregate notional amounts), respectively, of interest rate swaps with commercial loan customers, which were offset with interest rate swaps that the Bank entered into with a broker-dealer. We recorded $0.10 million and $0.05 million of fee income related to these transactions during the first quarters of 2018 and 2017, respectively. See note #6 to the Condensed Consolidated Financial Statements included within this report for more information on our derivative financial instruments.</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banks, and access to the capital markets (for Brokered CDs).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At March 31, 2018, we had $426.3 million of time deposits that mature in the next 12 months. Historically, a majority of these maturing time deposits are renewed by our customers. Additionally, $1.89 billion of our deposits at March 31, 2018,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$17.0 million as of March 31, 2018 provides sufficient liquidity resources at the parent company to meet operating expenses, to make interest payments on the subordinated debentures and to pay a cash dividend on our common stock for the foreseeable future.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restart"/>
          </w:tcPr>
          <w:p>
            <w:pPr>
              <w:jc w:val="right"/>
              <w:ind w:right="255"/>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(48,098)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267,917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2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2018 and December 31, 2017.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shareholders’ equity increased to $267.9 million at March 31, 2018 from $264.9 million at December 31, 2017 due primarily to our net income that was partially offset by an increase in our accumulated other comprehensive loss and by a dividend that we paid. Our tangible common equity (“TCE”) totaled $266.4 million and $263.3 million, respectively, at those same dates. Our ratio of TCE to tangible assets was 9.54% and 9.45% at March 31, 2018 and December 31, 2017, respectively. TCE and the ratio of TCE to tangible assets are non-GAAP measures. TCE represents total common equity less intangible assets.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our Board of Directors authorized a share repurchase plan. Under the terms of the 2018 share repurchase plan, we are authorized to buy back up to 5% of our outstanding common stock. This repurchase plan is authorized to last through December 31, 2018. We did not repurchase any shares during the first quarter of 2018.</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pay a quarterly cash dividend on our common stock. These dividends totaled $0.15 per share and $0.10 per share in the first quarters of 2018 and 2017, respectively. We generally favor a dividend payout ratio between 30% and 50% of net income.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2018 and December 31, 2017, our Bank (and holding company) continued to meet the requirements to be considered “well-capitalized” under federal regulatory standards (also see note #10 to the Condensed Consolidated Financial Statements included within this report).</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Market Value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Change in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Of Portfolio</w:t>
            </w:r>
          </w:p>
        </w:tc>
        <w:tc>
          <w:tcPr>
            <w:tcW w:w="1380" w:type="dxa"/>
            <w:vAlign w:val="bottom"/>
            <w:gridSpan w:val="2"/>
          </w:tcPr>
          <w:p>
            <w:pPr>
              <w:jc w:val="right"/>
              <w:ind w:right="470"/>
              <w:spacing w:after="0"/>
              <w:rPr>
                <w:sz w:val="20"/>
                <w:szCs w:val="20"/>
                <w:color w:val="auto"/>
              </w:rPr>
            </w:pPr>
            <w:r>
              <w:rPr>
                <w:rFonts w:ascii="Arial" w:cs="Arial" w:eastAsia="Arial" w:hAnsi="Arial"/>
                <w:sz w:val="18"/>
                <w:szCs w:val="18"/>
                <w:color w:val="auto"/>
              </w:rPr>
              <w:t>Percent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Net Interest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Rates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Equity(1)</w:t>
            </w:r>
          </w:p>
        </w:tc>
        <w:tc>
          <w:tcPr>
            <w:tcW w:w="1380" w:type="dxa"/>
            <w:vAlign w:val="bottom"/>
            <w:gridSpan w:val="2"/>
          </w:tcPr>
          <w:p>
            <w:pPr>
              <w:jc w:val="right"/>
              <w:ind w:right="470"/>
              <w:spacing w:after="0"/>
              <w:rPr>
                <w:sz w:val="20"/>
                <w:szCs w:val="20"/>
                <w:color w:val="auto"/>
              </w:rPr>
            </w:pPr>
            <w:r>
              <w:rPr>
                <w:rFonts w:ascii="Arial" w:cs="Arial" w:eastAsia="Arial" w:hAnsi="Arial"/>
                <w:sz w:val="18"/>
                <w:szCs w:val="18"/>
                <w:color w:val="auto"/>
              </w:rPr>
              <w:t>Change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Income(2)</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8"/>
                <w:szCs w:val="18"/>
                <w:color w:val="auto"/>
              </w:rPr>
              <w:t>in</w:t>
            </w:r>
          </w:p>
        </w:tc>
        <w:tc>
          <w:tcPr>
            <w:tcW w:w="116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March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(Dollars</w:t>
            </w:r>
          </w:p>
        </w:tc>
        <w:tc>
          <w:tcPr>
            <w:tcW w:w="300" w:type="dxa"/>
            <w:vAlign w:val="bottom"/>
            <w:gridSpan w:val="2"/>
            <w:vMerge w:val="continue"/>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424,200</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(0.75)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102,400</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427,400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409,000</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96,500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409,200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417,100</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98,600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386,400</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91,600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0890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Certain equity securities,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AFLL, capitalized mortgage loan servicing rights,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2018, have concluded that, as of such date, our disclosure controls and procedures were effective.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March 31, 2018,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2018, the Company issued 703 shares of common stock to non-employee directors on a current basis and 1,682 shares of common stock to the trust for distribution to directors on a deferred basis. The shares were issued in January 2018, at prices of $22.35 per share and $22.70 per share, representing aggregate fees of $0.05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March 31,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420" w:type="dxa"/>
            <w:vAlign w:val="bottom"/>
          </w:tcPr>
          <w:p>
            <w:pPr>
              <w:ind w:left="2420"/>
              <w:spacing w:after="0"/>
              <w:rPr>
                <w:sz w:val="20"/>
                <w:szCs w:val="20"/>
                <w:color w:val="auto"/>
              </w:rPr>
            </w:pPr>
            <w:r>
              <w:rPr>
                <w:rFonts w:ascii="Arial" w:cs="Arial" w:eastAsia="Arial" w:hAnsi="Arial"/>
                <w:sz w:val="18"/>
                <w:szCs w:val="18"/>
                <w:color w:val="auto"/>
              </w:rPr>
              <w:t>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 (1)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2018</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36,722</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February 2018</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29,245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2018</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65,967</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23.51</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1,066,693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(i) 28,639 shares of our common stock purchased in the open market by the Independent Bank Corporation Employee Stock Ownership Trust as part of our employee stock ownership plan, and (ii) 37,328 shares withheld from the shares that would otherwise have been issued to certain officers in order to satisfy tax withholding obligations resulting from vesting of restricted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52" w:lineRule="exact"/>
        <w:rPr>
          <w:sz w:val="20"/>
          <w:szCs w:val="20"/>
          <w:color w:val="auto"/>
        </w:rPr>
      </w:pPr>
    </w:p>
    <w:p>
      <w:pPr>
        <w:ind w:left="580" w:hanging="381"/>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1040" w:hanging="459"/>
        <w:spacing w:after="0" w:line="250" w:lineRule="auto"/>
        <w:rPr>
          <w:rFonts w:ascii="Arial" w:cs="Arial" w:eastAsia="Arial" w:hAnsi="Arial"/>
          <w:sz w:val="18"/>
          <w:szCs w:val="18"/>
          <w:color w:val="0000EE"/>
        </w:rPr>
      </w:pPr>
      <w:hyperlink w:anchor="page83">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040" w:hanging="459"/>
        <w:spacing w:after="0" w:line="250" w:lineRule="auto"/>
        <w:rPr>
          <w:rFonts w:ascii="Arial" w:cs="Arial" w:eastAsia="Arial" w:hAnsi="Arial"/>
          <w:sz w:val="18"/>
          <w:szCs w:val="18"/>
          <w:color w:val="0000EE"/>
        </w:rPr>
      </w:pPr>
      <w:hyperlink w:anchor="page84">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040" w:hanging="459"/>
        <w:spacing w:after="0" w:line="250" w:lineRule="auto"/>
        <w:rPr>
          <w:rFonts w:ascii="Arial" w:cs="Arial" w:eastAsia="Arial" w:hAnsi="Arial"/>
          <w:sz w:val="18"/>
          <w:szCs w:val="18"/>
          <w:color w:val="0000EE"/>
        </w:rPr>
      </w:pPr>
      <w:hyperlink w:anchor="page85">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040" w:hanging="459"/>
        <w:spacing w:after="0" w:line="250" w:lineRule="auto"/>
        <w:rPr>
          <w:rFonts w:ascii="Arial" w:cs="Arial" w:eastAsia="Arial" w:hAnsi="Arial"/>
          <w:sz w:val="18"/>
          <w:szCs w:val="18"/>
          <w:color w:val="0000EE"/>
        </w:rPr>
      </w:pPr>
      <w:hyperlink w:anchor="page86">
        <w:r>
          <w:rPr>
            <w:rFonts w:ascii="Arial" w:cs="Arial" w:eastAsia="Arial" w:hAnsi="Arial"/>
            <w:sz w:val="18"/>
            <w:szCs w:val="18"/>
            <w:u w:val="single" w:color="auto"/>
            <w:color w:val="0000EE"/>
          </w:rPr>
          <w:t>32.2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72466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5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INS Instance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SCH XBRL Taxonomy Extension Schema Document</w:t>
      </w:r>
    </w:p>
    <w:p>
      <w:pPr>
        <w:spacing w:after="0" w:line="9" w:lineRule="exact"/>
        <w:rPr>
          <w:rFonts w:ascii="Arial" w:cs="Arial" w:eastAsia="Arial" w:hAnsi="Arial"/>
          <w:sz w:val="18"/>
          <w:szCs w:val="18"/>
          <w:color w:val="0000EE"/>
        </w:rPr>
      </w:pPr>
    </w:p>
    <w:p>
      <w:pPr>
        <w:ind w:left="5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CAL XBRL Taxonomy Extension Calculation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DEF XBRL Taxonomy Extension Definition Linkbase Document</w:t>
      </w:r>
    </w:p>
    <w:p>
      <w:pPr>
        <w:spacing w:after="0" w:line="9" w:lineRule="exact"/>
        <w:rPr>
          <w:rFonts w:ascii="Arial" w:cs="Arial" w:eastAsia="Arial" w:hAnsi="Arial"/>
          <w:sz w:val="18"/>
          <w:szCs w:val="18"/>
          <w:color w:val="0000EE"/>
        </w:rPr>
      </w:pPr>
    </w:p>
    <w:p>
      <w:pPr>
        <w:ind w:left="5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LAB XBRL Taxonomy Extension Label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PRE XBRL Taxonomy Extension Presentation Linkbase Document</w:t>
      </w:r>
    </w:p>
    <w:p>
      <w:pPr>
        <w:spacing w:after="0" w:line="39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1240" w:val="left"/>
          <w:tab w:leader="none" w:pos="638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5951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1240" w:val="left"/>
          <w:tab w:leader="none" w:pos="6440" w:val="left"/>
          <w:tab w:leader="none" w:pos="8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5951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4, 2018</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William B. Kessel</w:t>
            </w:r>
          </w:p>
        </w:tc>
        <w:tc>
          <w:tcPr>
            <w:tcW w:w="412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6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7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4, 2018</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Robert N. Shuster</w:t>
            </w:r>
          </w:p>
        </w:tc>
        <w:tc>
          <w:tcPr>
            <w:tcW w:w="414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2018,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right="500" w:firstLine="656"/>
        <w:spacing w:after="0" w:line="277" w:lineRule="auto"/>
        <w:tabs>
          <w:tab w:leader="none" w:pos="13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31, 2018,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4, 2018</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William B. Kessel</w:t>
            </w:r>
          </w:p>
        </w:tc>
        <w:tc>
          <w:tcPr>
            <w:tcW w:w="158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2018, which this statement accompanies, fully complies with requirements of Section 13(a) or 15(d) of the Securities Exchange Act of 1934 and;</w:t>
      </w:r>
    </w:p>
    <w:p>
      <w:pPr>
        <w:spacing w:after="0" w:line="224" w:lineRule="exact"/>
        <w:rPr>
          <w:rFonts w:ascii="Arial" w:cs="Arial" w:eastAsia="Arial" w:hAnsi="Arial"/>
          <w:sz w:val="18"/>
          <w:szCs w:val="18"/>
          <w:color w:val="auto"/>
        </w:rPr>
      </w:pPr>
    </w:p>
    <w:p>
      <w:pPr>
        <w:ind w:firstLine="656"/>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March 31, 2018,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May 4, 2018</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N. Shuster</w:t>
            </w:r>
          </w:p>
        </w:tc>
        <w:tc>
          <w:tcPr>
            <w:tcW w:w="160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4"/>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9"/>
    </w:lvl>
  </w:abstractNum>
  <w:abstractNum w:abstractNumId="9">
    <w:nsid w:val="721DA317"/>
    <w:multiLevelType w:val="hybridMultilevel"/>
    <w:lvl w:ilvl="0">
      <w:lvlJc w:val="left"/>
      <w:lvlText w:val="%1."/>
      <w:numFmt w:val="decimal"/>
      <w:start w:val="10"/>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
      <w:numFmt w:val="bullet"/>
      <w:start w:val="1"/>
    </w:lvl>
    <w:lvl w:ilvl="1">
      <w:lvlJc w:val="left"/>
      <w:lvlText w:val="-"/>
      <w:numFmt w:val="bullet"/>
      <w:start w:val="1"/>
    </w:lvl>
  </w:abstractNum>
  <w:abstractNum w:abstractNumId="17">
    <w:nsid w:val="B03E0C6"/>
    <w:multiLevelType w:val="hybridMultilevel"/>
    <w:lvl w:ilvl="0">
      <w:lvlJc w:val="left"/>
      <w:lvlText w:val="$"/>
      <w:numFmt w:val="bullet"/>
      <w:start w:val="1"/>
    </w:lvl>
    <w:lvl w:ilvl="1">
      <w:lvlJc w:val="left"/>
      <w:lvlText w:val="(%2)"/>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lvl w:ilvl="1">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5"/>
    </w:lvl>
  </w:abstractNum>
  <w:abstractNum w:abstractNumId="22">
    <w:nsid w:val="836C40E"/>
    <w:multiLevelType w:val="hybridMultilevel"/>
    <w:lvl w:ilvl="0">
      <w:lvlJc w:val="left"/>
      <w:lvlText w:val="%1."/>
      <w:numFmt w:val="decimal"/>
      <w:start w:val="16"/>
    </w:lvl>
  </w:abstractNum>
  <w:abstractNum w:abstractNumId="23">
    <w:nsid w:val="2901D82"/>
    <w:multiLevelType w:val="hybridMultilevel"/>
    <w:lvl w:ilvl="0">
      <w:lvlJc w:val="left"/>
      <w:lvlText w:val="%1."/>
      <w:numFmt w:val="decimal"/>
      <w:start w:val="17"/>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2020-01-15T08:52:46Z</dcterms:created>
  <dcterms:modified xsi:type="dcterms:W3CDTF">2020-01-15T08:52:46Z</dcterms:modified>
</cp:coreProperties>
</file>