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205105</wp:posOffset>
            </wp:positionH>
            <wp:positionV relativeFrom="page">
              <wp:posOffset>825500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850265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10-Q</w:t>
      </w:r>
    </w:p>
    <w:p>
      <w:pPr>
        <w:spacing w:after="0" w:line="195" w:lineRule="exact"/>
        <w:rPr>
          <w:sz w:val="24"/>
          <w:szCs w:val="24"/>
          <w:color w:val="auto"/>
        </w:rPr>
      </w:pPr>
    </w:p>
    <w:p>
      <w:pPr>
        <w:ind w:right="480"/>
        <w:spacing w:after="0" w:line="287" w:lineRule="auto"/>
        <w:rPr>
          <w:sz w:val="20"/>
          <w:szCs w:val="20"/>
          <w:color w:val="auto"/>
        </w:rPr>
      </w:pPr>
      <w:r>
        <w:rPr>
          <w:rFonts w:ascii="Times New Roman" w:cs="Times New Roman" w:eastAsia="Times New Roman" w:hAnsi="Times New Roman"/>
          <w:sz w:val="17"/>
          <w:szCs w:val="17"/>
          <w:color w:val="auto"/>
        </w:rPr>
        <w:t xml:space="preserve">QUARTERLY REPORT PURSUANT TO SECTION 13 OR 15(d) OF THE SECURITIES EXCHANGE ACT OF 1934 FOR THE QUARTERLY PERIOD ENDED </w:t>
      </w:r>
      <w:r>
        <w:rPr>
          <w:rFonts w:ascii="Times New Roman" w:cs="Times New Roman" w:eastAsia="Times New Roman" w:hAnsi="Times New Roman"/>
          <w:sz w:val="17"/>
          <w:szCs w:val="17"/>
          <w:u w:val="single" w:color="auto"/>
          <w:color w:val="auto"/>
        </w:rPr>
        <w:t>September 30, 2024</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-6350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Michigan</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294"/>
              <w:spacing w:after="0"/>
              <w:rPr>
                <w:sz w:val="20"/>
                <w:szCs w:val="20"/>
                <w:color w:val="auto"/>
              </w:rPr>
            </w:pPr>
            <w:r>
              <w:rPr>
                <w:rFonts w:ascii="Times New Roman" w:cs="Times New Roman" w:eastAsia="Times New Roman" w:hAnsi="Times New Roman"/>
                <w:sz w:val="17"/>
                <w:szCs w:val="17"/>
                <w:color w:val="auto"/>
              </w:rPr>
              <w:t>38-2032782</w:t>
            </w:r>
          </w:p>
        </w:tc>
      </w:tr>
      <w:tr>
        <w:trPr>
          <w:trHeight w:val="232"/>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 or jurisdiction of Incorporation or Organization)</w:t>
            </w:r>
          </w:p>
        </w:tc>
        <w:tc>
          <w:tcPr>
            <w:tcW w:w="5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Number)</w:t>
            </w:r>
          </w:p>
        </w:tc>
      </w:tr>
    </w:tbl>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(616) 527-5820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address and fiscal year, if changed since last report.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379"/>
        </w:trPr>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00" w:type="dxa"/>
            <w:vAlign w:val="bottom"/>
          </w:tcPr>
          <w:p>
            <w:pPr>
              <w:spacing w:after="0"/>
              <w:rPr>
                <w:sz w:val="24"/>
                <w:szCs w:val="24"/>
                <w:color w:val="auto"/>
              </w:rPr>
            </w:pP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80" w:type="dxa"/>
            <w:vAlign w:val="bottom"/>
          </w:tcPr>
          <w:p>
            <w:pPr>
              <w:spacing w:after="0"/>
              <w:rPr>
                <w:sz w:val="24"/>
                <w:szCs w:val="24"/>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which registered</w:t>
            </w:r>
          </w:p>
        </w:tc>
      </w:tr>
      <w:tr>
        <w:trPr>
          <w:trHeight w:val="232"/>
        </w:trPr>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 no par value</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IBCP</w:t>
            </w:r>
          </w:p>
        </w:tc>
        <w:tc>
          <w:tcPr>
            <w:tcW w:w="4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54" w:lineRule="exact"/>
        <w:rPr>
          <w:sz w:val="24"/>
          <w:szCs w:val="24"/>
          <w:color w:val="auto"/>
        </w:rPr>
      </w:pPr>
    </w:p>
    <w:p>
      <w:pPr>
        <w:ind w:right="40"/>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40"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7" w:lineRule="exact"/>
        <w:rPr>
          <w:sz w:val="24"/>
          <w:szCs w:val="24"/>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2" w:lineRule="exact"/>
        <w:rPr>
          <w:sz w:val="24"/>
          <w:szCs w:val="24"/>
          <w:color w:val="auto"/>
        </w:rPr>
      </w:pPr>
    </w:p>
    <w:p>
      <w:pPr>
        <w:ind w:right="800"/>
        <w:spacing w:after="0" w:line="26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common stock, no par value, 20,894,078 as of November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800735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167005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4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INDEX</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7"/>
              </w:rPr>
              <w:t>Number(s)</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w:t>
            </w:r>
          </w:p>
        </w:tc>
        <w:tc>
          <w:tcPr>
            <w:tcW w:w="926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Financial Information</w:t>
            </w: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93"/>
        </w:trPr>
        <w:tc>
          <w:tcPr>
            <w:tcW w:w="102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7"/>
                <w:szCs w:val="17"/>
                <w:color w:val="auto"/>
              </w:rPr>
              <w:t>Item 1.</w:t>
            </w:r>
          </w:p>
        </w:tc>
        <w:tc>
          <w:tcPr>
            <w:tcW w:w="9260" w:type="dxa"/>
            <w:vAlign w:val="bottom"/>
            <w:gridSpan w:val="1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Financial Condition September 30, 2024 and December 31, 2023</w:t>
            </w:r>
          </w:p>
        </w:tc>
        <w:tc>
          <w:tcPr>
            <w:tcW w:w="960" w:type="dxa"/>
            <w:vAlign w:val="bottom"/>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3</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300" w:type="dxa"/>
            <w:vAlign w:val="bottom"/>
            <w:tcBorders>
              <w:top w:val="single" w:sz="8" w:color="0000FF"/>
            </w:tcBorders>
            <w:shd w:val="clear" w:color="auto" w:fill="CCEEFF"/>
          </w:tcPr>
          <w:p>
            <w:pPr>
              <w:spacing w:after="0"/>
              <w:rPr>
                <w:sz w:val="3"/>
                <w:szCs w:val="3"/>
                <w:color w:val="auto"/>
              </w:rPr>
            </w:pPr>
          </w:p>
        </w:tc>
        <w:tc>
          <w:tcPr>
            <w:tcW w:w="38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180" w:type="dxa"/>
            <w:vAlign w:val="bottom"/>
            <w:tcBorders>
              <w:top w:val="single" w:sz="8" w:color="0000FF"/>
            </w:tcBorders>
            <w:shd w:val="clear" w:color="auto" w:fill="CCEEFF"/>
          </w:tcPr>
          <w:p>
            <w:pPr>
              <w:spacing w:after="0"/>
              <w:rPr>
                <w:sz w:val="3"/>
                <w:szCs w:val="3"/>
                <w:color w:val="auto"/>
              </w:rPr>
            </w:pPr>
          </w:p>
        </w:tc>
        <w:tc>
          <w:tcPr>
            <w:tcW w:w="2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178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Operations Three- and Nine-month periods ended September 30, 2024 and 2023</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4</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193"/>
        </w:trPr>
        <w:tc>
          <w:tcPr>
            <w:tcW w:w="1020" w:type="dxa"/>
            <w:vAlign w:val="bottom"/>
            <w:shd w:val="clear" w:color="auto" w:fill="CCEEFF"/>
          </w:tcPr>
          <w:p>
            <w:pPr>
              <w:spacing w:after="0"/>
              <w:rPr>
                <w:sz w:val="16"/>
                <w:szCs w:val="16"/>
                <w:color w:val="auto"/>
              </w:rPr>
            </w:pP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Three- and Nine-month periods ended September 30, 2024 and</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1"/>
        </w:trPr>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360" w:type="dxa"/>
            <w:vAlign w:val="bottom"/>
            <w:tcBorders>
              <w:top w:val="single" w:sz="8" w:color="0000FF"/>
              <w:bottom w:val="single" w:sz="8" w:color="0000FF"/>
            </w:tcBorders>
            <w:shd w:val="clear" w:color="auto" w:fill="CCEEFF"/>
          </w:tcPr>
          <w:p>
            <w:pPr>
              <w:jc w:val="right"/>
              <w:spacing w:after="0" w:line="173" w:lineRule="exact"/>
              <w:rPr>
                <w:sz w:val="20"/>
                <w:szCs w:val="20"/>
                <w:color w:val="auto"/>
              </w:rPr>
            </w:pPr>
            <w:r>
              <w:rPr>
                <w:rFonts w:ascii="Times New Roman" w:cs="Times New Roman" w:eastAsia="Times New Roman" w:hAnsi="Times New Roman"/>
                <w:sz w:val="17"/>
                <w:szCs w:val="17"/>
                <w:color w:val="0000FF"/>
                <w:w w:val="99"/>
              </w:rPr>
              <w:t>2023</w:t>
            </w: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380" w:type="dxa"/>
            <w:vAlign w:val="bottom"/>
            <w:tcBorders>
              <w:top w:val="single" w:sz="8" w:color="0000FF"/>
              <w:bottom w:val="single" w:sz="8" w:color="CCEEFF"/>
            </w:tcBorders>
            <w:shd w:val="clear" w:color="auto" w:fill="CCEEFF"/>
          </w:tcPr>
          <w:p>
            <w:pPr>
              <w:spacing w:after="0"/>
              <w:rPr>
                <w:sz w:val="20"/>
                <w:szCs w:val="20"/>
                <w:color w:val="auto"/>
              </w:rPr>
            </w:pPr>
          </w:p>
        </w:tc>
        <w:tc>
          <w:tcPr>
            <w:tcW w:w="26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242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20" w:type="dxa"/>
            <w:vAlign w:val="bottom"/>
            <w:tcBorders>
              <w:top w:val="single" w:sz="8" w:color="0000FF"/>
              <w:bottom w:val="single" w:sz="8" w:color="CCEEFF"/>
            </w:tcBorders>
            <w:shd w:val="clear" w:color="auto" w:fill="CCEEFF"/>
          </w:tcPr>
          <w:p>
            <w:pPr>
              <w:spacing w:after="0"/>
              <w:rPr>
                <w:sz w:val="20"/>
                <w:szCs w:val="20"/>
                <w:color w:val="auto"/>
              </w:rPr>
            </w:pPr>
          </w:p>
        </w:tc>
        <w:tc>
          <w:tcPr>
            <w:tcW w:w="1780" w:type="dxa"/>
            <w:vAlign w:val="bottom"/>
            <w:tcBorders>
              <w:top w:val="single" w:sz="8" w:color="0000FF"/>
              <w:bottom w:val="single" w:sz="8" w:color="CCEEFF"/>
            </w:tcBorders>
            <w:shd w:val="clear" w:color="auto" w:fill="CCEEFF"/>
          </w:tcPr>
          <w:p>
            <w:pPr>
              <w:spacing w:after="0"/>
              <w:rPr>
                <w:sz w:val="20"/>
                <w:szCs w:val="20"/>
                <w:color w:val="auto"/>
              </w:rPr>
            </w:pPr>
          </w:p>
        </w:tc>
        <w:tc>
          <w:tcPr>
            <w:tcW w:w="1060" w:type="dxa"/>
            <w:vAlign w:val="bottom"/>
            <w:tcBorders>
              <w:top w:val="single" w:sz="8" w:color="0000FF"/>
              <w:bottom w:val="single" w:sz="8" w:color="CCEEFF"/>
            </w:tcBorders>
            <w:shd w:val="clear" w:color="auto" w:fill="CCEEFF"/>
          </w:tcPr>
          <w:p>
            <w:pPr>
              <w:spacing w:after="0"/>
              <w:rPr>
                <w:sz w:val="20"/>
                <w:szCs w:val="20"/>
                <w:color w:val="auto"/>
              </w:rPr>
            </w:pPr>
          </w:p>
        </w:tc>
        <w:tc>
          <w:tcPr>
            <w:tcW w:w="320" w:type="dxa"/>
            <w:vAlign w:val="bottom"/>
            <w:tcBorders>
              <w:top w:val="single" w:sz="8" w:color="0000FF"/>
              <w:bottom w:val="single" w:sz="8" w:color="CCEEFF"/>
            </w:tcBorders>
            <w:shd w:val="clear" w:color="auto" w:fill="CCEEFF"/>
          </w:tcPr>
          <w:p>
            <w:pPr>
              <w:spacing w:after="0"/>
              <w:rPr>
                <w:sz w:val="20"/>
                <w:szCs w:val="20"/>
                <w:color w:val="auto"/>
              </w:rPr>
            </w:pPr>
          </w:p>
        </w:tc>
        <w:tc>
          <w:tcPr>
            <w:tcW w:w="74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gridSpan w:val="2"/>
            <w:shd w:val="clear" w:color="auto" w:fill="CCEEFF"/>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5</w:t>
            </w:r>
          </w:p>
        </w:tc>
      </w:tr>
      <w:tr>
        <w:trPr>
          <w:trHeight w:val="193"/>
        </w:trPr>
        <w:tc>
          <w:tcPr>
            <w:tcW w:w="1020" w:type="dxa"/>
            <w:vAlign w:val="bottom"/>
          </w:tcPr>
          <w:p>
            <w:pPr>
              <w:spacing w:after="0"/>
              <w:rPr>
                <w:sz w:val="16"/>
                <w:szCs w:val="16"/>
                <w:color w:val="auto"/>
              </w:rPr>
            </w:pPr>
          </w:p>
        </w:tc>
        <w:tc>
          <w:tcPr>
            <w:tcW w:w="9260" w:type="dxa"/>
            <w:vAlign w:val="bottom"/>
            <w:gridSpan w:val="17"/>
          </w:tcPr>
          <w:p>
            <w:pPr>
              <w:spacing w:after="0" w:line="173" w:lineRule="exact"/>
              <w:rPr>
                <w:sz w:val="20"/>
                <w:szCs w:val="20"/>
                <w:color w:val="auto"/>
              </w:rPr>
            </w:pPr>
            <w:r>
              <w:rPr>
                <w:rFonts w:ascii="Times New Roman" w:cs="Times New Roman" w:eastAsia="Times New Roman" w:hAnsi="Times New Roman"/>
                <w:sz w:val="17"/>
                <w:szCs w:val="17"/>
                <w:color w:val="0000FF"/>
              </w:rPr>
              <w:t>Condensed Consolidated Statements of Cash Flows Nine-month periods ended September 30, 2024 and 2023</w:t>
            </w:r>
          </w:p>
        </w:tc>
        <w:tc>
          <w:tcPr>
            <w:tcW w:w="960" w:type="dxa"/>
            <w:vAlign w:val="bottom"/>
            <w:gridSpan w:val="2"/>
          </w:tcPr>
          <w:p>
            <w:pPr>
              <w:jc w:val="right"/>
              <w:ind w:right="20"/>
              <w:spacing w:after="0" w:line="173" w:lineRule="exact"/>
              <w:rPr>
                <w:sz w:val="20"/>
                <w:szCs w:val="20"/>
                <w:color w:val="auto"/>
              </w:rPr>
            </w:pPr>
            <w:r>
              <w:rPr>
                <w:rFonts w:ascii="Times New Roman" w:cs="Times New Roman" w:eastAsia="Times New Roman" w:hAnsi="Times New Roman"/>
                <w:sz w:val="17"/>
                <w:szCs w:val="17"/>
                <w:color w:val="auto"/>
              </w:rPr>
              <w:t>6</w:t>
            </w:r>
          </w:p>
        </w:tc>
      </w:tr>
      <w:tr>
        <w:trPr>
          <w:trHeight w:val="44"/>
        </w:trPr>
        <w:tc>
          <w:tcPr>
            <w:tcW w:w="1020" w:type="dxa"/>
            <w:vAlign w:val="bottom"/>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26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2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106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Three- and Nine-month periods ended September 30, 2024 and 2023</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920" w:type="dxa"/>
            <w:vAlign w:val="bottom"/>
            <w:tcBorders>
              <w:top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7"/>
                <w:szCs w:val="17"/>
                <w:color w:val="0000FF"/>
              </w:rPr>
              <w:t>Notes to Interim Condensed Consolidated Financial Statements</w:t>
            </w:r>
          </w:p>
        </w:tc>
        <w:tc>
          <w:tcPr>
            <w:tcW w:w="3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8-65</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66-83</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3.</w:t>
            </w:r>
          </w:p>
        </w:tc>
        <w:tc>
          <w:tcPr>
            <w:tcW w:w="6140" w:type="dxa"/>
            <w:vAlign w:val="bottom"/>
            <w:tcBorders>
              <w:top w:val="single" w:sz="8" w:color="0000FF"/>
            </w:tcBorders>
            <w:gridSpan w:val="11"/>
          </w:tcPr>
          <w:p>
            <w:pPr>
              <w:spacing w:after="0" w:line="194"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20" w:type="dxa"/>
            <w:vAlign w:val="bottom"/>
            <w:tcBorders>
              <w:top w:val="single" w:sz="8" w:color="CCEEFF"/>
            </w:tcBorders>
            <w:gridSpan w:val="6"/>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84</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4.</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Controls and Procedures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84</w:t>
            </w:r>
          </w:p>
        </w:tc>
      </w:tr>
      <w:tr>
        <w:trPr>
          <w:trHeight w:val="258"/>
        </w:trPr>
        <w:tc>
          <w:tcPr>
            <w:tcW w:w="1020" w:type="dxa"/>
            <w:vAlign w:val="bottom"/>
            <w:tcBorders>
              <w:top w:val="single" w:sz="8" w:color="CCEE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10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PART II -</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Other Information</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1A</w:t>
            </w:r>
          </w:p>
        </w:tc>
        <w:tc>
          <w:tcPr>
            <w:tcW w:w="124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Risk Factors</w:t>
            </w:r>
          </w:p>
        </w:tc>
        <w:tc>
          <w:tcPr>
            <w:tcW w:w="8020" w:type="dxa"/>
            <w:vAlign w:val="bottom"/>
            <w:tcBorders>
              <w:top w:val="single" w:sz="8" w:color="CCEEFF"/>
            </w:tcBorders>
            <w:gridSpan w:val="12"/>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2.</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193"/>
        </w:trPr>
        <w:tc>
          <w:tcPr>
            <w:tcW w:w="1020" w:type="dxa"/>
            <w:vAlign w:val="bottom"/>
            <w:tcBorders>
              <w:top w:val="single" w:sz="8" w:color="CCEEFF"/>
            </w:tcBorders>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5.</w:t>
            </w:r>
          </w:p>
        </w:tc>
        <w:tc>
          <w:tcPr>
            <w:tcW w:w="41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0000FF"/>
              </w:rPr>
              <w:t>Other Information</w:t>
            </w:r>
          </w:p>
        </w:tc>
        <w:tc>
          <w:tcPr>
            <w:tcW w:w="5120" w:type="dxa"/>
            <w:vAlign w:val="bottom"/>
            <w:tcBorders>
              <w:top w:val="single" w:sz="8" w:color="CCEEFF"/>
            </w:tcBorders>
            <w:gridSpan w:val="8"/>
          </w:tcPr>
          <w:p>
            <w:pPr>
              <w:spacing w:after="0"/>
              <w:rPr>
                <w:sz w:val="16"/>
                <w:szCs w:val="16"/>
                <w:color w:val="auto"/>
              </w:rPr>
            </w:pPr>
          </w:p>
        </w:tc>
        <w:tc>
          <w:tcPr>
            <w:tcW w:w="960" w:type="dxa"/>
            <w:vAlign w:val="bottom"/>
            <w:tcBorders>
              <w:top w:val="single" w:sz="8" w:color="CCEEFF"/>
            </w:tcBorders>
            <w:gridSpan w:val="2"/>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85</w:t>
            </w:r>
          </w:p>
        </w:tc>
      </w:tr>
      <w:tr>
        <w:trPr>
          <w:trHeight w:val="32"/>
        </w:trPr>
        <w:tc>
          <w:tcPr>
            <w:tcW w:w="10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color w:val="auto"/>
              </w:rPr>
              <w:t>Item 6.</w:t>
            </w:r>
          </w:p>
        </w:tc>
        <w:tc>
          <w:tcPr>
            <w:tcW w:w="9260" w:type="dxa"/>
            <w:vAlign w:val="bottom"/>
            <w:gridSpan w:val="17"/>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FF"/>
              </w:rPr>
              <w:t>Exhibits</w:t>
            </w:r>
          </w:p>
        </w:tc>
        <w:tc>
          <w:tcPr>
            <w:tcW w:w="9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color w:val="auto"/>
              </w:rPr>
              <w:t>86</w:t>
            </w:r>
          </w:p>
        </w:tc>
      </w:tr>
      <w:tr>
        <w:trPr>
          <w:trHeight w:val="851"/>
        </w:trPr>
        <w:tc>
          <w:tcPr>
            <w:tcW w:w="1020" w:type="dxa"/>
            <w:vAlign w:val="bottom"/>
            <w:tcBorders>
              <w:top w:val="single" w:sz="8" w:color="CCEEFF"/>
            </w:tcBorders>
          </w:tcPr>
          <w:p>
            <w:pPr>
              <w:spacing w:after="0"/>
              <w:rPr>
                <w:sz w:val="24"/>
                <w:szCs w:val="24"/>
                <w:color w:val="auto"/>
              </w:rPr>
            </w:pPr>
          </w:p>
        </w:tc>
        <w:tc>
          <w:tcPr>
            <w:tcW w:w="560" w:type="dxa"/>
            <w:vAlign w:val="bottom"/>
            <w:tcBorders>
              <w:top w:val="single" w:sz="8" w:color="0000FF"/>
            </w:tcBorders>
            <w:gridSpan w:val="3"/>
          </w:tcPr>
          <w:p>
            <w:pPr>
              <w:spacing w:after="0"/>
              <w:rPr>
                <w:sz w:val="24"/>
                <w:szCs w:val="24"/>
                <w:color w:val="auto"/>
              </w:rPr>
            </w:pPr>
          </w:p>
        </w:tc>
        <w:tc>
          <w:tcPr>
            <w:tcW w:w="5580" w:type="dxa"/>
            <w:vAlign w:val="bottom"/>
            <w:tcBorders>
              <w:top w:val="single" w:sz="8" w:color="CCEEFF"/>
            </w:tcBorders>
            <w:gridSpan w:val="8"/>
          </w:tcPr>
          <w:p>
            <w:pPr>
              <w:jc w:val="right"/>
              <w:ind w:right="1340"/>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108"/>
        </w:trPr>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7" w:lineRule="exact"/>
        <w:rPr>
          <w:sz w:val="20"/>
          <w:szCs w:val="20"/>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market, operational, liquidity, credit, and interest rate risks associated with our business;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assumptions underlying the establishment of, and provisions made to, our allowance for credit losses;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the financial services industry, either nationally or regionally;</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loan and deposit growth;</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and direction of market interest rates;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services of our management team;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new legislation, which may have significant effects on us and the financial services industry.</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2023,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Part I - Item 1.</w:t>
            </w:r>
          </w:p>
        </w:tc>
        <w:tc>
          <w:tcPr>
            <w:tcW w:w="53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INDEPENDENT BANK CORPORATION AND SUBSIDIARIES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3"/>
        </w:trPr>
        <w:tc>
          <w:tcPr>
            <w:tcW w:w="2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Condensed Consolidated Statements of Financial Condition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September 30,</w:t>
            </w: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w w:val="99"/>
              </w:rPr>
              <w:t>December 31,</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r>
      <w:tr>
        <w:trPr>
          <w:trHeight w:val="186"/>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871"/>
              <w:spacing w:after="0"/>
              <w:rPr>
                <w:sz w:val="20"/>
                <w:szCs w:val="20"/>
                <w:color w:val="auto"/>
              </w:rPr>
            </w:pPr>
            <w:r>
              <w:rPr>
                <w:rFonts w:ascii="Times New Roman" w:cs="Times New Roman" w:eastAsia="Times New Roman" w:hAnsi="Times New Roman"/>
                <w:sz w:val="14"/>
                <w:szCs w:val="14"/>
                <w:color w:val="auto"/>
                <w:w w:val="97"/>
              </w:rPr>
              <w:t>(Unaudited)</w:t>
            </w:r>
          </w:p>
        </w:tc>
        <w:tc>
          <w:tcPr>
            <w:tcW w:w="1160" w:type="dxa"/>
            <w:vAlign w:val="bottom"/>
            <w:tcBorders>
              <w:bottom w:val="single" w:sz="8" w:color="auto"/>
            </w:tcBorders>
          </w:tcPr>
          <w:p>
            <w:pPr>
              <w:spacing w:after="0"/>
              <w:rPr>
                <w:sz w:val="16"/>
                <w:szCs w:val="16"/>
                <w:color w:val="auto"/>
              </w:rPr>
            </w:pPr>
          </w:p>
        </w:tc>
      </w:tr>
      <w:tr>
        <w:trPr>
          <w:trHeight w:val="129"/>
        </w:trPr>
        <w:tc>
          <w:tcPr>
            <w:tcW w:w="2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gridSpan w:val="4"/>
          </w:tcPr>
          <w:p>
            <w:pPr>
              <w:jc w:val="center"/>
              <w:ind w:right="151"/>
              <w:spacing w:after="0" w:line="129" w:lineRule="exact"/>
              <w:rPr>
                <w:sz w:val="20"/>
                <w:szCs w:val="20"/>
                <w:color w:val="auto"/>
              </w:rPr>
            </w:pPr>
            <w:r>
              <w:rPr>
                <w:rFonts w:ascii="Times New Roman" w:cs="Times New Roman" w:eastAsia="Times New Roman" w:hAnsi="Times New Roman"/>
                <w:sz w:val="14"/>
                <w:szCs w:val="14"/>
                <w:color w:val="auto"/>
                <w:w w:val="98"/>
              </w:rPr>
              <w:t>(In thousands, except share</w:t>
            </w:r>
          </w:p>
        </w:tc>
      </w:tr>
      <w:tr>
        <w:trPr>
          <w:trHeight w:val="178"/>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center"/>
              <w:ind w:left="891"/>
              <w:spacing w:after="0"/>
              <w:rPr>
                <w:sz w:val="20"/>
                <w:szCs w:val="20"/>
                <w:color w:val="auto"/>
              </w:rPr>
            </w:pPr>
            <w:r>
              <w:rPr>
                <w:rFonts w:ascii="Times New Roman" w:cs="Times New Roman" w:eastAsia="Times New Roman" w:hAnsi="Times New Roman"/>
                <w:sz w:val="14"/>
                <w:szCs w:val="14"/>
                <w:color w:val="auto"/>
                <w:w w:val="99"/>
              </w:rPr>
              <w:t>amounts)</w:t>
            </w:r>
          </w:p>
        </w:tc>
        <w:tc>
          <w:tcPr>
            <w:tcW w:w="1160" w:type="dxa"/>
            <w:vAlign w:val="bottom"/>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61,503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68,208</w:t>
            </w:r>
          </w:p>
        </w:tc>
      </w:tr>
      <w:tr>
        <w:trPr>
          <w:trHeight w:val="18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 bearing deposits</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60,057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101,573</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169,781</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588,950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679,350</w:t>
            </w:r>
          </w:p>
        </w:tc>
      </w:tr>
      <w:tr>
        <w:trPr>
          <w:trHeight w:val="201"/>
        </w:trPr>
        <w:tc>
          <w:tcPr>
            <w:tcW w:w="8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held to maturity (fair value of $314,638 at September 30, 2024 and $318,606 at December 31, 2023 )</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353,988</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Federal Home Loan Bank and Federal Reserve Bank stock, at cost</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16,821</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 carried at fair value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14,029</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12,063</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1,825,247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Mortgage</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1,511,400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1,485,872</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Installment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605,640</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Loans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3,942,287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3,790,901</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(57,444)</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(54,658)</w:t>
            </w:r>
          </w:p>
        </w:tc>
      </w:tr>
      <w:tr>
        <w:trPr>
          <w:trHeight w:val="179"/>
        </w:trPr>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Net Loans</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3,884,843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3,736,243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real estate and repossessed assets, net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35,250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35,523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54,017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54,341</w:t>
            </w:r>
          </w:p>
        </w:tc>
      </w:tr>
      <w:tr>
        <w:trPr>
          <w:trHeight w:val="186"/>
        </w:trPr>
        <w:tc>
          <w:tcPr>
            <w:tcW w:w="81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Capitalized mortgage loan servicing rights, carried at fair value</w:t>
            </w: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40,204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42,243</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28,300</w:t>
            </w:r>
          </w:p>
        </w:tc>
      </w:tr>
      <w:tr>
        <w:trPr>
          <w:trHeight w:val="19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income and other assets</w:t>
            </w:r>
          </w:p>
        </w:tc>
        <w:tc>
          <w:tcPr>
            <w:tcW w:w="68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130,256</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132,500</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5,259,268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28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 bearing</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1,023,739</w:t>
            </w:r>
          </w:p>
        </w:tc>
        <w:tc>
          <w:tcPr>
            <w:tcW w:w="8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1,076,093</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Savings and interest-bearing checking</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1,947,571</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1,905,701</w:t>
            </w:r>
          </w:p>
        </w:tc>
      </w:tr>
      <w:tr>
        <w:trPr>
          <w:trHeight w:val="186"/>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Reciprocal</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995,469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832,020</w:t>
            </w:r>
          </w:p>
        </w:tc>
      </w:tr>
      <w:tr>
        <w:trPr>
          <w:trHeight w:val="201"/>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620,446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524,325</w:t>
            </w:r>
          </w:p>
        </w:tc>
      </w:tr>
      <w:tr>
        <w:trPr>
          <w:trHeight w:val="186"/>
        </w:trPr>
        <w:tc>
          <w:tcPr>
            <w:tcW w:w="2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Brokered time</w:t>
            </w:r>
          </w:p>
        </w:tc>
        <w:tc>
          <w:tcPr>
            <w:tcW w:w="68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39,650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284,740</w:t>
            </w:r>
          </w:p>
        </w:tc>
      </w:tr>
      <w:tr>
        <w:trPr>
          <w:trHeight w:val="193"/>
        </w:trPr>
        <w:tc>
          <w:tcPr>
            <w:tcW w:w="2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Deposits</w:t>
            </w: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4,626,875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4,622,879</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50,026</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Subordinated debt</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39,510</w:t>
            </w: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debentures</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39,728</w:t>
            </w:r>
          </w:p>
        </w:tc>
      </w:tr>
      <w:tr>
        <w:trPr>
          <w:trHeight w:val="201"/>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68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100,678</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107,134</w:t>
            </w:r>
          </w:p>
        </w:tc>
      </w:tr>
      <w:tr>
        <w:trPr>
          <w:trHeight w:val="179"/>
        </w:trPr>
        <w:tc>
          <w:tcPr>
            <w:tcW w:w="28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4,806,899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4,859,277</w:t>
            </w: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68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6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818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Preferred stock, no par value, 200,000 shares authorized; none issued or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18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w w:val="99"/>
              </w:rPr>
              <w:t>Common stock, no par value, 500,000,000 shares authorized; issued and outstanding: 20,893,800 shares at September 30, 2024 and 20,835,633</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4"/>
        </w:trPr>
        <w:tc>
          <w:tcPr>
            <w:tcW w:w="28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shares at December 31, 2023</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317,483</w:t>
            </w:r>
          </w:p>
        </w:tc>
      </w:tr>
      <w:tr>
        <w:trPr>
          <w:trHeight w:val="22"/>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9"/>
        </w:trPr>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68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r>
      <w:tr>
        <w:trPr>
          <w:trHeight w:val="197"/>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6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(72,142)</w:t>
            </w:r>
          </w:p>
        </w:tc>
      </w:tr>
      <w:tr>
        <w:trPr>
          <w:trHeight w:val="22"/>
        </w:trPr>
        <w:tc>
          <w:tcPr>
            <w:tcW w:w="2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9"/>
        </w:trPr>
        <w:tc>
          <w:tcPr>
            <w:tcW w:w="28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452,369</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r>
      <w:tr>
        <w:trPr>
          <w:trHeight w:val="193"/>
        </w:trPr>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5,259,268</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5,263,726</w:t>
            </w:r>
          </w:p>
        </w:tc>
      </w:tr>
      <w:tr>
        <w:trPr>
          <w:trHeight w:val="20"/>
        </w:trPr>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Operations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60" w:type="dxa"/>
            <w:vAlign w:val="bottom"/>
          </w:tcPr>
          <w:p>
            <w:pPr>
              <w:spacing w:after="0"/>
              <w:rPr>
                <w:sz w:val="15"/>
                <w:szCs w:val="15"/>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4"/>
                <w:szCs w:val="14"/>
                <w:color w:val="auto"/>
              </w:rPr>
              <w:t>Three months ended September 30,</w:t>
            </w:r>
          </w:p>
        </w:tc>
        <w:tc>
          <w:tcPr>
            <w:tcW w:w="200" w:type="dxa"/>
            <w:vAlign w:val="bottom"/>
          </w:tcPr>
          <w:p>
            <w:pPr>
              <w:spacing w:after="0"/>
              <w:rPr>
                <w:sz w:val="15"/>
                <w:szCs w:val="15"/>
                <w:color w:val="auto"/>
              </w:rPr>
            </w:pPr>
          </w:p>
        </w:tc>
        <w:tc>
          <w:tcPr>
            <w:tcW w:w="230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color w:val="auto"/>
              </w:rPr>
              <w:t>Nine months ended September 30,</w:t>
            </w:r>
          </w:p>
        </w:tc>
      </w:tr>
      <w:tr>
        <w:trPr>
          <w:trHeight w:val="193"/>
        </w:trPr>
        <w:tc>
          <w:tcPr>
            <w:tcW w:w="6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r>
      <w:tr>
        <w:trPr>
          <w:trHeight w:val="22"/>
        </w:trPr>
        <w:tc>
          <w:tcPr>
            <w:tcW w:w="6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9"/>
        </w:trPr>
        <w:tc>
          <w:tcPr>
            <w:tcW w:w="6160" w:type="dxa"/>
            <w:vAlign w:val="bottom"/>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740" w:type="dxa"/>
            <w:vAlign w:val="bottom"/>
            <w:tcBorders>
              <w:top w:val="single" w:sz="8" w:color="auto"/>
              <w:bottom w:val="single" w:sz="8" w:color="auto"/>
            </w:tcBorders>
            <w:gridSpan w:val="4"/>
          </w:tcPr>
          <w:p>
            <w:pPr>
              <w:jc w:val="right"/>
              <w:ind w:right="851"/>
              <w:spacing w:after="0"/>
              <w:rPr>
                <w:sz w:val="20"/>
                <w:szCs w:val="20"/>
                <w:color w:val="auto"/>
              </w:rPr>
            </w:pPr>
            <w:r>
              <w:rPr>
                <w:rFonts w:ascii="Times New Roman" w:cs="Times New Roman" w:eastAsia="Times New Roman" w:hAnsi="Times New Roman"/>
                <w:sz w:val="14"/>
                <w:szCs w:val="14"/>
                <w:color w:val="auto"/>
              </w:rPr>
              <w:t>(Unaudited)</w:t>
            </w:r>
          </w:p>
        </w:tc>
        <w:tc>
          <w:tcPr>
            <w:tcW w:w="80" w:type="dxa"/>
            <w:vAlign w:val="bottom"/>
            <w:tcBorders>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Borders>
              <w:top w:val="single" w:sz="8" w:color="auto"/>
              <w:bottom w:val="single" w:sz="8" w:color="auto"/>
            </w:tcBorders>
          </w:tcPr>
          <w:p>
            <w:pPr>
              <w:spacing w:after="0"/>
              <w:rPr>
                <w:sz w:val="15"/>
                <w:szCs w:val="15"/>
                <w:color w:val="auto"/>
              </w:rPr>
            </w:pPr>
          </w:p>
        </w:tc>
      </w:tr>
      <w:tr>
        <w:trPr>
          <w:trHeight w:val="178"/>
        </w:trPr>
        <w:tc>
          <w:tcPr>
            <w:tcW w:w="6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
        </w:trPr>
        <w:tc>
          <w:tcPr>
            <w:tcW w:w="6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Interest and fees on loans</w:t>
            </w:r>
          </w:p>
        </w:tc>
        <w:tc>
          <w:tcPr>
            <w:tcW w:w="760" w:type="dxa"/>
            <w:vAlign w:val="bottom"/>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58,410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51,419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170,239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143,392</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on securities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1"/>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Taxable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17,668</w:t>
            </w: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Tax-exempt</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9,775</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investments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Total Interest Income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68,334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62,432</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199,798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174,316</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Deposits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24,462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70,148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51,964</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borrowings and subordinated debt and debentures</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w:t>
            </w:r>
          </w:p>
        </w:tc>
      </w:tr>
      <w:tr>
        <w:trPr>
          <w:trHeight w:val="179"/>
        </w:trPr>
        <w:tc>
          <w:tcPr>
            <w:tcW w:w="6160" w:type="dxa"/>
            <w:vAlign w:val="bottom"/>
            <w:tcBorders>
              <w:bottom w:val="single" w:sz="8" w:color="CCEEFF"/>
            </w:tcBorders>
          </w:tcPr>
          <w:p>
            <w:pPr>
              <w:jc w:val="right"/>
              <w:ind w:right="11"/>
              <w:spacing w:after="0"/>
              <w:rPr>
                <w:sz w:val="20"/>
                <w:szCs w:val="20"/>
                <w:color w:val="auto"/>
              </w:rPr>
            </w:pPr>
            <w:r>
              <w:rPr>
                <w:rFonts w:ascii="Times New Roman" w:cs="Times New Roman" w:eastAsia="Times New Roman" w:hAnsi="Times New Roman"/>
                <w:sz w:val="14"/>
                <w:szCs w:val="14"/>
                <w:color w:val="auto"/>
              </w:rPr>
              <w:t>Total Interest Expense</w:t>
            </w:r>
          </w:p>
        </w:tc>
        <w:tc>
          <w:tcPr>
            <w:tcW w:w="7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26,480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23,005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76,401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58,098</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Net Interest Income</w:t>
            </w: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41,854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123,397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116,218</w:t>
            </w:r>
          </w:p>
        </w:tc>
      </w:tr>
      <w:tr>
        <w:trPr>
          <w:trHeight w:val="186"/>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6,827</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40,366</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38,077</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121,146</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109,391</w:t>
            </w:r>
          </w:p>
        </w:tc>
      </w:tr>
      <w:tr>
        <w:trPr>
          <w:trHeight w:val="166"/>
        </w:trPr>
        <w:tc>
          <w:tcPr>
            <w:tcW w:w="6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Income</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Interchange income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10,660</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9,300</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gains (losses) on assets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Mortgage loans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w:t>
            </w:r>
          </w:p>
        </w:tc>
      </w:tr>
      <w:tr>
        <w:trPr>
          <w:trHeight w:val="201"/>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Equity securities at fair value</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Mortgage loan servicing, net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r>
      <w:tr>
        <w:trPr>
          <w:trHeight w:val="186"/>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9,298</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Total Non-interest Income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37,241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41,579</w:t>
            </w:r>
          </w:p>
        </w:tc>
      </w:tr>
      <w:tr>
        <w:trPr>
          <w:trHeight w:val="166"/>
        </w:trPr>
        <w:tc>
          <w:tcPr>
            <w:tcW w:w="616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Non-interest Expense</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Compensation and employee benefits</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20,048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62,069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59,916</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Data processing</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8,953</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Occupancy, net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5,975</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Interchange expense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2,782</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FDIC deposit insurance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Loan and collection</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1,718</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Advertising</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r>
      <w:tr>
        <w:trPr>
          <w:trHeight w:val="201"/>
        </w:trPr>
        <w:tc>
          <w:tcPr>
            <w:tcW w:w="61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Legal and professional</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w:t>
            </w:r>
          </w:p>
        </w:tc>
      </w:tr>
      <w:tr>
        <w:trPr>
          <w:trHeight w:val="186"/>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Communications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w:t>
            </w:r>
          </w:p>
        </w:tc>
      </w:tr>
      <w:tr>
        <w:trPr>
          <w:trHeight w:val="207"/>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Costs (recoveries) related to unfunded lending commitments</w:t>
            </w:r>
          </w:p>
        </w:tc>
        <w:tc>
          <w:tcPr>
            <w:tcW w:w="7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6"/>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1,961</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w:t>
            </w:r>
          </w:p>
        </w:tc>
      </w:tr>
      <w:tr>
        <w:trPr>
          <w:trHeight w:val="193"/>
        </w:trPr>
        <w:tc>
          <w:tcPr>
            <w:tcW w:w="6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Total Non-interest Expense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32,583</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32,036</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98,109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95,241</w:t>
            </w:r>
          </w:p>
        </w:tc>
      </w:tr>
      <w:tr>
        <w:trPr>
          <w:trHeight w:val="179"/>
        </w:trPr>
        <w:tc>
          <w:tcPr>
            <w:tcW w:w="6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Income Before Income Tax</w:t>
            </w:r>
          </w:p>
        </w:tc>
        <w:tc>
          <w:tcPr>
            <w:tcW w:w="7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17,291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55,729</w:t>
            </w:r>
          </w:p>
        </w:tc>
      </w:tr>
      <w:tr>
        <w:trPr>
          <w:trHeight w:val="194"/>
        </w:trPr>
        <w:tc>
          <w:tcPr>
            <w:tcW w:w="6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 expense</w:t>
            </w:r>
          </w:p>
        </w:tc>
        <w:tc>
          <w:tcPr>
            <w:tcW w:w="76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10,405</w:t>
            </w:r>
          </w:p>
        </w:tc>
      </w:tr>
      <w:tr>
        <w:trPr>
          <w:trHeight w:val="193"/>
        </w:trPr>
        <w:tc>
          <w:tcPr>
            <w:tcW w:w="6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13,810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45,324</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9"/>
        </w:trPr>
        <w:tc>
          <w:tcPr>
            <w:tcW w:w="61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Per Common Share</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93"/>
        </w:trPr>
        <w:tc>
          <w:tcPr>
            <w:tcW w:w="6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7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760" w:type="dxa"/>
            <w:vAlign w:val="bottom"/>
            <w:tcBorders>
              <w:bottom w:val="single" w:sz="8" w:color="auto"/>
            </w:tcBorders>
            <w:shd w:val="clear" w:color="auto" w:fill="CCEEFF"/>
          </w:tcPr>
          <w:p>
            <w:pPr>
              <w:jc w:val="right"/>
              <w:ind w:right="591"/>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Comprehensive Income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tcPr>
          <w:p>
            <w:pPr>
              <w:spacing w:after="0"/>
              <w:rPr>
                <w:sz w:val="17"/>
                <w:szCs w:val="17"/>
                <w:color w:val="auto"/>
              </w:rPr>
            </w:pPr>
          </w:p>
        </w:tc>
        <w:tc>
          <w:tcPr>
            <w:tcW w:w="226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6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color w:val="auto"/>
              </w:rPr>
              <w:t>September 30,</w:t>
            </w:r>
          </w:p>
        </w:tc>
        <w:tc>
          <w:tcPr>
            <w:tcW w:w="260" w:type="dxa"/>
            <w:vAlign w:val="bottom"/>
          </w:tcPr>
          <w:p>
            <w:pPr>
              <w:spacing w:after="0"/>
              <w:rPr>
                <w:sz w:val="19"/>
                <w:szCs w:val="19"/>
                <w:color w:val="auto"/>
              </w:rPr>
            </w:pPr>
          </w:p>
        </w:tc>
        <w:tc>
          <w:tcPr>
            <w:tcW w:w="226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color w:val="auto"/>
              </w:rPr>
              <w:t>September 30,</w:t>
            </w:r>
          </w:p>
        </w:tc>
      </w:tr>
      <w:tr>
        <w:trPr>
          <w:trHeight w:val="245"/>
        </w:trPr>
        <w:tc>
          <w:tcPr>
            <w:tcW w:w="6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r>
      <w:tr>
        <w:trPr>
          <w:trHeight w:val="216"/>
        </w:trPr>
        <w:tc>
          <w:tcPr>
            <w:tcW w:w="6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(Unaudited -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4"/>
        </w:trPr>
        <w:tc>
          <w:tcPr>
            <w:tcW w:w="6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45,324</w:t>
            </w:r>
          </w:p>
        </w:tc>
      </w:tr>
      <w:tr>
        <w:trPr>
          <w:trHeight w:val="219"/>
        </w:trPr>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w:t>
            </w:r>
          </w:p>
        </w:tc>
      </w:tr>
      <w:tr>
        <w:trPr>
          <w:trHeight w:val="258"/>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Accretion of net unrealized losses on securities transferred to held to maturity</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r>
      <w:tr>
        <w:trPr>
          <w:trHeight w:val="258"/>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Reclassification adjustments for losses included in earnings</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196"/>
        </w:trPr>
        <w:tc>
          <w:tcPr>
            <w:tcW w:w="61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1,297</w:t>
            </w:r>
          </w:p>
        </w:tc>
      </w:tr>
      <w:tr>
        <w:trPr>
          <w:trHeight w:val="219"/>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securities available for sale,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10,100</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w:t>
            </w:r>
          </w:p>
        </w:tc>
      </w:tr>
      <w:tr>
        <w:trPr>
          <w:trHeight w:val="199"/>
        </w:trPr>
        <w:tc>
          <w:tcPr>
            <w:tcW w:w="6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8"/>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arising during period</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r>
      <w:tr>
        <w:trPr>
          <w:trHeight w:val="258"/>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Reclassification adjustment for expense recognized in earnings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58"/>
        </w:trPr>
        <w:tc>
          <w:tcPr>
            <w:tcW w:w="61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Unrealized gains (losses) recognized in other comprehensive income (loss) on</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8"/>
        </w:trPr>
        <w:tc>
          <w:tcPr>
            <w:tcW w:w="6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derivative instruments, net of tax</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12"/>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(11,794)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7"/>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62,219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45,783</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Nine months ended September 30,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250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color w:val="auto"/>
              </w:rPr>
              <w:t>(Unaudited - In thousands)</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45,324</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sales of equity securities at fair value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279,046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273,766</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Disbursements for loans held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(276,535)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(255,601)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6,827</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deferred loan costs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depreciation, amortization of intangible assets and premiums and accretion of discounts on securities and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gains on mortgage loans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gains on equity securities at fair value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losses on securities available for sale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Increase in accrued income and other assets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Decrease in accrued expenses and other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Total Adjustments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13,464</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Operating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46,782</w:t>
            </w:r>
          </w:p>
        </w:tc>
        <w:tc>
          <w:tcPr>
            <w:tcW w:w="8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58,788</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Used in Investing Activities</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available for sale</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securities held to maturity previously charged off</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available for sale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66,039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89,315</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maturities, prepayments and calls of securities held to maturity</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 to maturity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Federal Home Loan Bank stock</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redemption of Federal Home Loan Bank stock</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portfolio loans (loans originated, net of principal payments)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(163,731)</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(311,733)</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portfolio loans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14,807</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51,481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bank-owned life insurance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 expenditures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(32,930)</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4"/>
              </w:rPr>
              <w:t>(156,198)</w:t>
            </w:r>
          </w:p>
        </w:tc>
        <w:tc>
          <w:tcPr>
            <w:tcW w:w="0" w:type="dxa"/>
            <w:vAlign w:val="bottom"/>
          </w:tcPr>
          <w:p>
            <w:pPr>
              <w:spacing w:after="0"/>
              <w:rPr>
                <w:sz w:val="1"/>
                <w:szCs w:val="1"/>
                <w:color w:val="auto"/>
              </w:rPr>
            </w:pPr>
          </w:p>
        </w:tc>
      </w:tr>
      <w:tr>
        <w:trPr>
          <w:trHeight w:val="17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From (Used in) Financing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increase in total deposits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206,543</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decrease in other borrowings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(60,992)</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Federal Home Loan Bank Advances</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Payments of Federal Home Loan Bank Advances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(110,000)</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based compensation withholding obligation</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jc w:val="right"/>
              <w:ind w:right="31"/>
              <w:spacing w:after="0"/>
              <w:rPr>
                <w:sz w:val="20"/>
                <w:szCs w:val="20"/>
                <w:color w:val="auto"/>
              </w:rPr>
            </w:pPr>
            <w:r>
              <w:rPr>
                <w:rFonts w:ascii="Times New Roman" w:cs="Times New Roman" w:eastAsia="Times New Roman" w:hAnsi="Times New Roman"/>
                <w:sz w:val="14"/>
                <w:szCs w:val="14"/>
                <w:color w:val="auto"/>
              </w:rPr>
              <w:t>Net Cash From (Used in) Financing Activities</w:t>
            </w: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(62,073)</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150,500</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(48,221)</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53,090</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169,781</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74,371</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90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121,560</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127,461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78,720</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53,936</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w:t>
            </w:r>
          </w:p>
        </w:tc>
        <w:tc>
          <w:tcPr>
            <w:tcW w:w="0" w:type="dxa"/>
            <w:vAlign w:val="bottom"/>
          </w:tcPr>
          <w:p>
            <w:pPr>
              <w:spacing w:after="0"/>
              <w:rPr>
                <w:sz w:val="1"/>
                <w:szCs w:val="1"/>
                <w:color w:val="auto"/>
              </w:rPr>
            </w:pPr>
          </w:p>
        </w:tc>
      </w:tr>
      <w:tr>
        <w:trPr>
          <w:trHeight w:val="20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Transfers to other real estate and repossessed assets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17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Condensed Consolidated Statements of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6"/>
              </w:rPr>
              <w:t>Accumulated</w:t>
            </w:r>
          </w:p>
        </w:tc>
        <w:tc>
          <w:tcPr>
            <w:tcW w:w="220" w:type="dxa"/>
            <w:vAlign w:val="bottom"/>
          </w:tcPr>
          <w:p>
            <w:pPr>
              <w:spacing w:after="0"/>
              <w:rPr>
                <w:sz w:val="13"/>
                <w:szCs w:val="13"/>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color w:val="auto"/>
                <w:w w:val="99"/>
              </w:rPr>
              <w:t>Common</w:t>
            </w:r>
          </w:p>
        </w:tc>
        <w:tc>
          <w:tcPr>
            <w:tcW w:w="160" w:type="dxa"/>
            <w:vAlign w:val="bottom"/>
          </w:tcPr>
          <w:p>
            <w:pPr>
              <w:spacing w:after="0"/>
              <w:rPr>
                <w:sz w:val="13"/>
                <w:szCs w:val="13"/>
                <w:color w:val="auto"/>
              </w:rPr>
            </w:pPr>
          </w:p>
        </w:tc>
        <w:tc>
          <w:tcPr>
            <w:tcW w:w="140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3"/>
                <w:szCs w:val="13"/>
                <w:color w:val="auto"/>
              </w:rPr>
            </w:pPr>
          </w:p>
        </w:tc>
        <w:tc>
          <w:tcPr>
            <w:tcW w:w="15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3"/>
                <w:szCs w:val="13"/>
                <w:color w:val="auto"/>
              </w:rPr>
            </w:pPr>
          </w:p>
        </w:tc>
        <w:tc>
          <w:tcPr>
            <w:tcW w:w="1260" w:type="dxa"/>
            <w:vAlign w:val="bottom"/>
          </w:tcPr>
          <w:p>
            <w:pPr>
              <w:jc w:val="center"/>
              <w:ind w:right="151"/>
              <w:spacing w:after="0" w:line="155" w:lineRule="exact"/>
              <w:rPr>
                <w:sz w:val="20"/>
                <w:szCs w:val="20"/>
                <w:color w:val="auto"/>
              </w:rPr>
            </w:pPr>
            <w:r>
              <w:rPr>
                <w:rFonts w:ascii="Times New Roman" w:cs="Times New Roman" w:eastAsia="Times New Roman" w:hAnsi="Times New Roman"/>
                <w:sz w:val="14"/>
                <w:szCs w:val="14"/>
                <w:color w:val="auto"/>
                <w:w w:val="97"/>
              </w:rPr>
              <w:t>Shareholders’</w:t>
            </w:r>
          </w:p>
        </w:tc>
        <w:tc>
          <w:tcPr>
            <w:tcW w:w="0" w:type="dxa"/>
            <w:vAlign w:val="bottom"/>
          </w:tcPr>
          <w:p>
            <w:pPr>
              <w:spacing w:after="0"/>
              <w:rPr>
                <w:sz w:val="1"/>
                <w:szCs w:val="1"/>
                <w:color w:val="auto"/>
              </w:rPr>
            </w:pPr>
          </w:p>
        </w:tc>
      </w:tr>
      <w:tr>
        <w:trPr>
          <w:trHeight w:val="191"/>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Stock</w:t>
            </w:r>
          </w:p>
        </w:tc>
        <w:tc>
          <w:tcPr>
            <w:tcW w:w="16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8"/>
              </w:rPr>
              <w:t>Comprehensive Loss</w:t>
            </w:r>
          </w:p>
        </w:tc>
        <w:tc>
          <w:tcPr>
            <w:tcW w:w="220" w:type="dxa"/>
            <w:vAlign w:val="bottom"/>
          </w:tcPr>
          <w:p>
            <w:pPr>
              <w:spacing w:after="0"/>
              <w:rPr>
                <w:sz w:val="16"/>
                <w:szCs w:val="16"/>
                <w:color w:val="auto"/>
              </w:rPr>
            </w:pPr>
          </w:p>
        </w:tc>
        <w:tc>
          <w:tcPr>
            <w:tcW w:w="12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w w:val="96"/>
              </w:rPr>
              <w:t>Equity</w:t>
            </w:r>
          </w:p>
        </w:tc>
        <w:tc>
          <w:tcPr>
            <w:tcW w:w="0" w:type="dxa"/>
            <w:vAlign w:val="bottom"/>
          </w:tcPr>
          <w:p>
            <w:pPr>
              <w:spacing w:after="0"/>
              <w:rPr>
                <w:sz w:val="1"/>
                <w:szCs w:val="1"/>
                <w:color w:val="auto"/>
              </w:rPr>
            </w:pPr>
          </w:p>
        </w:tc>
      </w:tr>
      <w:tr>
        <w:trPr>
          <w:trHeight w:val="35"/>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430,459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13,810</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$0.24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1,036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12,576</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July 1, 2023</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137,431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(80,510)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375,162</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three months ended September 30, 2023</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$0.23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88,401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0 shares of common stock</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0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1,443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374,998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2024</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317,483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159,108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(72,142)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404,449</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2024</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$0.72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(15,032)</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102,324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40,986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13,890</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2024</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452,369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January 1, 2023</w:t>
            </w:r>
          </w:p>
        </w:tc>
        <w:tc>
          <w:tcPr>
            <w:tcW w:w="2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347,596</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nine months ended September 30, 2023</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45,324</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 declared, $0.69 per share</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(14,535)</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288,401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20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23,000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based compensation (issuance of 86,763 shares of common stock)</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136"/>
        </w:trPr>
        <w:tc>
          <w:tcPr>
            <w:tcW w:w="494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based compensation withholding obligation (withholding of 31,483 shares of</w:t>
            </w:r>
          </w:p>
        </w:tc>
        <w:tc>
          <w:tcPr>
            <w:tcW w:w="2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15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21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Balances at September 30, 2023</w:t>
            </w:r>
          </w:p>
        </w:tc>
        <w:tc>
          <w:tcPr>
            <w:tcW w:w="28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150,157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374,998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notes to interim condensed consolidated financial statements (Unaudited)</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174" w:lineRule="exact"/>
        <w:rPr>
          <w:sz w:val="20"/>
          <w:szCs w:val="20"/>
          <w:color w:val="auto"/>
        </w:rPr>
      </w:pPr>
    </w:p>
    <w:p>
      <w:pPr>
        <w:ind w:left="300" w:hanging="297"/>
        <w:spacing w:after="0"/>
        <w:tabs>
          <w:tab w:leader="none" w:pos="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Preparation of Financial Statements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2023 included in our Annual Report on Form 10-K.</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our opinion, the accompanying unaudited condensed consolidated financial statements contain all the adjustments necessary to present fairly our consolidated financial condition as of September 30, 2024 and December 31, 2023, and the results of operations for the three and nine-month periods ended September 30, 2024 and 2023. The results of operations for the three and nine-month periods ended September 30, 2024,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2023 Annual Report on Form 10-K for a disclosure of our accounting policies.</w:t>
      </w:r>
    </w:p>
    <w:p>
      <w:pPr>
        <w:spacing w:after="0" w:line="147" w:lineRule="exact"/>
        <w:rPr>
          <w:sz w:val="20"/>
          <w:szCs w:val="20"/>
          <w:color w:val="auto"/>
        </w:rPr>
      </w:pPr>
    </w:p>
    <w:p>
      <w:pPr>
        <w:ind w:left="300" w:hanging="297"/>
        <w:spacing w:after="0"/>
        <w:tabs>
          <w:tab w:leader="none" w:pos="3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Accounting Standards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Accounting Standards Update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had formed a cross-functional project team to lead the transition from LIBOR to a planned adoption of reference rates which included Secured Overnight Financing Rate (“SOFR”). We utilized the timeline guidance published by the Alternative Reference Rates Committee to develop and achieve internal milestones during the transitional period. We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 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The adoption of this ASU on January 1, 2024, did not have a material impact on our Condensed Consolidated Financial Statements.</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323): Improvements to Reportable Segment Disclosures". This ASU enhances disclosures of significant segment expenses by requiring entities to disclose significant segment expenses regularly provided to the chief operating decision maker, extend certain annual disclosures to interim periods, and permit more than one measure of segment profit or loss to be reported under certain conditions. This ASU takes effect for annual reporting periods beginning after December 15, 2023 and interim periods within fiscal years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beginning after December 15, 2024. Early adoption is permitted. We do not expect the adoption of this ASU to have a material impact on our Condensed Consolidated Financial Statements.</w:t>
      </w:r>
    </w:p>
    <w:p>
      <w:pPr>
        <w:spacing w:after="0" w:line="12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This ASU modifies the rules on income tax disclosures to require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This ASU also requires entities to disclose their income tax payments to international, federal, state and local jurisdictions, among other changes. This ASU takes effect in reporting periods beginning after December 15, 2024, with early adoption permitted. We do not expect the adoption of this ASU</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have a material impact on our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300" w:hanging="297"/>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available for sale (“AFS”)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Amortized</w:t>
            </w: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Cost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76,091</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76,603</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43,764</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334,368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300,068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70,857</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639,618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588,950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10,299</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22"/>
                <w:szCs w:val="22"/>
                <w:color w:val="auto"/>
              </w:rPr>
            </w:pPr>
          </w:p>
        </w:tc>
        <w:tc>
          <w:tcPr>
            <w:tcW w:w="48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2"/>
                <w:szCs w:val="22"/>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81,217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86,469</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112,931</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302,737</w:t>
            </w:r>
          </w:p>
        </w:tc>
        <w:tc>
          <w:tcPr>
            <w:tcW w:w="0" w:type="dxa"/>
            <w:vAlign w:val="bottom"/>
          </w:tcPr>
          <w:p>
            <w:pPr>
              <w:spacing w:after="0"/>
              <w:rPr>
                <w:sz w:val="1"/>
                <w:szCs w:val="1"/>
                <w:color w:val="auto"/>
              </w:rPr>
            </w:pPr>
          </w:p>
        </w:tc>
      </w:tr>
      <w:tr>
        <w:trPr>
          <w:trHeight w:val="258"/>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73,250</w:t>
            </w:r>
          </w:p>
        </w:tc>
        <w:tc>
          <w:tcPr>
            <w:tcW w:w="0" w:type="dxa"/>
            <w:vAlign w:val="bottom"/>
          </w:tcPr>
          <w:p>
            <w:pPr>
              <w:spacing w:after="0"/>
              <w:rPr>
                <w:sz w:val="1"/>
                <w:szCs w:val="1"/>
                <w:color w:val="auto"/>
              </w:rPr>
            </w:pPr>
          </w:p>
        </w:tc>
      </w:tr>
      <w:tr>
        <w:trPr>
          <w:trHeight w:val="258"/>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0" w:type="dxa"/>
            <w:vAlign w:val="bottom"/>
          </w:tcPr>
          <w:p>
            <w:pPr>
              <w:spacing w:after="0"/>
              <w:rPr>
                <w:sz w:val="1"/>
                <w:szCs w:val="1"/>
                <w:color w:val="auto"/>
              </w:rPr>
            </w:pPr>
          </w:p>
        </w:tc>
      </w:tr>
      <w:tr>
        <w:trPr>
          <w:trHeight w:val="212"/>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held to maturity (“HTM”) consist of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jc w:val="right"/>
              <w:ind w:right="714"/>
              <w:spacing w:after="0"/>
              <w:rPr>
                <w:sz w:val="20"/>
                <w:szCs w:val="20"/>
                <w:color w:val="auto"/>
              </w:rPr>
            </w:pPr>
            <w:r>
              <w:rPr>
                <w:rFonts w:ascii="Times New Roman" w:cs="Times New Roman" w:eastAsia="Times New Roman" w:hAnsi="Times New Roman"/>
                <w:sz w:val="17"/>
                <w:szCs w:val="17"/>
                <w:color w:val="auto"/>
              </w:rPr>
              <w:t>Unrealized</w:t>
            </w:r>
          </w:p>
        </w:tc>
        <w:tc>
          <w:tcPr>
            <w:tcW w:w="10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Carrying</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7"/>
                <w:szCs w:val="17"/>
                <w:color w:val="auto"/>
                <w:w w:val="99"/>
              </w:rPr>
              <w:t>Unrealized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7"/>
                <w:szCs w:val="17"/>
                <w:color w:val="auto"/>
              </w:rPr>
              <w:t>Amortized</w:t>
            </w: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Value</w:t>
            </w:r>
          </w:p>
        </w:tc>
        <w:tc>
          <w:tcPr>
            <w:tcW w:w="18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 (1)</w:t>
            </w:r>
          </w:p>
        </w:tc>
        <w:tc>
          <w:tcPr>
            <w:tcW w:w="24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Cost</w:t>
            </w:r>
          </w:p>
        </w:tc>
        <w:tc>
          <w:tcPr>
            <w:tcW w:w="220" w:type="dxa"/>
            <w:vAlign w:val="bottom"/>
          </w:tcPr>
          <w:p>
            <w:pPr>
              <w:spacing w:after="0"/>
              <w:rPr>
                <w:sz w:val="19"/>
                <w:szCs w:val="19"/>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Gains</w:t>
            </w:r>
          </w:p>
        </w:tc>
        <w:tc>
          <w:tcPr>
            <w:tcW w:w="22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Losses</w:t>
            </w: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5"/>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22,328</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91,647</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7,006</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163,195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147,429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41,393</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343,362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17,010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360,505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45,996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314,638</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22,479</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108,770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94,636</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U.S. agency commercial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mortgage-backed</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3,839</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6,754</w:t>
            </w: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149,545</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12"/>
        </w:trPr>
        <w:tc>
          <w:tcPr>
            <w:tcW w:w="25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373,648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77" w:lineRule="exact"/>
        <w:rPr>
          <w:rFonts w:ascii="Times New Roman" w:cs="Times New Roman" w:eastAsia="Times New Roman" w:hAnsi="Times New Roman"/>
          <w:sz w:val="17"/>
          <w:szCs w:val="17"/>
          <w:color w:val="auto"/>
        </w:rPr>
      </w:pPr>
    </w:p>
    <w:p>
      <w:pPr>
        <w:ind w:left="57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8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auto"/>
              </w:rPr>
              <w:t>Less Than Twelve Months</w:t>
            </w:r>
          </w:p>
        </w:tc>
        <w:tc>
          <w:tcPr>
            <w:tcW w:w="220" w:type="dxa"/>
            <w:vAlign w:val="bottom"/>
          </w:tcPr>
          <w:p>
            <w:pPr>
              <w:spacing w:after="0"/>
              <w:rPr>
                <w:sz w:val="19"/>
                <w:szCs w:val="19"/>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color w:val="auto"/>
              </w:rPr>
              <w:t>Twelve Months or More</w:t>
            </w: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w w:val="99"/>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4"/>
              <w:spacing w:after="0" w:line="161" w:lineRule="exact"/>
              <w:rPr>
                <w:sz w:val="20"/>
                <w:szCs w:val="20"/>
                <w:color w:val="auto"/>
              </w:rPr>
            </w:pPr>
            <w:r>
              <w:rPr>
                <w:rFonts w:ascii="Times New Roman" w:cs="Times New Roman" w:eastAsia="Times New Roman" w:hAnsi="Times New Roman"/>
                <w:sz w:val="17"/>
                <w:szCs w:val="17"/>
                <w:color w:val="auto"/>
              </w:rPr>
              <w:t>Unrealized</w:t>
            </w:r>
          </w:p>
        </w:tc>
        <w:tc>
          <w:tcPr>
            <w:tcW w:w="0" w:type="dxa"/>
            <w:vAlign w:val="bottom"/>
          </w:tcPr>
          <w:p>
            <w:pPr>
              <w:spacing w:after="0"/>
              <w:rPr>
                <w:sz w:val="1"/>
                <w:szCs w:val="1"/>
                <w:color w:val="auto"/>
              </w:rPr>
            </w:pPr>
          </w:p>
        </w:tc>
      </w:tr>
      <w:tr>
        <w:trPr>
          <w:trHeight w:val="232"/>
        </w:trPr>
        <w:tc>
          <w:tcPr>
            <w:tcW w:w="2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Losses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Fair Value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Losses</w:t>
            </w:r>
          </w:p>
        </w:tc>
        <w:tc>
          <w:tcPr>
            <w:tcW w:w="0" w:type="dxa"/>
            <w:vAlign w:val="bottom"/>
          </w:tcPr>
          <w:p>
            <w:pPr>
              <w:spacing w:after="0"/>
              <w:rPr>
                <w:sz w:val="1"/>
                <w:szCs w:val="1"/>
                <w:color w:val="auto"/>
              </w:rPr>
            </w:pPr>
          </w:p>
        </w:tc>
      </w:tr>
      <w:tr>
        <w:trPr>
          <w:trHeight w:val="21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74,478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4,067</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34,312</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69,360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37"/>
        </w:trPr>
        <w:tc>
          <w:tcPr>
            <w:tcW w:w="26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563,367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565,978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51,027</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8,453</w:t>
            </w:r>
          </w:p>
        </w:tc>
        <w:tc>
          <w:tcPr>
            <w:tcW w:w="8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Pr>
          <w:p>
            <w:pPr>
              <w:spacing w:after="0"/>
              <w:rPr>
                <w:sz w:val="22"/>
                <w:szCs w:val="22"/>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8,583</w:t>
            </w:r>
          </w:p>
        </w:tc>
        <w:tc>
          <w:tcPr>
            <w:tcW w:w="100" w:type="dxa"/>
            <w:vAlign w:val="bottom"/>
          </w:tcPr>
          <w:p>
            <w:pPr>
              <w:spacing w:after="0"/>
              <w:rPr>
                <w:sz w:val="22"/>
                <w:szCs w:val="22"/>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residential mortgage-</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8,981</w:t>
            </w:r>
          </w:p>
        </w:tc>
        <w:tc>
          <w:tcPr>
            <w:tcW w:w="0" w:type="dxa"/>
            <w:vAlign w:val="bottom"/>
          </w:tcPr>
          <w:p>
            <w:pPr>
              <w:spacing w:after="0"/>
              <w:rPr>
                <w:sz w:val="1"/>
                <w:szCs w:val="1"/>
                <w:color w:val="auto"/>
              </w:rPr>
            </w:pPr>
          </w:p>
        </w:tc>
      </w:tr>
      <w:tr>
        <w:trPr>
          <w:trHeight w:val="216"/>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 agency commercial mortgage-</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backed</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79,507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7,307</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97,203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1,939</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Obligations of states and political</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subdivisions</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301,038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301,038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38,644</w:t>
            </w:r>
          </w:p>
        </w:tc>
        <w:tc>
          <w:tcPr>
            <w:tcW w:w="0" w:type="dxa"/>
            <w:vAlign w:val="bottom"/>
          </w:tcPr>
          <w:p>
            <w:pPr>
              <w:spacing w:after="0"/>
              <w:rPr>
                <w:sz w:val="1"/>
                <w:szCs w:val="1"/>
                <w:color w:val="auto"/>
              </w:rPr>
            </w:pPr>
          </w:p>
        </w:tc>
      </w:tr>
      <w:tr>
        <w:trPr>
          <w:trHeight w:val="258"/>
        </w:trPr>
        <w:tc>
          <w:tcPr>
            <w:tcW w:w="2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w:t>
            </w:r>
          </w:p>
        </w:tc>
        <w:tc>
          <w:tcPr>
            <w:tcW w:w="0" w:type="dxa"/>
            <w:vAlign w:val="bottom"/>
          </w:tcPr>
          <w:p>
            <w:pPr>
              <w:spacing w:after="0"/>
              <w:rPr>
                <w:sz w:val="1"/>
                <w:szCs w:val="1"/>
                <w:color w:val="auto"/>
              </w:rPr>
            </w:pPr>
          </w:p>
        </w:tc>
      </w:tr>
      <w:tr>
        <w:trPr>
          <w:trHeight w:val="258"/>
        </w:trPr>
        <w:tc>
          <w:tcPr>
            <w:tcW w:w="2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2"/>
        </w:trPr>
        <w:tc>
          <w:tcPr>
            <w:tcW w:w="2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14,487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652,697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64,719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667,184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2024 and December 31, 2023. Accrued interest receivable on securities AFS totaled $3.5 million and $4.6 million at September 30, 2024 and December 31, 2023,</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respectively, and is excluded from the estimate of credit losses and is included in accrued income and other assets in the Condensed Consolidated Statements of Financial Condition.</w:t>
      </w:r>
    </w:p>
    <w:p>
      <w:pPr>
        <w:spacing w:after="0" w:line="1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U.S. agency, U.S. agency residential mortgage-backed and U.S. agency commercial mortgage-backed securities — at September 30, 2024, we had 27 U.S. agency, 107 U.S. agency residential mortgage-backed and 10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Private label mortgage backed, other asset backed and corporate securities — at September 30, 2024, we had 76 private label mortgage backed, 53 other asset backed, and 71 corporate securities whose fair value is less than amortized cost. The unrealized losses are primarily due to credit spread widening and/or an increase in interest rates since acquisition.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Obligations of states and political subdivisions — at September 30, 2024, we had 312 municipal securities whose fair value is less than amortized cost. The unrealized losses are primarily due to an increase in interest rates since acquisition.</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Trust preferred securities — at September 30, 2024,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2024 management does not intend to liquidate any of the securities discussed above and it is more likely than not that we will not be required to sell these securities prior to recovery of these unrealized losses.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no credit related charges in our Condensed Consolidated Statements of Operations related to securities AFS during the three and nine month periods ended September 30, 2024 and 2023, respectively.</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we consider historical credit loss information. Accrued interest receivable on securities HTM totaled $1.8 million and $1.8 million at September 30, 2024 and December 31, 2023,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w:t>
      </w:r>
    </w:p>
    <w:p>
      <w:pPr>
        <w:spacing w:after="0" w:line="4" w:lineRule="exact"/>
        <w:rPr>
          <w:sz w:val="20"/>
          <w:szCs w:val="20"/>
          <w:color w:val="auto"/>
        </w:rPr>
      </w:pPr>
    </w:p>
    <w:p>
      <w:pPr>
        <w:jc w:val="both"/>
        <w:ind w:firstLine="3"/>
        <w:spacing w:after="0" w:line="255" w:lineRule="auto"/>
        <w:tabs>
          <w:tab w:leader="none" w:pos="27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the issuer, and (4) whether issuers continue to make timely principal and interest payments under the contractual terms of the securities. Historical loss rates associated with securities having similar grades as those in our portfolio have been insignificant.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Despite this lone security loss, the long-term historical loss rates associated with securities having similar grades as those in our portfolio have been insignificant. Furthermore, as of September 30, 2024 and December 31, 2023, there were no past due principal and interest payments associated with these securities. At those same dates an allowance for credit losses of $133,000 and $157,000, respectively was recorded on non U.S. agency securities HTM based on applying the long-term historical credit loss rate, as published by credit rating agencies, for similarly rated securities.</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a quarterly basis, we monitor the credit quality of securities HTM through the use of credit ratings. The carrying value of securities HTM aggregated by credit quality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Private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Label</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9"/>
              </w:rPr>
              <w:t>Carrying</w:t>
            </w: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4"/>
              </w:rPr>
              <w:t>Trust</w:t>
            </w:r>
          </w:p>
        </w:tc>
        <w:tc>
          <w:tcPr>
            <w:tcW w:w="280" w:type="dxa"/>
            <w:vAlign w:val="bottom"/>
          </w:tcPr>
          <w:p>
            <w:pPr>
              <w:spacing w:after="0"/>
              <w:rPr>
                <w:sz w:val="17"/>
                <w:szCs w:val="17"/>
                <w:color w:val="auto"/>
              </w:rPr>
            </w:pPr>
          </w:p>
        </w:tc>
        <w:tc>
          <w:tcPr>
            <w:tcW w:w="120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Value</w:t>
            </w:r>
          </w:p>
        </w:tc>
      </w:tr>
      <w:tr>
        <w:trPr>
          <w:trHeight w:val="248"/>
        </w:trPr>
        <w:tc>
          <w:tcPr>
            <w:tcW w:w="35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7"/>
              </w:rPr>
              <w:t>Backed</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Total</w:t>
            </w:r>
          </w:p>
        </w:tc>
      </w:tr>
      <w:tr>
        <w:trPr>
          <w:trHeight w:val="212"/>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35,378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42,722</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103,090</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8,475</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35,991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36,646</w:t>
            </w:r>
          </w:p>
        </w:tc>
      </w:tr>
      <w:tr>
        <w:trPr>
          <w:trHeight w:val="219"/>
        </w:trPr>
        <w:tc>
          <w:tcPr>
            <w:tcW w:w="3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r>
      <w:tr>
        <w:trPr>
          <w:trHeight w:val="219"/>
        </w:trPr>
        <w:tc>
          <w:tcPr>
            <w:tcW w:w="35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18,830</w:t>
            </w:r>
          </w:p>
        </w:tc>
      </w:tr>
      <w:tr>
        <w:trPr>
          <w:trHeight w:val="237"/>
        </w:trPr>
        <w:tc>
          <w:tcPr>
            <w:tcW w:w="3500" w:type="dxa"/>
            <w:vAlign w:val="bottom"/>
            <w:tcBorders>
              <w:top w:val="single" w:sz="8" w:color="CCEEFF"/>
              <w:bottom w:val="single" w:sz="8" w:color="CCEEFF"/>
            </w:tcBorders>
            <w:shd w:val="clear" w:color="auto" w:fill="CCEEFF"/>
          </w:tcPr>
          <w:p>
            <w:pPr>
              <w:jc w:val="center"/>
              <w:ind w:right="2194"/>
              <w:spacing w:after="0"/>
              <w:rPr>
                <w:sz w:val="20"/>
                <w:szCs w:val="20"/>
                <w:color w:val="auto"/>
              </w:rPr>
            </w:pPr>
            <w:r>
              <w:rPr>
                <w:rFonts w:ascii="Times New Roman" w:cs="Times New Roman" w:eastAsia="Times New Roman" w:hAnsi="Times New Roman"/>
                <w:sz w:val="17"/>
                <w:szCs w:val="17"/>
                <w:color w:val="auto"/>
                <w:w w:val="94"/>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211,721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3500" w:type="dxa"/>
            <w:vAlign w:val="bottom"/>
          </w:tcPr>
          <w:p>
            <w:pPr>
              <w:jc w:val="center"/>
              <w:ind w:right="2254"/>
              <w:spacing w:after="0"/>
              <w:rPr>
                <w:sz w:val="20"/>
                <w:szCs w:val="20"/>
                <w:color w:val="auto"/>
              </w:rPr>
            </w:pPr>
            <w:r>
              <w:rPr>
                <w:rFonts w:ascii="Times New Roman" w:cs="Times New Roman" w:eastAsia="Times New Roman" w:hAnsi="Times New Roman"/>
                <w:sz w:val="17"/>
                <w:szCs w:val="17"/>
                <w:color w:val="auto"/>
              </w:rPr>
              <w:t>Credit rating:</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43,931</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AA</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102,583</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BBB</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34,769</w:t>
            </w:r>
          </w:p>
        </w:tc>
      </w:tr>
      <w:tr>
        <w:trPr>
          <w:trHeight w:val="21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BB</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w:t>
            </w:r>
          </w:p>
        </w:tc>
      </w:tr>
      <w:tr>
        <w:trPr>
          <w:trHeight w:val="219"/>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Non-rated</w:t>
            </w:r>
          </w:p>
        </w:tc>
        <w:tc>
          <w:tcPr>
            <w:tcW w:w="2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21,983</w:t>
            </w:r>
          </w:p>
        </w:tc>
      </w:tr>
      <w:tr>
        <w:trPr>
          <w:trHeight w:val="237"/>
        </w:trPr>
        <w:tc>
          <w:tcPr>
            <w:tcW w:w="3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215,304</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82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7"/>
                <w:szCs w:val="17"/>
                <w:color w:val="auto"/>
                <w:w w:val="93"/>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three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Obligations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of States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 Political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Trust</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Subdivisions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Preferred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security HTM type for the nine months ended September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w w:val="99"/>
              </w:rPr>
              <w:t>Private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Obligations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Label</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of States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1180" w:type="dxa"/>
            <w:vAlign w:val="bottom"/>
          </w:tcPr>
          <w:p>
            <w:pPr>
              <w:jc w:val="center"/>
              <w:ind w:left="214"/>
              <w:spacing w:after="0"/>
              <w:rPr>
                <w:sz w:val="20"/>
                <w:szCs w:val="20"/>
                <w:color w:val="auto"/>
              </w:rPr>
            </w:pPr>
            <w:r>
              <w:rPr>
                <w:rFonts w:ascii="Times New Roman" w:cs="Times New Roman" w:eastAsia="Times New Roman" w:hAnsi="Times New Roman"/>
                <w:sz w:val="17"/>
                <w:szCs w:val="17"/>
                <w:color w:val="auto"/>
              </w:rPr>
              <w:t>Mortgage-</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and Political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center"/>
              <w:ind w:right="340"/>
              <w:spacing w:after="0"/>
              <w:rPr>
                <w:sz w:val="20"/>
                <w:szCs w:val="20"/>
                <w:color w:val="auto"/>
              </w:rPr>
            </w:pPr>
            <w:r>
              <w:rPr>
                <w:rFonts w:ascii="Times New Roman" w:cs="Times New Roman" w:eastAsia="Times New Roman" w:hAnsi="Times New Roman"/>
                <w:sz w:val="17"/>
                <w:szCs w:val="17"/>
                <w:color w:val="auto"/>
              </w:rPr>
              <w:t>Trust</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500" w:type="dxa"/>
            <w:vAlign w:val="bottom"/>
          </w:tcPr>
          <w:p>
            <w:pPr>
              <w:spacing w:after="0"/>
              <w:rPr>
                <w:sz w:val="21"/>
                <w:szCs w:val="21"/>
                <w:color w:val="auto"/>
              </w:rPr>
            </w:pPr>
          </w:p>
        </w:tc>
        <w:tc>
          <w:tcPr>
            <w:tcW w:w="1180" w:type="dxa"/>
            <w:vAlign w:val="bottom"/>
            <w:tcBorders>
              <w:bottom w:val="single" w:sz="8" w:color="auto"/>
            </w:tcBorders>
          </w:tcPr>
          <w:p>
            <w:pPr>
              <w:jc w:val="center"/>
              <w:ind w:left="214"/>
              <w:spacing w:after="0"/>
              <w:rPr>
                <w:sz w:val="20"/>
                <w:szCs w:val="20"/>
                <w:color w:val="auto"/>
              </w:rPr>
            </w:pPr>
            <w:r>
              <w:rPr>
                <w:rFonts w:ascii="Times New Roman" w:cs="Times New Roman" w:eastAsia="Times New Roman" w:hAnsi="Times New Roman"/>
                <w:sz w:val="17"/>
                <w:szCs w:val="17"/>
                <w:color w:val="auto"/>
              </w:rPr>
              <w:t>Backed</w:t>
            </w: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Subdivisions</w:t>
            </w: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7"/>
                <w:szCs w:val="17"/>
                <w:color w:val="auto"/>
                <w:w w:val="99"/>
              </w:rPr>
              <w:t>Corporate</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7"/>
                <w:szCs w:val="17"/>
                <w:color w:val="auto"/>
              </w:rPr>
              <w:t>Preferred</w:t>
            </w: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4"/>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32"/>
        </w:trPr>
        <w:tc>
          <w:tcPr>
            <w:tcW w:w="3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Additions (deductions)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18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11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Securities HTM charged against the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allowance</w:t>
            </w:r>
          </w:p>
        </w:tc>
        <w:tc>
          <w:tcPr>
            <w:tcW w:w="118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97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The amortized cost and fair value of securities AFS and securities HTM at September 30, 2024, by contractual maturity, follow:</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9"/>
          </w:tcPr>
          <w:p>
            <w:pPr>
              <w:ind w:left="800"/>
              <w:spacing w:after="0"/>
              <w:rPr>
                <w:sz w:val="20"/>
                <w:szCs w:val="20"/>
                <w:color w:val="auto"/>
              </w:rPr>
            </w:pPr>
            <w:r>
              <w:rPr>
                <w:rFonts w:ascii="Times New Roman" w:cs="Times New Roman" w:eastAsia="Times New Roman" w:hAnsi="Times New Roman"/>
                <w:sz w:val="17"/>
                <w:szCs w:val="17"/>
                <w:color w:val="auto"/>
              </w:rPr>
              <w:t>Securities AFS</w:t>
            </w:r>
          </w:p>
        </w:tc>
        <w:tc>
          <w:tcPr>
            <w:tcW w:w="24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Securities HTM</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right"/>
              <w:ind w:right="40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1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80" w:type="dxa"/>
            <w:vAlign w:val="bottom"/>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3"/>
          </w:tcPr>
          <w:p>
            <w:pPr>
              <w:jc w:val="center"/>
              <w:ind w:right="360"/>
              <w:spacing w:after="0" w:line="161" w:lineRule="exact"/>
              <w:rPr>
                <w:sz w:val="20"/>
                <w:szCs w:val="20"/>
                <w:color w:val="auto"/>
              </w:rPr>
            </w:pPr>
            <w:r>
              <w:rPr>
                <w:rFonts w:ascii="Times New Roman" w:cs="Times New Roman" w:eastAsia="Times New Roman" w:hAnsi="Times New Roman"/>
                <w:sz w:val="17"/>
                <w:szCs w:val="17"/>
                <w:color w:val="auto"/>
              </w:rPr>
              <w:t>Amortized</w:t>
            </w:r>
          </w:p>
        </w:tc>
        <w:tc>
          <w:tcPr>
            <w:tcW w:w="5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434"/>
              <w:spacing w:after="0" w:line="161" w:lineRule="exact"/>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28"/>
        </w:trPr>
        <w:tc>
          <w:tcPr>
            <w:tcW w:w="3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Cost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7"/>
                <w:szCs w:val="17"/>
                <w:color w:val="auto"/>
                <w:w w:val="96"/>
              </w:rPr>
              <w:t>Cost</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3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8"/>
          </w:tcPr>
          <w:p>
            <w:pPr>
              <w:ind w:left="840"/>
              <w:spacing w:after="0"/>
              <w:rPr>
                <w:sz w:val="20"/>
                <w:szCs w:val="20"/>
                <w:color w:val="auto"/>
              </w:rPr>
            </w:pPr>
            <w:r>
              <w:rPr>
                <w:rFonts w:ascii="Times New Roman" w:cs="Times New Roman" w:eastAsia="Times New Roman" w:hAnsi="Times New Roman"/>
                <w:sz w:val="17"/>
                <w:szCs w:val="17"/>
                <w:color w:val="auto"/>
              </w:rPr>
              <w:t>(In thousands)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within one year</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21,647</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Maturing after one year but within five years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148,875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52,401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Maturing after five years but within ten years</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41,401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82,813</w:t>
            </w: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Maturing after ten years</w:t>
            </w:r>
          </w:p>
        </w:tc>
        <w:tc>
          <w:tcPr>
            <w:tcW w:w="11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202,352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177,743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79,757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69,526</w:t>
            </w:r>
          </w:p>
        </w:tc>
        <w:tc>
          <w:tcPr>
            <w:tcW w:w="0" w:type="dxa"/>
            <w:vAlign w:val="bottom"/>
          </w:tcPr>
          <w:p>
            <w:pPr>
              <w:spacing w:after="0"/>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418,615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380,419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212,150</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83,116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76,091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111,666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91,647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w:t>
            </w: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 backed</w:t>
            </w:r>
          </w:p>
        </w:tc>
        <w:tc>
          <w:tcPr>
            <w:tcW w:w="1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639,618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588,950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360,505</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314,638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nine month periods ending September 30,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7"/>
                <w:szCs w:val="17"/>
                <w:color w:val="auto"/>
              </w:rPr>
              <w:t>Realized</w:t>
            </w:r>
          </w:p>
        </w:tc>
        <w:tc>
          <w:tcPr>
            <w:tcW w:w="1100" w:type="dxa"/>
            <w:vAlign w:val="bottom"/>
            <w:tcBorders>
              <w:bottom w:val="single" w:sz="8" w:color="auto"/>
            </w:tcBorders>
          </w:tcPr>
          <w:p>
            <w:pPr>
              <w:spacing w:after="0"/>
              <w:rPr>
                <w:sz w:val="19"/>
                <w:szCs w:val="19"/>
                <w:color w:val="auto"/>
              </w:rPr>
            </w:pPr>
          </w:p>
        </w:tc>
      </w:tr>
      <w:tr>
        <w:trPr>
          <w:trHeight w:val="212"/>
        </w:trPr>
        <w:tc>
          <w:tcPr>
            <w:tcW w:w="6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Gains</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Losses</w:t>
            </w: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20" w:type="dxa"/>
            <w:vAlign w:val="bottom"/>
            <w:shd w:val="clear" w:color="auto" w:fill="CCEEFF"/>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2024</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39,431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14</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23"/>
        </w:trPr>
        <w:tc>
          <w:tcPr>
            <w:tcW w:w="6620" w:type="dxa"/>
            <w:vAlign w:val="bottom"/>
          </w:tcPr>
          <w:p>
            <w:pPr>
              <w:jc w:val="right"/>
              <w:ind w:right="6174"/>
              <w:spacing w:after="0"/>
              <w:rPr>
                <w:sz w:val="20"/>
                <w:szCs w:val="20"/>
                <w:color w:val="auto"/>
              </w:rPr>
            </w:pPr>
            <w:r>
              <w:rPr>
                <w:rFonts w:ascii="Times New Roman" w:cs="Times New Roman" w:eastAsia="Times New Roman" w:hAnsi="Times New Roman"/>
                <w:sz w:val="17"/>
                <w:szCs w:val="17"/>
                <w:color w:val="auto"/>
                <w:w w:val="99"/>
              </w:rPr>
              <w:t>2023</w:t>
            </w:r>
          </w:p>
        </w:tc>
        <w:tc>
          <w:tcPr>
            <w:tcW w:w="260" w:type="dxa"/>
            <w:vAlign w:val="bottom"/>
          </w:tcPr>
          <w:p>
            <w:pPr>
              <w:spacing w:after="0"/>
              <w:rPr>
                <w:sz w:val="19"/>
                <w:szCs w:val="19"/>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278</w:t>
            </w:r>
          </w:p>
        </w:tc>
        <w:tc>
          <w:tcPr>
            <w:tcW w:w="18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second quarter of 2024 we acquired certain securities classified as equity securities at fair value consisting of Visa Inc. Class C common stock. These securities were all sold during the second and third quarters of 2024. During the three and nine months ended September 30, 2024, we recognized gains (losses) on these equity securities of $(0.01) million and $2.7 million, respectively that are included in net gains (losses) on equity securities at fair value in the Condensed Consolidated Statements of Operations. We had no equity securities at fair value during the same periods in 2023. See note #13.</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ind w:left="300" w:hanging="297"/>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current expected credit loss ("CECL") Forecast Committee, which includes a cross discipline structure with membership from Executive Management, Risk Management, Credit Administration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4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or with well defined weaknesses;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3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75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allowance for credit losses by portfolio segment for the three months ended September 30,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56,241</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(1,018)</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53,964</w:t>
            </w: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55,495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analysis of the ACL by portfolio segment for the nine months ended September 30,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Subjective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Commercial</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Mortgage</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Allocation</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20,162</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52,435</w:t>
            </w:r>
          </w:p>
        </w:tc>
        <w:tc>
          <w:tcPr>
            <w:tcW w:w="0" w:type="dxa"/>
            <w:vAlign w:val="bottom"/>
          </w:tcPr>
          <w:p>
            <w:pPr>
              <w:spacing w:after="0"/>
              <w:rPr>
                <w:sz w:val="1"/>
                <w:szCs w:val="1"/>
                <w:color w:val="auto"/>
              </w:rPr>
            </w:pPr>
          </w:p>
        </w:tc>
      </w:tr>
      <w:tr>
        <w:trPr>
          <w:trHeight w:val="23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charged against the allowance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w:t>
            </w:r>
          </w:p>
        </w:tc>
        <w:tc>
          <w:tcPr>
            <w:tcW w:w="0" w:type="dxa"/>
            <w:vAlign w:val="bottom"/>
          </w:tcPr>
          <w:p>
            <w:pPr>
              <w:spacing w:after="0"/>
              <w:rPr>
                <w:sz w:val="1"/>
                <w:szCs w:val="1"/>
                <w:color w:val="auto"/>
              </w:rPr>
            </w:pPr>
          </w:p>
        </w:tc>
      </w:tr>
      <w:tr>
        <w:trPr>
          <w:trHeight w:val="212"/>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17,550</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13,740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55,495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Non-</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Non-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Accrual</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Accrual</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with no</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8"/>
              </w:rPr>
              <w:t>with an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Allowance</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Allowance</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90+ and</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w w:val="98"/>
              </w:rPr>
              <w:t>Total Non-</w:t>
            </w:r>
          </w:p>
        </w:tc>
        <w:tc>
          <w:tcPr>
            <w:tcW w:w="0" w:type="dxa"/>
            <w:vAlign w:val="bottom"/>
          </w:tcPr>
          <w:p>
            <w:pPr>
              <w:spacing w:after="0"/>
              <w:rPr>
                <w:sz w:val="1"/>
                <w:szCs w:val="1"/>
                <w:color w:val="auto"/>
              </w:rPr>
            </w:pPr>
          </w:p>
        </w:tc>
      </w:tr>
      <w:tr>
        <w:trPr>
          <w:trHeight w:val="206"/>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for Credit</w:t>
            </w: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w w:val="99"/>
              </w:rPr>
              <w:t>for Credit</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Non-</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w w:val="98"/>
              </w:rPr>
              <w:t>Still</w:t>
            </w: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Performing</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Loss</w:t>
            </w:r>
          </w:p>
        </w:tc>
        <w:tc>
          <w:tcPr>
            <w:tcW w:w="24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Accrual</w:t>
            </w:r>
          </w:p>
        </w:tc>
        <w:tc>
          <w:tcPr>
            <w:tcW w:w="26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color w:val="auto"/>
              </w:rPr>
              <w:t>Accruing</w:t>
            </w:r>
          </w:p>
        </w:tc>
        <w:tc>
          <w:tcPr>
            <w:tcW w:w="22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 (1)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2,662</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0" w:type="dxa"/>
            <w:vAlign w:val="bottom"/>
          </w:tcPr>
          <w:p>
            <w:pPr>
              <w:spacing w:after="0"/>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0" w:type="dxa"/>
            <w:vAlign w:val="bottom"/>
          </w:tcPr>
          <w:p>
            <w:pPr>
              <w:spacing w:after="0"/>
              <w:rPr>
                <w:sz w:val="1"/>
                <w:szCs w:val="1"/>
                <w:color w:val="auto"/>
              </w:rPr>
            </w:pPr>
          </w:p>
        </w:tc>
      </w:tr>
      <w:tr>
        <w:trPr>
          <w:trHeight w:val="258"/>
        </w:trPr>
        <w:tc>
          <w:tcPr>
            <w:tcW w:w="3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22"/>
                <w:szCs w:val="2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20" w:hanging="317"/>
        <w:spacing w:after="0" w:line="263"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commercial and industrial loans exclude $0.009 million and $0.021 million of government guaranteed loans at September 30, 2024 and December 31, 2023, respectively.</w:t>
      </w:r>
    </w:p>
    <w:p>
      <w:pPr>
        <w:ind w:left="320" w:hanging="317"/>
        <w:spacing w:after="0" w:line="266" w:lineRule="auto"/>
        <w:tabs>
          <w:tab w:leader="none" w:pos="31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Non-performing 1-4 family owner occupied – non jumbo loans exclude $2.093 million and $2.170 million of government guaranteed loans at September 30, 2024 and December 31, 2023, respectively.</w:t>
      </w:r>
    </w:p>
    <w:p>
      <w:pPr>
        <w:spacing w:after="0" w:line="29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7"/>
                <w:szCs w:val="17"/>
                <w:color w:val="auto"/>
              </w:rPr>
              <w:t>The amortized cost of collateral-dependent loans by class follows:</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5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3"/>
          </w:tcPr>
          <w:p>
            <w:pPr>
              <w:jc w:val="right"/>
              <w:ind w:right="414"/>
              <w:spacing w:after="0"/>
              <w:rPr>
                <w:sz w:val="20"/>
                <w:szCs w:val="20"/>
                <w:color w:val="auto"/>
              </w:rPr>
            </w:pPr>
            <w:r>
              <w:rPr>
                <w:rFonts w:ascii="Times New Roman" w:cs="Times New Roman" w:eastAsia="Times New Roman" w:hAnsi="Times New Roman"/>
                <w:sz w:val="17"/>
                <w:szCs w:val="17"/>
                <w:color w:val="auto"/>
                <w:w w:val="99"/>
              </w:rPr>
              <w:t>Collateral Type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Allowance</w:t>
            </w:r>
          </w:p>
        </w:tc>
        <w:tc>
          <w:tcPr>
            <w:tcW w:w="0" w:type="dxa"/>
            <w:vAlign w:val="bottom"/>
          </w:tcPr>
          <w:p>
            <w:pPr>
              <w:spacing w:after="0"/>
              <w:rPr>
                <w:sz w:val="1"/>
                <w:szCs w:val="1"/>
                <w:color w:val="auto"/>
              </w:rPr>
            </w:pPr>
          </w:p>
        </w:tc>
      </w:tr>
      <w:tr>
        <w:trPr>
          <w:trHeight w:val="42"/>
        </w:trPr>
        <w:tc>
          <w:tcPr>
            <w:tcW w:w="5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for</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color w:val="auto"/>
              </w:rPr>
              <w:t>Real</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Estate</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Other</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Credit Losses</w:t>
            </w:r>
          </w:p>
        </w:tc>
        <w:tc>
          <w:tcPr>
            <w:tcW w:w="0" w:type="dxa"/>
            <w:vAlign w:val="bottom"/>
          </w:tcPr>
          <w:p>
            <w:pPr>
              <w:spacing w:after="0"/>
              <w:rPr>
                <w:sz w:val="1"/>
                <w:szCs w:val="1"/>
                <w:color w:val="auto"/>
              </w:rPr>
            </w:pPr>
          </w:p>
        </w:tc>
      </w:tr>
      <w:tr>
        <w:trPr>
          <w:trHeight w:val="216"/>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1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2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58"/>
        </w:trPr>
        <w:tc>
          <w:tcPr>
            <w:tcW w:w="5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58"/>
        </w:trPr>
        <w:tc>
          <w:tcPr>
            <w:tcW w:w="5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7"/>
        </w:trPr>
        <w:tc>
          <w:tcPr>
            <w:tcW w:w="51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2480" w:type="dxa"/>
            <w:vAlign w:val="bottom"/>
            <w:gridSpan w:val="2"/>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21</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4"/>
        </w:trPr>
        <w:tc>
          <w:tcPr>
            <w:tcW w:w="512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An aging analysis of loans by class follows: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7"/>
                <w:szCs w:val="17"/>
                <w:color w:val="auto"/>
              </w:rPr>
              <w:t>Loans Past Due</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Loans not</w:t>
            </w: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30-59 days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color w:val="auto"/>
              </w:rPr>
              <w:t>60-89 days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90+ days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8"/>
              </w:rPr>
              <w:t>Past Due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Loans</w:t>
            </w:r>
          </w:p>
        </w:tc>
        <w:tc>
          <w:tcPr>
            <w:tcW w:w="0" w:type="dxa"/>
            <w:vAlign w:val="bottom"/>
          </w:tcPr>
          <w:p>
            <w:pPr>
              <w:spacing w:after="0"/>
              <w:rPr>
                <w:sz w:val="1"/>
                <w:szCs w:val="1"/>
                <w:color w:val="auto"/>
              </w:rPr>
            </w:pPr>
          </w:p>
        </w:tc>
      </w:tr>
      <w:tr>
        <w:trPr>
          <w:trHeight w:val="216"/>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954,649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954,752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870,495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870,495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870,387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871,867</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300,130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305,494</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172,694</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129,203</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32,142</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271,233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271,646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231,987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233,067</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100,504</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100,927</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3,932,082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3,942,287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Commercial</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810,145</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Commercial real estate</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869,586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Mortgage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owner occupied - jumbo</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858,692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859,236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297,236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301,172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173,379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173,816</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 family - 2nd lien</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115,437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116,032</w:t>
            </w: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Resort lending</w:t>
            </w:r>
          </w:p>
        </w:tc>
        <w:tc>
          <w:tcPr>
            <w:tcW w:w="1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35,616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Installment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Boat lending</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268,051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268,648</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251,123</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251,852</w:t>
            </w:r>
          </w:p>
        </w:tc>
        <w:tc>
          <w:tcPr>
            <w:tcW w:w="0" w:type="dxa"/>
            <w:vAlign w:val="bottom"/>
          </w:tcPr>
          <w:p>
            <w:pPr>
              <w:spacing w:after="0"/>
              <w:rPr>
                <w:sz w:val="1"/>
                <w:szCs w:val="1"/>
                <w:color w:val="auto"/>
              </w:rPr>
            </w:pPr>
          </w:p>
        </w:tc>
      </w:tr>
      <w:tr>
        <w:trPr>
          <w:trHeight w:val="258"/>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104,345</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104,798</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3,783,389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4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Accrued interest excluded from total</w:t>
            </w: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12,452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2024 there was one mortgage - 1-4 family owner occupied - non-jumbo loan modified as troubled loan modification totaling $0.08 million (0.1% of the total loan class). The troubled loan modification during the three months ended September 30, 2024 was due to a term extension that added 2.1 years to the life of the loan.</w:t>
      </w:r>
    </w:p>
    <w:p>
      <w:pPr>
        <w:spacing w:after="0" w:line="14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nine months ended September 30, 2024 there were five mortgage - 1-4 family owner occupied - non-jumbo loans, one mortgage 1-4 family - 2nd lien loan, and one installment - other loan modified as troubled loan modifications totaling $0.51 million (0.1% of the total loan class), $0.07 million (0.1% of the total loan class), and $0.01 million (0.1% of the total loan class), respectively. All of the troubled loan modifications during the nine months ended September 30, 2024 related to term extensions and added a weighted average 4.9 years to the life of the loans.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One of the mortgage - 1-4 family owner occupied - non-jumbo loans modified during the nine months ended September 30, 2024 received a 3.625% interest rate reduction.</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 the loans modified during the nine months ended September 30, 2024, four are on non-accrual status totaling $0.4 million. During the three and nine months ended September 30, 2023, there were no troubled loan modifications or subsequent defaults.</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Credit Quality Indicators </w:t>
      </w:r>
      <w:r>
        <w:rPr>
          <w:rFonts w:ascii="Times New Roman" w:cs="Times New Roman" w:eastAsia="Times New Roman" w:hAnsi="Times New Roman"/>
          <w:sz w:val="17"/>
          <w:szCs w:val="17"/>
          <w:color w:val="auto"/>
        </w:rPr>
        <w:t>– As part of our on-going monitoring of the credit quality of our loan portfolios, we track certain credit quality indicators including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risk grade of commercial loans, (b) the level of classified commercial loans, (c) credit scores of mortgage and installment loan borrowers, and (d) delinquency history and non-performing loans.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commercial loans, we use a loan rating system that is similar to those employed by state and federal banking regulators. Loans are graded on a scale of 1 to 12.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description of the general characteristics of the ratings follows:</w:t>
      </w:r>
    </w:p>
    <w:p>
      <w:pPr>
        <w:spacing w:after="0" w:line="17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 through 6</w:t>
      </w:r>
      <w:r>
        <w:rPr>
          <w:rFonts w:ascii="Times New Roman" w:cs="Times New Roman" w:eastAsia="Times New Roman" w:hAnsi="Times New Roman"/>
          <w:sz w:val="17"/>
          <w:szCs w:val="17"/>
          <w:color w:val="auto"/>
        </w:rPr>
        <w:t>: These loans are generally referred to as our “non-watch” commercial credits that include very high or exceptional credit fundamentals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acceptable credit fundamentals.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7 and 8</w:t>
      </w:r>
      <w:r>
        <w:rPr>
          <w:rFonts w:ascii="Times New Roman" w:cs="Times New Roman" w:eastAsia="Times New Roman" w:hAnsi="Times New Roman"/>
          <w:sz w:val="17"/>
          <w:szCs w:val="17"/>
          <w:color w:val="auto"/>
        </w:rPr>
        <w:t>: These loans are generally referred to as our “watch” commercial credits. These ratings include loans to borrowers that exhibit potential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9</w:t>
      </w:r>
      <w:r>
        <w:rPr>
          <w:rFonts w:ascii="Times New Roman" w:cs="Times New Roman" w:eastAsia="Times New Roman" w:hAnsi="Times New Roman"/>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3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Rating 10 and 11</w:t>
      </w:r>
      <w:r>
        <w:rPr>
          <w:rFonts w:ascii="Times New Roman" w:cs="Times New Roman" w:eastAsia="Times New Roman" w:hAnsi="Times New Roman"/>
          <w:sz w:val="17"/>
          <w:szCs w:val="17"/>
          <w:color w:val="auto"/>
        </w:rPr>
        <w:t>: These loans are generally referred to as our ‘‘substandard - non-accrual’’ and ‘‘doubtful’’ commercial credits. These ratings include loans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borrowers with weaknesses that make collection of the loan in full, on the basis of current facts, conditions and values at best questionable and at worst improbable. All of these loans are placed in non-accrual.</w:t>
      </w:r>
    </w:p>
    <w:p>
      <w:pPr>
        <w:spacing w:after="0" w:line="1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i w:val="1"/>
          <w:iCs w:val="1"/>
          <w:color w:val="auto"/>
        </w:rPr>
        <w:t>Rating 12</w:t>
      </w:r>
      <w:r>
        <w:rPr>
          <w:rFonts w:ascii="Times New Roman" w:cs="Times New Roman" w:eastAsia="Times New Roman" w:hAnsi="Times New Roman"/>
          <w:sz w:val="17"/>
          <w:szCs w:val="17"/>
          <w:color w:val="auto"/>
        </w:rPr>
        <w:t>: These loans are generally referred to as our “loss” commercial credits. This rating includes loans to borrowers that are deemed incapable of repayment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are charged-off.</w:t>
      </w:r>
    </w:p>
    <w:p>
      <w:pPr>
        <w:spacing w:after="0" w:line="2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loan ratings by loan class for our commercial portfolio loan segment at September 30, 2024 and December 31, 2023:</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color w:val="auto"/>
                <w:w w:val="98"/>
              </w:rPr>
              <w:t>Commercial</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5"/>
              </w:rPr>
              <w:t>Revolving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3"/>
              </w:rPr>
              <w:t>Loans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Amortized</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Cost Basis</w:t>
            </w: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5"/>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141,661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245,614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916,412</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32,327</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84,181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954,752</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75,873</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233,643</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168,095</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79,711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51,776</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176,405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63,117</w:t>
            </w:r>
          </w:p>
        </w:tc>
        <w:tc>
          <w:tcPr>
            <w:tcW w:w="8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848,620</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21,048</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94"/>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75,873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233,643</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168,095</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79,848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51,776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181,556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79,704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870,495</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375,304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288,796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308,731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1,765,032</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25,642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53,375</w:t>
            </w:r>
          </w:p>
        </w:tc>
        <w:tc>
          <w:tcPr>
            <w:tcW w:w="0" w:type="dxa"/>
            <w:vAlign w:val="bottom"/>
          </w:tcPr>
          <w:p>
            <w:pPr>
              <w:spacing w:after="0"/>
              <w:rPr>
                <w:sz w:val="1"/>
                <w:szCs w:val="1"/>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6,781</w:t>
            </w:r>
          </w:p>
        </w:tc>
        <w:tc>
          <w:tcPr>
            <w:tcW w:w="0" w:type="dxa"/>
            <w:vAlign w:val="bottom"/>
          </w:tcPr>
          <w:p>
            <w:pPr>
              <w:spacing w:after="0"/>
              <w:rPr>
                <w:sz w:val="1"/>
                <w:szCs w:val="1"/>
                <w:color w:val="auto"/>
              </w:rPr>
            </w:pP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1,825,247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4"/>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Amortized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2023</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2020</w:t>
            </w:r>
          </w:p>
        </w:tc>
        <w:tc>
          <w:tcPr>
            <w:tcW w:w="1000" w:type="dxa"/>
            <w:vAlign w:val="bottom"/>
          </w:tcPr>
          <w:p>
            <w:pPr>
              <w:jc w:val="right"/>
              <w:ind w:right="291"/>
              <w:spacing w:after="0"/>
              <w:rPr>
                <w:sz w:val="20"/>
                <w:szCs w:val="20"/>
                <w:color w:val="auto"/>
              </w:rPr>
            </w:pPr>
            <w:r>
              <w:rPr>
                <w:rFonts w:ascii="Times New Roman" w:cs="Times New Roman" w:eastAsia="Times New Roman" w:hAnsi="Times New Roman"/>
                <w:sz w:val="14"/>
                <w:szCs w:val="14"/>
                <w:color w:val="auto"/>
              </w:rPr>
              <w:t>2019</w:t>
            </w:r>
          </w:p>
        </w:tc>
        <w:tc>
          <w:tcPr>
            <w:tcW w:w="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Prior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Cost Basis</w:t>
            </w:r>
          </w:p>
        </w:tc>
        <w:tc>
          <w:tcPr>
            <w:tcW w:w="60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7"/>
              </w:rPr>
              <w:t>Total</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0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4"/>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110,472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152,715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70,081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97,960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260,634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782,082</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27,267</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3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110,568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157,954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71,592</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46,770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810,145</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6"/>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real estate</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5"/>
                <w:szCs w:val="15"/>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5"/>
                <w:szCs w:val="15"/>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78,706</w:t>
            </w:r>
          </w:p>
        </w:tc>
        <w:tc>
          <w:tcPr>
            <w:tcW w:w="8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176,265</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5"/>
                <w:szCs w:val="15"/>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861,741</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7,845</w:t>
            </w:r>
          </w:p>
        </w:tc>
      </w:tr>
      <w:tr>
        <w:trPr>
          <w:trHeight w:val="184"/>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06"/>
        </w:trPr>
        <w:tc>
          <w:tcPr>
            <w:tcW w:w="33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33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202,576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169,230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131,428</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81,028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181,788</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73,852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869,586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6"/>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Non-watch (1-6)</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313,048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77,328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1,643,823</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Watch (7-8)</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35,112</w:t>
            </w:r>
          </w:p>
        </w:tc>
      </w:tr>
      <w:tr>
        <w:trPr>
          <w:trHeight w:val="201"/>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Substandard Accrual (9)</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6"/>
        </w:trPr>
        <w:tc>
          <w:tcPr>
            <w:tcW w:w="33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Non-Accrual (10-11)</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18"/>
        </w:trPr>
        <w:tc>
          <w:tcPr>
            <w:tcW w:w="330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327,184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79,908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1,679,731</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1,615</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0"/>
        </w:trPr>
        <w:tc>
          <w:tcPr>
            <w:tcW w:w="3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following tables summarize credit scores by loan class for our mortgage and installment loan portfolio segments at September 30, 2024 and December 31, 2023:</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600"/>
              <w:spacing w:after="0"/>
              <w:rPr>
                <w:sz w:val="20"/>
                <w:szCs w:val="20"/>
                <w:color w:val="auto"/>
              </w:rPr>
            </w:pPr>
            <w:r>
              <w:rPr>
                <w:rFonts w:ascii="Times New Roman" w:cs="Times New Roman" w:eastAsia="Times New Roman" w:hAnsi="Times New Roman"/>
                <w:sz w:val="14"/>
                <w:szCs w:val="14"/>
                <w:color w:val="auto"/>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148,408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449,835</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180,704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70,228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82,736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219,786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338,351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113,700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76,175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871,867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48,277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119,731</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8,096</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27,063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27,844</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63,375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29,530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21,806</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305,494</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32,583</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94,809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14,788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16,976</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5,943</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172,694</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7"/>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w w:val="95"/>
              </w:rPr>
              <w:t>Revolving</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color w:val="auto"/>
                <w:w w:val="93"/>
              </w:rPr>
              <w:t>Loans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6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jc w:val="center"/>
              <w:ind w:right="32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Cost Basis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5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2024 - continued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12,319</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58,167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14,185</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129,203</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12,081</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79,486</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34,810</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36,061</w:t>
            </w:r>
          </w:p>
        </w:tc>
        <w:tc>
          <w:tcPr>
            <w:tcW w:w="10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18,741</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250,329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736,280</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70,235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326,119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137,193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14,359</w:t>
            </w:r>
          </w:p>
        </w:tc>
        <w:tc>
          <w:tcPr>
            <w:tcW w:w="0" w:type="dxa"/>
            <w:vAlign w:val="bottom"/>
          </w:tcPr>
          <w:p>
            <w:pPr>
              <w:spacing w:after="0"/>
              <w:rPr>
                <w:sz w:val="1"/>
                <w:szCs w:val="1"/>
                <w:color w:val="auto"/>
              </w:rPr>
            </w:pPr>
          </w:p>
        </w:tc>
      </w:tr>
      <w:tr>
        <w:trPr>
          <w:trHeight w:val="201"/>
        </w:trPr>
        <w:tc>
          <w:tcPr>
            <w:tcW w:w="3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0" w:type="dxa"/>
            <w:vAlign w:val="bottom"/>
          </w:tcPr>
          <w:p>
            <w:pPr>
              <w:spacing w:after="0"/>
              <w:rPr>
                <w:sz w:val="1"/>
                <w:szCs w:val="1"/>
                <w:color w:val="auto"/>
              </w:rPr>
            </w:pPr>
          </w:p>
        </w:tc>
      </w:tr>
      <w:tr>
        <w:trPr>
          <w:trHeight w:val="186"/>
        </w:trPr>
        <w:tc>
          <w:tcPr>
            <w:tcW w:w="3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02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440,398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124,446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1,511,400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5,374</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9"/>
              </w:rPr>
              <w:t>Mortgage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80" w:type="dxa"/>
            <w:vAlign w:val="bottom"/>
            <w:gridSpan w:val="11"/>
            <w:vMerge w:val="restart"/>
          </w:tcPr>
          <w:p>
            <w:pPr>
              <w:ind w:left="24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780" w:type="dxa"/>
            <w:vAlign w:val="bottom"/>
            <w:gridSpan w:val="11"/>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Prior</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center"/>
              <w:ind w:left="91"/>
              <w:spacing w:after="0"/>
              <w:rPr>
                <w:sz w:val="20"/>
                <w:szCs w:val="20"/>
                <w:color w:val="auto"/>
              </w:rPr>
            </w:pPr>
            <w:r>
              <w:rPr>
                <w:rFonts w:ascii="Times New Roman" w:cs="Times New Roman" w:eastAsia="Times New Roman" w:hAnsi="Times New Roman"/>
                <w:sz w:val="14"/>
                <w:szCs w:val="14"/>
                <w:color w:val="auto"/>
                <w:w w:val="96"/>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owner occupied - 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132,537</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456,463</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70,698</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18,234</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222,397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351,222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121,113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44,563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859,236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 family owner occupied - non-jumbo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40,529</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77,430</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38,685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8,600</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6,823</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37,109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68,931</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32,199</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17,622</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301,172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1-4 family non-owner occupied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34,435</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90,775</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33,368</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10,477</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6"/>
        </w:trPr>
        <w:tc>
          <w:tcPr>
            <w:tcW w:w="29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94"/>
        </w:trPr>
        <w:tc>
          <w:tcPr>
            <w:tcW w:w="2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7,431</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173,816</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ind w:left="280"/>
              <w:spacing w:after="0"/>
              <w:rPr>
                <w:sz w:val="20"/>
                <w:szCs w:val="20"/>
                <w:color w:val="auto"/>
              </w:rPr>
            </w:pPr>
            <w:r>
              <w:rPr>
                <w:rFonts w:ascii="Times New Roman" w:cs="Times New Roman" w:eastAsia="Times New Roman" w:hAnsi="Times New Roman"/>
                <w:sz w:val="14"/>
                <w:szCs w:val="14"/>
                <w:color w:val="auto"/>
              </w:rPr>
              <w:t>Mortgage - continued (1)</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4"/>
                <w:szCs w:val="14"/>
                <w:color w:val="auto"/>
                <w:w w:val="99"/>
              </w:rPr>
              <w:t>Revolving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60" w:type="dxa"/>
            <w:vAlign w:val="bottom"/>
            <w:gridSpan w:val="11"/>
            <w:vMerge w:val="restart"/>
          </w:tcPr>
          <w:p>
            <w:pPr>
              <w:ind w:left="220"/>
              <w:spacing w:after="0"/>
              <w:rPr>
                <w:sz w:val="20"/>
                <w:szCs w:val="20"/>
                <w:color w:val="auto"/>
              </w:rPr>
            </w:pPr>
            <w:r>
              <w:rPr>
                <w:rFonts w:ascii="Times New Roman" w:cs="Times New Roman" w:eastAsia="Times New Roman" w:hAnsi="Times New Roman"/>
                <w:sz w:val="14"/>
                <w:szCs w:val="14"/>
                <w:color w:val="auto"/>
              </w:rPr>
              <w:t>Term Loans Amortized Cost Basis by Origination Year</w:t>
            </w: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color w:val="auto"/>
                <w:w w:val="99"/>
              </w:rPr>
              <w:t>Loans</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gridSpan w:val="2"/>
            <w:vMerge w:val="restart"/>
          </w:tcPr>
          <w:p>
            <w:pPr>
              <w:jc w:val="center"/>
              <w:ind w:right="280"/>
              <w:spacing w:after="0" w:line="116" w:lineRule="exact"/>
              <w:rPr>
                <w:sz w:val="20"/>
                <w:szCs w:val="20"/>
                <w:color w:val="auto"/>
              </w:rPr>
            </w:pPr>
            <w:r>
              <w:rPr>
                <w:rFonts w:ascii="Times New Roman" w:cs="Times New Roman" w:eastAsia="Times New Roman" w:hAnsi="Times New Roman"/>
                <w:sz w:val="13"/>
                <w:szCs w:val="13"/>
                <w:color w:val="auto"/>
              </w:rPr>
              <w:t>Amortized</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Cost Basis</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1-4 family - 2nd lien</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9,817</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52,098</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33,347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2,808</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116,032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Resort lending</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5,643</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5,742</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35,616</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11,436</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47,054</w:t>
            </w:r>
          </w:p>
        </w:tc>
        <w:tc>
          <w:tcPr>
            <w:tcW w:w="8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84,297</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26,960</w:t>
            </w:r>
          </w:p>
        </w:tc>
        <w:tc>
          <w:tcPr>
            <w:tcW w:w="8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10,512</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30,769</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15,129</w:t>
            </w:r>
          </w:p>
        </w:tc>
        <w:tc>
          <w:tcPr>
            <w:tcW w:w="80" w:type="dxa"/>
            <w:vAlign w:val="bottom"/>
          </w:tcPr>
          <w:p>
            <w:pPr>
              <w:spacing w:after="0"/>
              <w:rPr>
                <w:sz w:val="16"/>
                <w:szCs w:val="16"/>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226,157</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728,990</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327,403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138,922</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37,023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13,604</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w:t>
            </w:r>
          </w:p>
        </w:tc>
        <w:tc>
          <w:tcPr>
            <w:tcW w:w="0" w:type="dxa"/>
            <w:vAlign w:val="bottom"/>
          </w:tcPr>
          <w:p>
            <w:pPr>
              <w:spacing w:after="0"/>
              <w:rPr>
                <w:sz w:val="1"/>
                <w:szCs w:val="1"/>
                <w:color w:val="auto"/>
              </w:rPr>
            </w:pPr>
          </w:p>
        </w:tc>
      </w:tr>
      <w:tr>
        <w:trPr>
          <w:trHeight w:val="186"/>
        </w:trPr>
        <w:tc>
          <w:tcPr>
            <w:tcW w:w="2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329,024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1,485,872</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0" w:type="dxa"/>
            <w:vAlign w:val="bottom"/>
          </w:tcPr>
          <w:p>
            <w:pPr>
              <w:spacing w:after="0"/>
              <w:rPr>
                <w:sz w:val="1"/>
                <w:szCs w:val="1"/>
                <w:color w:val="auto"/>
              </w:rPr>
            </w:pP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148,958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58,025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15,395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44,586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21,933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52,384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271,646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35,976</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118,494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24,747</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68,075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69,795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32,597</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233,067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14,735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94"/>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193"/>
        </w:trPr>
        <w:tc>
          <w:tcPr>
            <w:tcW w:w="280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5,232</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11,131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100,927</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6"/>
              </w:rPr>
              <w:t>Installment (1)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8"/>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color w:val="auto"/>
                <w:w w:val="99"/>
              </w:rPr>
              <w:t>2021</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2024 - continued</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10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10,324</w:t>
            </w:r>
          </w:p>
        </w:tc>
        <w:tc>
          <w:tcPr>
            <w:tcW w:w="10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18,632</w:t>
            </w:r>
          </w:p>
        </w:tc>
        <w:tc>
          <w:tcPr>
            <w:tcW w:w="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8,312</w:t>
            </w:r>
          </w:p>
        </w:tc>
        <w:tc>
          <w:tcPr>
            <w:tcW w:w="8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18,486</w:t>
            </w:r>
          </w:p>
        </w:tc>
        <w:tc>
          <w:tcPr>
            <w:tcW w:w="10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87,283</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304,913</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31,203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144,833</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49,829</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10,735</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01"/>
        </w:trPr>
        <w:tc>
          <w:tcPr>
            <w:tcW w:w="2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r>
      <w:tr>
        <w:trPr>
          <w:trHeight w:val="186"/>
        </w:trPr>
        <w:tc>
          <w:tcPr>
            <w:tcW w:w="27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r>
      <w:tr>
        <w:trPr>
          <w:trHeight w:val="218"/>
        </w:trPr>
        <w:tc>
          <w:tcPr>
            <w:tcW w:w="27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96,112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605,640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1,664</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91"/>
              <w:spacing w:after="0"/>
              <w:rPr>
                <w:sz w:val="20"/>
                <w:szCs w:val="20"/>
                <w:color w:val="auto"/>
              </w:rPr>
            </w:pPr>
            <w:r>
              <w:rPr>
                <w:rFonts w:ascii="Times New Roman" w:cs="Times New Roman" w:eastAsia="Times New Roman" w:hAnsi="Times New Roman"/>
                <w:sz w:val="14"/>
                <w:szCs w:val="14"/>
                <w:color w:val="auto"/>
                <w:w w:val="98"/>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gridSpan w:val="9"/>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9"/>
          </w:tcPr>
          <w:p>
            <w:pPr>
              <w:jc w:val="center"/>
              <w:ind w:right="240"/>
              <w:spacing w:after="0"/>
              <w:rPr>
                <w:sz w:val="20"/>
                <w:szCs w:val="20"/>
                <w:color w:val="auto"/>
              </w:rPr>
            </w:pPr>
            <w:r>
              <w:rPr>
                <w:rFonts w:ascii="Times New Roman" w:cs="Times New Roman" w:eastAsia="Times New Roman" w:hAnsi="Times New Roman"/>
                <w:sz w:val="14"/>
                <w:szCs w:val="14"/>
                <w:color w:val="auto"/>
                <w:w w:val="97"/>
              </w:rPr>
              <w:t>Term Loans Amortized Cost Basis by Origination Year</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86"/>
        </w:trPr>
        <w:tc>
          <w:tcPr>
            <w:tcW w:w="2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color w:val="auto"/>
              </w:rPr>
              <w:t>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Prior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color w:val="auto"/>
              </w:rPr>
              <w:t>Total</w:t>
            </w:r>
          </w:p>
        </w:tc>
      </w:tr>
      <w:tr>
        <w:trPr>
          <w:trHeight w:val="178"/>
        </w:trPr>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3"/>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Boat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3"/>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37,848</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150,694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59,011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63,070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55,295</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26,471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23,507</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40,410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268,648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Recreational vehicle lending</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38,299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39,113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129,201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58,664</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28,653</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77,550</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79,893</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17,641</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24,005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251,852</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38,655</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19,257</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23,542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7,579</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10,280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800" w:type="dxa"/>
            <w:vAlign w:val="bottom"/>
          </w:tcPr>
          <w:p>
            <w:pPr>
              <w:jc w:val="center"/>
              <w:ind w:right="1451"/>
              <w:spacing w:after="0"/>
              <w:rPr>
                <w:sz w:val="20"/>
                <w:szCs w:val="20"/>
                <w:color w:val="auto"/>
              </w:rPr>
            </w:pPr>
            <w:r>
              <w:rPr>
                <w:rFonts w:ascii="Times New Roman" w:cs="Times New Roman" w:eastAsia="Times New Roman" w:hAnsi="Times New Roman"/>
                <w:sz w:val="14"/>
                <w:szCs w:val="14"/>
                <w:color w:val="auto"/>
                <w:w w:val="96"/>
              </w:rPr>
              <w:t>Total installment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83,287</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750-799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61,633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75,378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32,911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318,550</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152,645</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650-699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53,343</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8,891</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550-599</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3,053</w:t>
            </w:r>
          </w:p>
        </w:tc>
      </w:tr>
      <w:tr>
        <w:trPr>
          <w:trHeight w:val="186"/>
        </w:trPr>
        <w:tc>
          <w:tcPr>
            <w:tcW w:w="28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Under 500</w:t>
            </w:r>
          </w:p>
        </w:tc>
        <w:tc>
          <w:tcPr>
            <w:tcW w:w="26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201"/>
        </w:trPr>
        <w:tc>
          <w:tcPr>
            <w:tcW w:w="2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Unknown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r>
      <w:tr>
        <w:trPr>
          <w:trHeight w:val="186"/>
        </w:trPr>
        <w:tc>
          <w:tcPr>
            <w:tcW w:w="2800" w:type="dxa"/>
            <w:vAlign w:val="bottom"/>
          </w:tcPr>
          <w:p>
            <w:pPr>
              <w:jc w:val="center"/>
              <w:ind w:right="1491"/>
              <w:spacing w:after="0"/>
              <w:rPr>
                <w:sz w:val="20"/>
                <w:szCs w:val="20"/>
                <w:color w:val="auto"/>
              </w:rPr>
            </w:pPr>
            <w:r>
              <w:rPr>
                <w:rFonts w:ascii="Times New Roman" w:cs="Times New Roman" w:eastAsia="Times New Roman" w:hAnsi="Times New Roman"/>
                <w:sz w:val="14"/>
                <w:szCs w:val="14"/>
                <w:color w:val="auto"/>
                <w:w w:val="94"/>
              </w:rPr>
              <w:t>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132,440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164,162</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150,928</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58,160</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44,913</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74,695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625,298</w:t>
            </w: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2,588</w:t>
            </w:r>
          </w:p>
        </w:tc>
      </w:tr>
      <w:tr>
        <w:trPr>
          <w:trHeight w:val="20"/>
        </w:trPr>
        <w:tc>
          <w:tcPr>
            <w:tcW w:w="2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Credit scores have been updated within the last twelve months.</w:t>
      </w:r>
    </w:p>
    <w:p>
      <w:pPr>
        <w:sectPr>
          <w:pgSz w:w="11900" w:h="16838" w:orient="portrait"/>
          <w:cols w:equalWidth="0" w:num="1">
            <w:col w:w="11240"/>
          </w:cols>
          <w:pgMar w:left="320" w:top="119" w:right="339" w:bottom="1440" w:gutter="0" w:footer="0" w:header="0"/>
        </w:sectPr>
      </w:pPr>
    </w:p>
    <w:p>
      <w:pPr>
        <w:spacing w:after="0" w:line="34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Foreclosed residential real estate properties included in other real estate and repossessed assets on our Condensed Consolidated Statements of Financial Condition totaled $0.8 million and $0.6 million at September 30, 2024 and December 31, 2023, respectively. Retail mortgage loans secured by residential real estate properties for which formal foreclosure proceedings are in process according to local requirements totaled $0.4 million and $0.6 million at September 30, 2024 and December 31, 2023,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nine month periods ended September 30, 2024, we sold $6.6 million and $14.7 million, respectively, of portfolio residential fixed rate</w:t>
      </w:r>
    </w:p>
    <w:p>
      <w:pPr>
        <w:spacing w:after="0" w:line="2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 xml:space="preserve">mortgage loans servicing retained and recognized a gain on sale of $0.12 million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17"/>
          <w:szCs w:val="17"/>
          <w:color w:val="auto"/>
        </w:rPr>
        <w:t xml:space="preserve"> $0.25 million, respectively. During the nine month period ended September 30 2023, we sold $51.5 million of portfolio residential mortgage loans servicing retained and recognized a loss on sale of $0.15 million. These transactions were done primarily for asset/liability management purposes. No portfolio residential mortgage loans were sold during the three month period ended September 30, 2023.</w:t>
      </w: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19, 2023, our Board of Directors authorized a share repurchase plan (the “Repurchase Plan”) to buy back up to 1,100,000 shares of our outstanding common stock through December 31, 2024.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nine month period ended September 30, 2024 there were no shares of common stock repurchased. During the nine month period ended September 30, 2023 repurchases were made totaling 288,401 shares of common stock, for an aggregate purchase price of $5.0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140" w:type="dxa"/>
            <w:vAlign w:val="bottom"/>
            <w:gridSpan w:val="6"/>
          </w:tcPr>
          <w:p>
            <w:pPr>
              <w:ind w:left="800"/>
              <w:spacing w:after="0"/>
              <w:rPr>
                <w:sz w:val="20"/>
                <w:szCs w:val="20"/>
                <w:color w:val="auto"/>
              </w:rPr>
            </w:pPr>
            <w:r>
              <w:rPr>
                <w:rFonts w:ascii="Times New Roman" w:cs="Times New Roman" w:eastAsia="Times New Roman" w:hAnsi="Times New Roman"/>
                <w:sz w:val="17"/>
                <w:szCs w:val="17"/>
                <w:color w:val="auto"/>
              </w:rPr>
              <w:t>Three Months Ended</w:t>
            </w:r>
          </w:p>
        </w:tc>
        <w:tc>
          <w:tcPr>
            <w:tcW w:w="520" w:type="dxa"/>
            <w:vAlign w:val="bottom"/>
          </w:tcPr>
          <w:p>
            <w:pPr>
              <w:spacing w:after="0"/>
              <w:rPr>
                <w:sz w:val="17"/>
                <w:szCs w:val="17"/>
                <w:color w:val="auto"/>
              </w:rPr>
            </w:pPr>
          </w:p>
        </w:tc>
        <w:tc>
          <w:tcPr>
            <w:tcW w:w="254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170"/>
        </w:trPr>
        <w:tc>
          <w:tcPr>
            <w:tcW w:w="5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40" w:type="dxa"/>
            <w:vAlign w:val="bottom"/>
            <w:gridSpan w:val="5"/>
          </w:tcPr>
          <w:p>
            <w:pPr>
              <w:ind w:left="300"/>
              <w:spacing w:after="0" w:line="170" w:lineRule="exact"/>
              <w:rPr>
                <w:sz w:val="20"/>
                <w:szCs w:val="20"/>
                <w:color w:val="auto"/>
              </w:rPr>
            </w:pPr>
            <w:r>
              <w:rPr>
                <w:rFonts w:ascii="Times New Roman" w:cs="Times New Roman" w:eastAsia="Times New Roman" w:hAnsi="Times New Roman"/>
                <w:sz w:val="17"/>
                <w:szCs w:val="17"/>
                <w:color w:val="auto"/>
              </w:rPr>
              <w:t>(In thousands, except</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per share data)</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13,810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48,329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45,324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(1)</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20,896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21,021</w:t>
            </w:r>
          </w:p>
        </w:tc>
        <w:tc>
          <w:tcPr>
            <w:tcW w:w="0" w:type="dxa"/>
            <w:vAlign w:val="bottom"/>
          </w:tcPr>
          <w:p>
            <w:pPr>
              <w:spacing w:after="0"/>
              <w:rPr>
                <w:sz w:val="1"/>
                <w:szCs w:val="1"/>
                <w:color w:val="auto"/>
              </w:rPr>
            </w:pPr>
          </w:p>
        </w:tc>
      </w:tr>
      <w:tr>
        <w:trPr>
          <w:trHeight w:val="177"/>
        </w:trPr>
        <w:tc>
          <w:tcPr>
            <w:tcW w:w="5040" w:type="dxa"/>
            <w:vAlign w:val="bottom"/>
          </w:tcPr>
          <w:p>
            <w:pPr>
              <w:ind w:left="180"/>
              <w:spacing w:after="0" w:line="177" w:lineRule="exact"/>
              <w:rPr>
                <w:sz w:val="20"/>
                <w:szCs w:val="20"/>
                <w:color w:val="auto"/>
              </w:rPr>
            </w:pPr>
            <w:r>
              <w:rPr>
                <w:rFonts w:ascii="Times New Roman" w:cs="Times New Roman" w:eastAsia="Times New Roman" w:hAnsi="Times New Roman"/>
                <w:sz w:val="17"/>
                <w:szCs w:val="17"/>
                <w:color w:val="auto"/>
              </w:rPr>
              <w:t>Stock units for deferred compensation plan for non-employee</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directors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Performance share units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Effect of stock options</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57"/>
        </w:trPr>
        <w:tc>
          <w:tcPr>
            <w:tcW w:w="5040" w:type="dxa"/>
            <w:vAlign w:val="bottom"/>
            <w:shd w:val="clear" w:color="auto" w:fill="CCEEFF"/>
          </w:tcPr>
          <w:p>
            <w:pPr>
              <w:ind w:left="320"/>
              <w:spacing w:after="0" w:line="157" w:lineRule="exact"/>
              <w:rPr>
                <w:sz w:val="20"/>
                <w:szCs w:val="20"/>
                <w:color w:val="auto"/>
              </w:rPr>
            </w:pPr>
            <w:r>
              <w:rPr>
                <w:rFonts w:ascii="Times New Roman" w:cs="Times New Roman" w:eastAsia="Times New Roman" w:hAnsi="Times New Roman"/>
                <w:sz w:val="17"/>
                <w:szCs w:val="17"/>
                <w:color w:val="auto"/>
              </w:rPr>
              <w:t>Weighted average shares outstanding for calculation of diluted</w:t>
            </w:r>
          </w:p>
        </w:tc>
        <w:tc>
          <w:tcPr>
            <w:tcW w:w="94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21,115</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21,207</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earnings per share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Basic (1)</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0.83</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Basic net income per common share includes weighted average common shares outstanding during the period and participating share awards.</w:t>
      </w:r>
    </w:p>
    <w:p>
      <w:pPr>
        <w:spacing w:after="0" w:line="19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Weighted average stock options outstanding that were not considered in computing diluted net income per common share because they were anti-dilutive were zero for the three and nine month periods ended September 30, 2024 and 2023, respectively.</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00" w:hanging="297"/>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Derivative Financial Instruments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derivative financial instruments according to the type of hedge in which they are designated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September 30, 2024</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00" w:type="dxa"/>
            <w:vAlign w:val="bottom"/>
            <w:vMerge w:val="continue"/>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4.6</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11,259</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(1,741)</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(2,779)</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445,610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2.9</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7,159</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15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2.5</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15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26,947</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40,399</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19"/>
        </w:trPr>
        <w:tc>
          <w:tcPr>
            <w:tcW w:w="5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492,129</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1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492,129</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5.2</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0" w:type="dxa"/>
            <w:vAlign w:val="bottom"/>
          </w:tcPr>
          <w:p>
            <w:pPr>
              <w:spacing w:after="0"/>
              <w:rPr>
                <w:sz w:val="1"/>
                <w:szCs w:val="1"/>
                <w:color w:val="auto"/>
              </w:rPr>
            </w:pPr>
          </w:p>
        </w:tc>
      </w:tr>
      <w:tr>
        <w:trPr>
          <w:trHeight w:val="212"/>
        </w:trPr>
        <w:tc>
          <w:tcPr>
            <w:tcW w:w="5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1,051,604</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4.9</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2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color w:val="auto"/>
              </w:rPr>
              <w:t>35</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53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31, 2023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color w:val="auto"/>
              </w:rPr>
              <w:t>Notional</w:t>
            </w:r>
          </w:p>
        </w:tc>
        <w:tc>
          <w:tcPr>
            <w:tcW w:w="16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320" w:type="dxa"/>
            <w:vAlign w:val="bottom"/>
          </w:tcPr>
          <w:p>
            <w:pPr>
              <w:spacing w:after="0"/>
              <w:rPr>
                <w:sz w:val="14"/>
                <w:szCs w:val="14"/>
                <w:color w:val="auto"/>
              </w:rPr>
            </w:pPr>
          </w:p>
        </w:tc>
        <w:tc>
          <w:tcPr>
            <w:tcW w:w="1160" w:type="dxa"/>
            <w:vAlign w:val="bottom"/>
            <w:vMerge w:val="restart"/>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60" w:type="dxa"/>
            <w:vAlign w:val="bottom"/>
          </w:tcPr>
          <w:p>
            <w:pPr>
              <w:jc w:val="center"/>
              <w:spacing w:after="0" w:line="172" w:lineRule="exact"/>
              <w:rPr>
                <w:sz w:val="20"/>
                <w:szCs w:val="20"/>
                <w:color w:val="auto"/>
              </w:rPr>
            </w:pPr>
            <w:r>
              <w:rPr>
                <w:rFonts w:ascii="Times New Roman" w:cs="Times New Roman" w:eastAsia="Times New Roman" w:hAnsi="Times New Roman"/>
                <w:sz w:val="17"/>
                <w:szCs w:val="17"/>
                <w:color w:val="auto"/>
              </w:rPr>
              <w:t>Maturity</w:t>
            </w: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Amount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(years)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6,033</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5.4</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148,895</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15,287</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mortgage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 - securities available for sale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40,970</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4.3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395,898</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 hedge designation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floor agreements - commercial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3.5</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Rate-lock mortgage loan commitments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18,081</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Mandatory commitments to sell mortgage loans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30,442</w:t>
            </w: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0.1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19"/>
        </w:trPr>
        <w:tc>
          <w:tcPr>
            <w:tcW w:w="6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Pay-variable interest rate swap agreements - commercial</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379,012</w:t>
            </w:r>
          </w:p>
        </w:tc>
        <w:tc>
          <w:tcPr>
            <w:tcW w:w="166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806,547</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5.5</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have entered into pay-fixed interest rate swaps and caps to protect a portion of the fair value of a certain fixed rate commercial loan and certain mortgage and installment loans (‘‘Fair Value Hedge – Portfolio Loans’’). As a result, changes in the fair values of the pay-fixed interest rate swaps and caps are expected to offset changes in the fair values of the fixed rate portfolio loans due to fluctuations in interest rates. We record the fair values of Fair Value Hedge – Portfolio Loans in accrued income and other assets and accrued expenses and other liabilities on our Condensed Consolidated Statements of Financial Condition. The hedged items (a fixed rate commercial loan and certain fixed rate mortgage and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gain on this terminated interest cap is being amortized into earnings over the original life of the interest rate cap.</w:t>
      </w:r>
    </w:p>
    <w:p>
      <w:pPr>
        <w:spacing w:after="0" w:line="20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6" w:lineRule="auto"/>
        <w:rPr>
          <w:sz w:val="20"/>
          <w:szCs w:val="20"/>
          <w:color w:val="auto"/>
        </w:rPr>
      </w:pPr>
      <w:r>
        <w:rPr>
          <w:rFonts w:ascii="Times New Roman" w:cs="Times New Roman" w:eastAsia="Times New Roman" w:hAnsi="Times New Roman"/>
          <w:sz w:val="17"/>
          <w:szCs w:val="17"/>
          <w:color w:val="auto"/>
        </w:rPr>
        <w:t>–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tax-exempt 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entered into interest rate floor agreements to manage the variability in future expected cash flows of certain commercial loans (‘‘Cash Flow Hedge – Portfolio Loans’’). We record the fair value of Cash Flow Hedge – Portfolio Loans in accrued income and other assets and accrued expenses and other liabilities on our Condensed Consolidated Statements of Financial Condition. The changes in the fair value of Cash Flow Hedge - Portfolio Loans are recorded in accumulated other comprehensive loss and are reclassified into the line item in our Condensed Consolidated Statements of Operations in which the hedged items are recorded in the same period the hedged items affect earnings. It is anticipated that as of September 30, 2024, $0.2 million will be reclassified from accumulated other comprehensive loss on Cash Flow Hedge - Portfolio Loans into earnings as a reduction of interest and fees on loans over the next twelve months. The maximum term of any Cash Flow Hedge - Portfolio Loans at September 30, 2024 is 3.9 years.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Certain derivative financial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earnings</w:t>
      </w:r>
    </w:p>
    <w:p>
      <w:pPr>
        <w:spacing w:after="0" w:line="14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had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 This no hedge designation pay-variable interest rate swap agreement matured during the third quarter of 2023.</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color w:val="auto"/>
              </w:rPr>
              <w:t>Asset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Liability Derivatives</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20" w:type="dxa"/>
            <w:vAlign w:val="bottom"/>
          </w:tcPr>
          <w:p>
            <w:pPr>
              <w:spacing w:after="0"/>
              <w:rPr>
                <w:sz w:val="13"/>
                <w:szCs w:val="13"/>
                <w:color w:val="auto"/>
              </w:rPr>
            </w:pPr>
          </w:p>
        </w:tc>
        <w:tc>
          <w:tcPr>
            <w:tcW w:w="212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80" w:type="dxa"/>
            <w:vAlign w:val="bottom"/>
          </w:tcPr>
          <w:p>
            <w:pPr>
              <w:spacing w:after="0"/>
              <w:rPr>
                <w:sz w:val="13"/>
                <w:szCs w:val="13"/>
                <w:color w:val="auto"/>
              </w:rPr>
            </w:pPr>
          </w:p>
        </w:tc>
        <w:tc>
          <w:tcPr>
            <w:tcW w:w="2100" w:type="dxa"/>
            <w:vAlign w:val="bottom"/>
            <w:gridSpan w:val="4"/>
          </w:tcPr>
          <w:p>
            <w:pPr>
              <w:jc w:val="right"/>
              <w:ind w:right="4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100" w:type="dxa"/>
            <w:vAlign w:val="bottom"/>
          </w:tcPr>
          <w:p>
            <w:pPr>
              <w:spacing w:after="0"/>
              <w:rPr>
                <w:sz w:val="13"/>
                <w:szCs w:val="13"/>
                <w:color w:val="auto"/>
              </w:rPr>
            </w:pPr>
          </w:p>
        </w:tc>
        <w:tc>
          <w:tcPr>
            <w:tcW w:w="2100" w:type="dxa"/>
            <w:vAlign w:val="bottom"/>
            <w:gridSpan w:val="4"/>
          </w:tcPr>
          <w:p>
            <w:pPr>
              <w:ind w:left="56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00" w:type="dxa"/>
            <w:vAlign w:val="bottom"/>
          </w:tcPr>
          <w:p>
            <w:pPr>
              <w:spacing w:after="0"/>
              <w:rPr>
                <w:sz w:val="13"/>
                <w:szCs w:val="13"/>
                <w:color w:val="auto"/>
              </w:rPr>
            </w:pPr>
          </w:p>
        </w:tc>
        <w:tc>
          <w:tcPr>
            <w:tcW w:w="2120" w:type="dxa"/>
            <w:vAlign w:val="bottom"/>
            <w:gridSpan w:val="4"/>
          </w:tcPr>
          <w:p>
            <w:pPr>
              <w:ind w:left="580"/>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9"/>
              </w:rPr>
              <w:t>2024</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9"/>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2024</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88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color w:val="auto"/>
              </w:rPr>
              <w:t>Fair</w:t>
            </w:r>
          </w:p>
        </w:tc>
        <w:tc>
          <w:tcPr>
            <w:tcW w:w="80" w:type="dxa"/>
            <w:vAlign w:val="bottom"/>
          </w:tcPr>
          <w:p>
            <w:pPr>
              <w:spacing w:after="0"/>
              <w:rPr>
                <w:sz w:val="14"/>
                <w:szCs w:val="14"/>
                <w:color w:val="auto"/>
              </w:rPr>
            </w:pPr>
          </w:p>
        </w:tc>
        <w:tc>
          <w:tcPr>
            <w:tcW w:w="860" w:type="dxa"/>
            <w:vAlign w:val="bottom"/>
          </w:tcPr>
          <w:p>
            <w:pPr>
              <w:jc w:val="center"/>
              <w:ind w:left="5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100" w:type="dxa"/>
            <w:vAlign w:val="bottom"/>
          </w:tcPr>
          <w:p>
            <w:pPr>
              <w:spacing w:after="0"/>
              <w:rPr>
                <w:sz w:val="14"/>
                <w:szCs w:val="14"/>
                <w:color w:val="auto"/>
              </w:rPr>
            </w:pPr>
          </w:p>
        </w:tc>
        <w:tc>
          <w:tcPr>
            <w:tcW w:w="860" w:type="dxa"/>
            <w:vAlign w:val="bottom"/>
          </w:tcPr>
          <w:p>
            <w:pPr>
              <w:jc w:val="center"/>
              <w:ind w:left="74"/>
              <w:spacing w:after="0" w:line="165" w:lineRule="exact"/>
              <w:rPr>
                <w:sz w:val="20"/>
                <w:szCs w:val="20"/>
                <w:color w:val="auto"/>
              </w:rPr>
            </w:pPr>
            <w:r>
              <w:rPr>
                <w:rFonts w:ascii="Times New Roman" w:cs="Times New Roman" w:eastAsia="Times New Roman" w:hAnsi="Times New Roman"/>
                <w:sz w:val="17"/>
                <w:szCs w:val="17"/>
                <w:color w:val="auto"/>
                <w:w w:val="98"/>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jc w:val="center"/>
              <w:ind w:left="5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left="9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left="74"/>
              <w:spacing w:after="0" w:line="167" w:lineRule="exact"/>
              <w:rPr>
                <w:sz w:val="20"/>
                <w:szCs w:val="20"/>
                <w:color w:val="auto"/>
              </w:rPr>
            </w:pPr>
            <w:r>
              <w:rPr>
                <w:rFonts w:ascii="Times New Roman" w:cs="Times New Roman" w:eastAsia="Times New Roman" w:hAnsi="Times New Roman"/>
                <w:sz w:val="17"/>
                <w:szCs w:val="17"/>
                <w:color w:val="auto"/>
              </w:rPr>
              <w:t>Sheet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spacing w:after="0"/>
              <w:rPr>
                <w:sz w:val="20"/>
                <w:szCs w:val="20"/>
                <w:color w:val="auto"/>
              </w:rPr>
            </w:pPr>
          </w:p>
        </w:tc>
        <w:tc>
          <w:tcPr>
            <w:tcW w:w="88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Location</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Value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9"/>
              </w:rPr>
              <w:t>Location</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Location</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5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instruments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20" w:type="dxa"/>
            <w:vAlign w:val="bottom"/>
            <w:shd w:val="clear" w:color="auto" w:fill="CCEEFF"/>
          </w:tcPr>
          <w:p>
            <w:pPr>
              <w:ind w:left="180"/>
              <w:spacing w:after="0" w:line="172"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11,519</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15,636</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rate cap agreements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rate floor agreements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4,221</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18,981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3,359</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Derivatives not designated as</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hedging instruments</w:t>
            </w: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Rate-lock mortgage loan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commitments</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Mandatory commitments to sell</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mortgage loans</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168"/>
        </w:trPr>
        <w:tc>
          <w:tcPr>
            <w:tcW w:w="2520" w:type="dxa"/>
            <w:vAlign w:val="bottom"/>
          </w:tcPr>
          <w:p>
            <w:pPr>
              <w:ind w:left="180"/>
              <w:spacing w:after="0" w:line="167" w:lineRule="exact"/>
              <w:rPr>
                <w:sz w:val="20"/>
                <w:szCs w:val="20"/>
                <w:color w:val="auto"/>
              </w:rPr>
            </w:pPr>
            <w:r>
              <w:rPr>
                <w:rFonts w:ascii="Times New Roman" w:cs="Times New Roman" w:eastAsia="Times New Roman" w:hAnsi="Times New Roman"/>
                <w:sz w:val="17"/>
                <w:szCs w:val="17"/>
                <w:color w:val="auto"/>
              </w:rPr>
              <w:t>Pay-fixed interest rate swap</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10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10,414</w:t>
            </w:r>
          </w:p>
        </w:tc>
        <w:tc>
          <w:tcPr>
            <w:tcW w:w="10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0" w:type="dxa"/>
            <w:vAlign w:val="bottom"/>
          </w:tcPr>
          <w:p>
            <w:pPr>
              <w:spacing w:after="0"/>
              <w:rPr>
                <w:sz w:val="1"/>
                <w:szCs w:val="1"/>
                <w:color w:val="auto"/>
              </w:rPr>
            </w:pPr>
          </w:p>
        </w:tc>
      </w:tr>
      <w:tr>
        <w:trPr>
          <w:trHeight w:val="168"/>
        </w:trPr>
        <w:tc>
          <w:tcPr>
            <w:tcW w:w="252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Pay-variable interest rate swap</w:t>
            </w: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10,414</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9"/>
              </w:rPr>
              <w:t>Other assets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9,101</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12,683</w:t>
            </w:r>
          </w:p>
        </w:tc>
        <w:tc>
          <w:tcPr>
            <w:tcW w:w="0" w:type="dxa"/>
            <w:vAlign w:val="bottom"/>
          </w:tcPr>
          <w:p>
            <w:pPr>
              <w:spacing w:after="0"/>
              <w:rPr>
                <w:sz w:val="1"/>
                <w:szCs w:val="1"/>
                <w:color w:val="auto"/>
              </w:rPr>
            </w:pPr>
          </w:p>
        </w:tc>
      </w:tr>
      <w:tr>
        <w:trPr>
          <w:trHeight w:val="212"/>
        </w:trPr>
        <w:tc>
          <w:tcPr>
            <w:tcW w:w="25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19,793</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18,370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19,515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18,476</w:t>
            </w: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derivatives</w:t>
            </w: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21,835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effect of derivative financial instruments on the Condensed Consolidated Statements of Operations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Fair Value Hedges</w:t>
      </w:r>
    </w:p>
    <w:p>
      <w:pPr>
        <w:spacing w:after="0" w:line="34" w:lineRule="exact"/>
        <w:rPr>
          <w:sz w:val="20"/>
          <w:szCs w:val="20"/>
          <w:color w:val="auto"/>
        </w:rPr>
      </w:pPr>
    </w:p>
    <w:p>
      <w:pPr>
        <w:ind w:left="320" w:right="440" w:hanging="154"/>
        <w:spacing w:after="0" w:line="251" w:lineRule="auto"/>
        <w:rPr>
          <w:sz w:val="20"/>
          <w:szCs w:val="20"/>
          <w:color w:val="auto"/>
        </w:rPr>
      </w:pPr>
      <w:r>
        <w:rPr>
          <w:rFonts w:ascii="Times New Roman" w:cs="Times New Roman" w:eastAsia="Times New Roman" w:hAnsi="Times New Roman"/>
          <w:sz w:val="15"/>
          <w:szCs w:val="15"/>
          <w:color w:val="auto"/>
        </w:rPr>
        <w:t>Pay-fixed interest rate swap agreement - commercial</w:t>
      </w:r>
    </w:p>
    <w:p>
      <w:pPr>
        <w:ind w:left="320" w:hanging="154"/>
        <w:spacing w:after="0" w:line="236" w:lineRule="auto"/>
        <w:rPr>
          <w:sz w:val="20"/>
          <w:szCs w:val="20"/>
          <w:color w:val="auto"/>
        </w:rPr>
      </w:pPr>
      <w:r>
        <w:rPr>
          <w:rFonts w:ascii="Times New Roman" w:cs="Times New Roman" w:eastAsia="Times New Roman" w:hAnsi="Times New Roman"/>
          <w:sz w:val="15"/>
          <w:szCs w:val="15"/>
          <w:color w:val="auto"/>
        </w:rPr>
        <w:t>Pay-fixed interest rate swap agreements - securities available for sale</w:t>
      </w:r>
    </w:p>
    <w:p>
      <w:pPr>
        <w:spacing w:after="0" w:line="7" w:lineRule="exact"/>
        <w:rPr>
          <w:sz w:val="20"/>
          <w:szCs w:val="20"/>
          <w:color w:val="auto"/>
        </w:rPr>
      </w:pPr>
    </w:p>
    <w:p>
      <w:pPr>
        <w:jc w:val="right"/>
        <w:ind w:left="180" w:right="440"/>
        <w:spacing w:after="0" w:line="251" w:lineRule="auto"/>
        <w:rPr>
          <w:sz w:val="20"/>
          <w:szCs w:val="20"/>
          <w:color w:val="auto"/>
        </w:rPr>
      </w:pPr>
      <w:r>
        <w:rPr>
          <w:rFonts w:ascii="Times New Roman" w:cs="Times New Roman" w:eastAsia="Times New Roman" w:hAnsi="Times New Roman"/>
          <w:sz w:val="15"/>
          <w:szCs w:val="15"/>
          <w:color w:val="auto"/>
        </w:rPr>
        <w:t>Pay-fixed interest rate swap agreements - Installment</w:t>
      </w:r>
    </w:p>
    <w:p>
      <w:pPr>
        <w:ind w:left="320" w:right="440" w:hanging="154"/>
        <w:spacing w:after="0" w:line="251" w:lineRule="auto"/>
        <w:rPr>
          <w:sz w:val="20"/>
          <w:szCs w:val="20"/>
          <w:color w:val="auto"/>
        </w:rPr>
      </w:pPr>
      <w:r>
        <w:rPr>
          <w:rFonts w:ascii="Times New Roman" w:cs="Times New Roman" w:eastAsia="Times New Roman" w:hAnsi="Times New Roman"/>
          <w:sz w:val="15"/>
          <w:szCs w:val="15"/>
          <w:color w:val="auto"/>
        </w:rPr>
        <w:t>Pay-fixed interest rate swap agreements - Mortgage</w:t>
      </w:r>
    </w:p>
    <w:p>
      <w:pPr>
        <w:jc w:val="right"/>
        <w:ind w:left="180" w:right="340"/>
        <w:spacing w:after="0" w:line="253" w:lineRule="auto"/>
        <w:rPr>
          <w:sz w:val="20"/>
          <w:szCs w:val="20"/>
          <w:color w:val="auto"/>
        </w:rPr>
      </w:pPr>
      <w:r>
        <w:rPr>
          <w:rFonts w:ascii="Times New Roman" w:cs="Times New Roman" w:eastAsia="Times New Roman" w:hAnsi="Times New Roman"/>
          <w:sz w:val="15"/>
          <w:szCs w:val="15"/>
          <w:color w:val="auto"/>
        </w:rPr>
        <w:t>Interest rate cap agreements - securities available for sale</w:t>
      </w:r>
    </w:p>
    <w:p>
      <w:pPr>
        <w:spacing w:after="0" w:line="152" w:lineRule="exact"/>
        <w:rPr>
          <w:sz w:val="20"/>
          <w:szCs w:val="20"/>
          <w:color w:val="auto"/>
        </w:rPr>
      </w:pPr>
    </w:p>
    <w:p>
      <w:pPr>
        <w:ind w:left="320" w:right="340" w:hanging="154"/>
        <w:spacing w:after="0" w:line="251" w:lineRule="auto"/>
        <w:rPr>
          <w:sz w:val="20"/>
          <w:szCs w:val="20"/>
          <w:color w:val="auto"/>
        </w:rPr>
      </w:pPr>
      <w:r>
        <w:rPr>
          <w:rFonts w:ascii="Times New Roman" w:cs="Times New Roman" w:eastAsia="Times New Roman" w:hAnsi="Times New Roman"/>
          <w:sz w:val="15"/>
          <w:szCs w:val="15"/>
          <w:color w:val="auto"/>
        </w:rPr>
        <w:t>Interest rate cap agreements - installment</w:t>
      </w: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4"/>
          </w:tcPr>
          <w:p>
            <w:pPr>
              <w:jc w:val="center"/>
              <w:ind w:right="2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000" w:type="dxa"/>
            <w:vAlign w:val="bottom"/>
            <w:gridSpan w:val="3"/>
          </w:tcPr>
          <w:p>
            <w:pPr>
              <w:jc w:val="center"/>
              <w:ind w:left="443"/>
              <w:spacing w:after="0" w:line="155" w:lineRule="exact"/>
              <w:rPr>
                <w:sz w:val="20"/>
                <w:szCs w:val="20"/>
                <w:color w:val="auto"/>
              </w:rPr>
            </w:pPr>
            <w:r>
              <w:rPr>
                <w:rFonts w:ascii="Times New Roman" w:cs="Times New Roman" w:eastAsia="Times New Roman" w:hAnsi="Times New Roman"/>
                <w:sz w:val="15"/>
                <w:szCs w:val="15"/>
                <w:color w:val="auto"/>
              </w:rPr>
              <w:t>Other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64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4"/>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tcPr>
          <w:p>
            <w:pPr>
              <w:jc w:val="center"/>
              <w:ind w:right="83"/>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225"/>
        </w:trPr>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(Effective Portion)</w:t>
            </w:r>
          </w:p>
        </w:tc>
        <w:tc>
          <w:tcPr>
            <w:tcW w:w="80" w:type="dxa"/>
            <w:vAlign w:val="bottom"/>
          </w:tcPr>
          <w:p>
            <w:pPr>
              <w:spacing w:after="0"/>
              <w:rPr>
                <w:sz w:val="19"/>
                <w:szCs w:val="19"/>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Location of Gain (Loss)</w:t>
            </w: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64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60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00" w:type="dxa"/>
            <w:vAlign w:val="bottom"/>
          </w:tcPr>
          <w:p>
            <w:pPr>
              <w:spacing w:after="0"/>
              <w:rPr>
                <w:sz w:val="13"/>
                <w:szCs w:val="13"/>
                <w:color w:val="auto"/>
              </w:rPr>
            </w:pPr>
          </w:p>
        </w:tc>
        <w:tc>
          <w:tcPr>
            <w:tcW w:w="1680" w:type="dxa"/>
            <w:vAlign w:val="bottom"/>
            <w:gridSpan w:val="4"/>
            <w:vMerge w:val="restart"/>
          </w:tcPr>
          <w:p>
            <w:pPr>
              <w:jc w:val="center"/>
              <w:ind w:right="3"/>
              <w:spacing w:after="0"/>
              <w:rPr>
                <w:sz w:val="20"/>
                <w:szCs w:val="20"/>
                <w:color w:val="auto"/>
              </w:rPr>
            </w:pPr>
            <w:r>
              <w:rPr>
                <w:rFonts w:ascii="Times New Roman" w:cs="Times New Roman" w:eastAsia="Times New Roman" w:hAnsi="Times New Roman"/>
                <w:sz w:val="15"/>
                <w:szCs w:val="15"/>
                <w:color w:val="auto"/>
              </w:rPr>
              <w:t>Three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Three Month</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64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00" w:type="dxa"/>
            <w:vAlign w:val="bottom"/>
          </w:tcPr>
          <w:p>
            <w:pPr>
              <w:spacing w:after="0"/>
              <w:rPr>
                <w:sz w:val="4"/>
                <w:szCs w:val="4"/>
                <w:color w:val="auto"/>
              </w:rPr>
            </w:pPr>
          </w:p>
        </w:tc>
        <w:tc>
          <w:tcPr>
            <w:tcW w:w="168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1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164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68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4"/>
            <w:vMerge w:val="restart"/>
          </w:tcPr>
          <w:p>
            <w:pPr>
              <w:jc w:val="center"/>
              <w:ind w:right="103"/>
              <w:spacing w:after="0"/>
              <w:rPr>
                <w:sz w:val="20"/>
                <w:szCs w:val="20"/>
                <w:color w:val="auto"/>
              </w:rPr>
            </w:pPr>
            <w:r>
              <w:rPr>
                <w:rFonts w:ascii="Times New Roman" w:cs="Times New Roman" w:eastAsia="Times New Roman" w:hAnsi="Times New Roman"/>
                <w:sz w:val="15"/>
                <w:szCs w:val="15"/>
                <w:color w:val="auto"/>
              </w:rPr>
              <w:t>September 30,</w:t>
            </w:r>
          </w:p>
        </w:tc>
        <w:tc>
          <w:tcPr>
            <w:tcW w:w="0" w:type="dxa"/>
            <w:vAlign w:val="bottom"/>
          </w:tcPr>
          <w:p>
            <w:pPr>
              <w:spacing w:after="0"/>
              <w:rPr>
                <w:sz w:val="1"/>
                <w:szCs w:val="1"/>
                <w:color w:val="auto"/>
              </w:rPr>
            </w:pPr>
          </w:p>
        </w:tc>
      </w:tr>
      <w:tr>
        <w:trPr>
          <w:trHeight w:val="97"/>
        </w:trPr>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60" w:type="dxa"/>
            <w:vAlign w:val="bottom"/>
            <w:gridSpan w:val="2"/>
            <w:vMerge w:val="restart"/>
          </w:tcPr>
          <w:p>
            <w:pPr>
              <w:jc w:val="center"/>
              <w:ind w:right="60"/>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1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in Income</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4"/>
          </w:tcPr>
          <w:p>
            <w:pPr>
              <w:jc w:val="center"/>
              <w:ind w:right="83"/>
              <w:spacing w:after="0"/>
              <w:rPr>
                <w:sz w:val="20"/>
                <w:szCs w:val="20"/>
                <w:color w:val="auto"/>
              </w:rPr>
            </w:pPr>
            <w:r>
              <w:rPr>
                <w:rFonts w:ascii="Times New Roman" w:cs="Times New Roman" w:eastAsia="Times New Roman" w:hAnsi="Times New Roman"/>
                <w:sz w:val="15"/>
                <w:szCs w:val="15"/>
                <w:color w:val="auto"/>
              </w:rPr>
              <w:t>(In thousands)</w:t>
            </w:r>
          </w:p>
        </w:tc>
        <w:tc>
          <w:tcPr>
            <w:tcW w:w="0" w:type="dxa"/>
            <w:vAlign w:val="bottom"/>
          </w:tcPr>
          <w:p>
            <w:pPr>
              <w:spacing w:after="0"/>
              <w:rPr>
                <w:sz w:val="1"/>
                <w:szCs w:val="1"/>
                <w:color w:val="auto"/>
              </w:rPr>
            </w:pPr>
          </w:p>
        </w:tc>
      </w:tr>
      <w:tr>
        <w:trPr>
          <w:trHeight w:val="367"/>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(184)</w:t>
            </w:r>
          </w:p>
        </w:tc>
        <w:tc>
          <w:tcPr>
            <w:tcW w:w="80" w:type="dxa"/>
            <w:vAlign w:val="bottom"/>
          </w:tcPr>
          <w:p>
            <w:pPr>
              <w:spacing w:after="0"/>
              <w:rPr>
                <w:sz w:val="24"/>
                <w:szCs w:val="24"/>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 tax</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926</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exempt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(2,940)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785</w:t>
            </w:r>
          </w:p>
        </w:tc>
        <w:tc>
          <w:tcPr>
            <w:tcW w:w="0" w:type="dxa"/>
            <w:vAlign w:val="bottom"/>
          </w:tcPr>
          <w:p>
            <w:pPr>
              <w:spacing w:after="0"/>
              <w:rPr>
                <w:sz w:val="1"/>
                <w:szCs w:val="1"/>
                <w:color w:val="auto"/>
              </w:rPr>
            </w:pPr>
          </w:p>
        </w:tc>
      </w:tr>
      <w:tr>
        <w:trPr>
          <w:trHeight w:val="200"/>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center"/>
              <w:ind w:left="263"/>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3"/>
                <w:szCs w:val="13"/>
                <w:color w:val="auto"/>
              </w:rPr>
            </w:pPr>
          </w:p>
        </w:tc>
        <w:tc>
          <w:tcPr>
            <w:tcW w:w="1600" w:type="dxa"/>
            <w:vAlign w:val="bottom"/>
            <w:gridSpan w:val="2"/>
          </w:tcPr>
          <w:p>
            <w:pPr>
              <w:ind w:left="16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vMerge w:val="restart"/>
          </w:tcPr>
          <w:p>
            <w:pPr>
              <w:jc w:val="center"/>
              <w:ind w:left="383"/>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Pr>
          <w:p>
            <w:pPr>
              <w:spacing w:after="0"/>
              <w:rPr>
                <w:sz w:val="13"/>
                <w:szCs w:val="13"/>
                <w:color w:val="auto"/>
              </w:rPr>
            </w:pPr>
          </w:p>
        </w:tc>
        <w:tc>
          <w:tcPr>
            <w:tcW w:w="18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tcPr>
          <w:p>
            <w:pPr>
              <w:jc w:val="center"/>
              <w:ind w:left="283"/>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3"/>
                <w:szCs w:val="13"/>
                <w:color w:val="auto"/>
              </w:rPr>
            </w:pPr>
          </w:p>
        </w:tc>
        <w:tc>
          <w:tcPr>
            <w:tcW w:w="166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 tax</w:t>
            </w: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200"/>
        </w:trPr>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tax - exempt</w:t>
            </w:r>
          </w:p>
        </w:tc>
        <w:tc>
          <w:tcPr>
            <w:tcW w:w="1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 exempt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640" w:type="dxa"/>
            <w:vAlign w:val="bottom"/>
            <w:vMerge w:val="restart"/>
          </w:tcPr>
          <w:p>
            <w:pPr>
              <w:jc w:val="center"/>
              <w:ind w:left="28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00" w:type="dxa"/>
            <w:vAlign w:val="bottom"/>
          </w:tcPr>
          <w:p>
            <w:pPr>
              <w:spacing w:after="0"/>
              <w:rPr>
                <w:sz w:val="14"/>
                <w:szCs w:val="14"/>
                <w:color w:val="auto"/>
              </w:rPr>
            </w:pPr>
          </w:p>
        </w:tc>
        <w:tc>
          <w:tcPr>
            <w:tcW w:w="840" w:type="dxa"/>
            <w:vAlign w:val="bottom"/>
            <w:gridSpan w:val="2"/>
            <w:vMerge w:val="restart"/>
          </w:tcPr>
          <w:p>
            <w:pPr>
              <w:jc w:val="center"/>
              <w:ind w:left="323"/>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vMerge w:val="restart"/>
          </w:tcPr>
          <w:p>
            <w:pPr>
              <w:jc w:val="center"/>
              <w:ind w:left="303"/>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6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80" w:type="dxa"/>
            <w:vAlign w:val="bottom"/>
          </w:tcPr>
          <w:p>
            <w:pPr>
              <w:spacing w:after="0"/>
              <w:rPr>
                <w:sz w:val="14"/>
                <w:szCs w:val="14"/>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loans</w:t>
            </w:r>
          </w:p>
        </w:tc>
        <w:tc>
          <w:tcPr>
            <w:tcW w:w="1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8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(255)</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color w:val="auto"/>
              </w:rPr>
              <w:t>(25)</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tcPr>
          <w:p>
            <w:pPr>
              <w:jc w:val="center"/>
              <w:ind w:left="383"/>
              <w:spacing w:after="0"/>
              <w:rPr>
                <w:sz w:val="20"/>
                <w:szCs w:val="20"/>
                <w:color w:val="auto"/>
              </w:rPr>
            </w:pPr>
            <w:r>
              <w:rPr>
                <w:rFonts w:ascii="Times New Roman" w:cs="Times New Roman" w:eastAsia="Times New Roman" w:hAnsi="Times New Roman"/>
                <w:sz w:val="15"/>
                <w:szCs w:val="15"/>
                <w:color w:val="auto"/>
              </w:rPr>
              <w:t>(57)</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center"/>
              <w:ind w:left="283"/>
              <w:spacing w:after="0"/>
              <w:rPr>
                <w:sz w:val="20"/>
                <w:szCs w:val="20"/>
                <w:color w:val="auto"/>
              </w:rPr>
            </w:pPr>
            <w:r>
              <w:rPr>
                <w:rFonts w:ascii="Times New Roman" w:cs="Times New Roman" w:eastAsia="Times New Roman" w:hAnsi="Times New Roman"/>
                <w:sz w:val="15"/>
                <w:szCs w:val="15"/>
                <w:color w:val="auto"/>
              </w:rPr>
              <w:t>(55)</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(10,546)</w:t>
            </w:r>
          </w:p>
        </w:tc>
        <w:tc>
          <w:tcPr>
            <w:tcW w:w="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2,611</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-1873885</wp:posOffset>
            </wp:positionV>
            <wp:extent cx="7138670" cy="130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-1513840</wp:posOffset>
            </wp:positionV>
            <wp:extent cx="7138670" cy="327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-956945</wp:posOffset>
            </wp:positionV>
            <wp:extent cx="7138670" cy="229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-1584960</wp:posOffset>
            </wp:positionH>
            <wp:positionV relativeFrom="paragraph">
              <wp:posOffset>-400685</wp:posOffset>
            </wp:positionV>
            <wp:extent cx="7138670" cy="229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2292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40" w:space="160"/>
            <w:col w:w="874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 Hedges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2,999</w:t>
            </w:r>
          </w:p>
        </w:tc>
        <w:tc>
          <w:tcPr>
            <w:tcW w:w="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168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3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174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5"/>
                <w:szCs w:val="15"/>
                <w:color w:val="auto"/>
              </w:rPr>
              <w:t>Interest and fees on</w:t>
            </w:r>
          </w:p>
        </w:tc>
        <w:tc>
          <w:tcPr>
            <w:tcW w:w="2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w:t>
            </w:r>
          </w:p>
        </w:tc>
        <w:tc>
          <w:tcPr>
            <w:tcW w:w="8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0"/>
        </w:trPr>
        <w:tc>
          <w:tcPr>
            <w:tcW w:w="2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commercial</w:t>
            </w:r>
          </w:p>
        </w:tc>
        <w:tc>
          <w:tcPr>
            <w:tcW w:w="260" w:type="dxa"/>
            <w:vAlign w:val="bottom"/>
            <w:tcBorders>
              <w:bottom w:val="single" w:sz="8" w:color="auto"/>
            </w:tcBorders>
            <w:vMerge w:val="continue"/>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loans</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520" w:type="dxa"/>
            <w:vAlign w:val="bottom"/>
            <w:tcBorders>
              <w:bottom w:val="single" w:sz="8" w:color="auto"/>
            </w:tcBorders>
            <w:vMerge w:val="continue"/>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loans</w:t>
            </w:r>
          </w:p>
        </w:tc>
        <w:tc>
          <w:tcPr>
            <w:tcW w:w="20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 hedge designation</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Rate-lock mortgage loan</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Net gains on mortgage</w:t>
            </w: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80" w:type="dxa"/>
            <w:vAlign w:val="bottom"/>
          </w:tcPr>
          <w:p>
            <w:pPr>
              <w:spacing w:after="0"/>
              <w:rPr>
                <w:sz w:val="13"/>
                <w:szCs w:val="13"/>
                <w:color w:val="auto"/>
              </w:rPr>
            </w:pPr>
          </w:p>
        </w:tc>
        <w:tc>
          <w:tcPr>
            <w:tcW w:w="2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commitments</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loans</w:t>
            </w:r>
          </w:p>
        </w:tc>
        <w:tc>
          <w:tcPr>
            <w:tcW w:w="20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40" w:type="dxa"/>
            <w:vAlign w:val="bottom"/>
            <w:shd w:val="clear" w:color="auto" w:fill="CCEEFF"/>
          </w:tcPr>
          <w:p>
            <w:pPr>
              <w:ind w:left="100"/>
              <w:spacing w:after="0" w:line="159" w:lineRule="exact"/>
              <w:rPr>
                <w:sz w:val="20"/>
                <w:szCs w:val="20"/>
                <w:color w:val="auto"/>
              </w:rPr>
            </w:pPr>
            <w:r>
              <w:rPr>
                <w:rFonts w:ascii="Times New Roman" w:cs="Times New Roman" w:eastAsia="Times New Roman" w:hAnsi="Times New Roman"/>
                <w:sz w:val="15"/>
                <w:szCs w:val="15"/>
                <w:color w:val="auto"/>
              </w:rPr>
              <w:t>Net gains on mortgage</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mortgage loans</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loans</w:t>
            </w: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Pay-fixed interest rate swap</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(15,031)</w:t>
            </w:r>
          </w:p>
        </w:tc>
        <w:tc>
          <w:tcPr>
            <w:tcW w:w="80" w:type="dxa"/>
            <w:vAlign w:val="bottom"/>
          </w:tcPr>
          <w:p>
            <w:pPr>
              <w:spacing w:after="0"/>
              <w:rPr>
                <w:sz w:val="13"/>
                <w:szCs w:val="13"/>
                <w:color w:val="auto"/>
              </w:rPr>
            </w:pPr>
          </w:p>
        </w:tc>
        <w:tc>
          <w:tcPr>
            <w:tcW w:w="2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5,579</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50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(5,579)</w:t>
            </w:r>
          </w:p>
        </w:tc>
        <w:tc>
          <w:tcPr>
            <w:tcW w:w="0" w:type="dxa"/>
            <w:vAlign w:val="bottom"/>
          </w:tcPr>
          <w:p>
            <w:pPr>
              <w:spacing w:after="0"/>
              <w:rPr>
                <w:sz w:val="1"/>
                <w:szCs w:val="1"/>
                <w:color w:val="auto"/>
              </w:rPr>
            </w:pPr>
          </w:p>
        </w:tc>
      </w:tr>
      <w:tr>
        <w:trPr>
          <w:trHeight w:val="205"/>
        </w:trPr>
        <w:tc>
          <w:tcPr>
            <w:tcW w:w="2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agreements - commercial</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line="156"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40" w:type="dxa"/>
            <w:vAlign w:val="bottom"/>
          </w:tcPr>
          <w:p>
            <w:pPr>
              <w:ind w:left="100"/>
              <w:spacing w:after="0" w:line="156" w:lineRule="exact"/>
              <w:rPr>
                <w:sz w:val="20"/>
                <w:szCs w:val="20"/>
                <w:color w:val="auto"/>
              </w:rPr>
            </w:pPr>
            <w:r>
              <w:rPr>
                <w:rFonts w:ascii="Times New Roman" w:cs="Times New Roman" w:eastAsia="Times New Roman" w:hAnsi="Times New Roman"/>
                <w:sz w:val="15"/>
                <w:szCs w:val="15"/>
                <w:color w:val="auto"/>
              </w:rPr>
              <w:t>Non-interest expense -</w:t>
            </w:r>
          </w:p>
        </w:tc>
        <w:tc>
          <w:tcPr>
            <w:tcW w:w="200" w:type="dxa"/>
            <w:vAlign w:val="bottom"/>
          </w:tcPr>
          <w:p>
            <w:pPr>
              <w:spacing w:after="0"/>
              <w:rPr>
                <w:sz w:val="13"/>
                <w:szCs w:val="13"/>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agreement</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4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2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500" w:type="dxa"/>
            <w:vAlign w:val="bottom"/>
          </w:tcPr>
          <w:p>
            <w:pPr>
              <w:spacing w:after="0"/>
              <w:rPr>
                <w:sz w:val="15"/>
                <w:szCs w:val="15"/>
                <w:color w:val="auto"/>
              </w:rPr>
            </w:pPr>
          </w:p>
        </w:tc>
        <w:tc>
          <w:tcPr>
            <w:tcW w:w="1760" w:type="dxa"/>
            <w:vAlign w:val="bottom"/>
            <w:gridSpan w:val="5"/>
          </w:tcPr>
          <w:p>
            <w:pPr>
              <w:jc w:val="center"/>
              <w:spacing w:after="0"/>
              <w:rPr>
                <w:sz w:val="20"/>
                <w:szCs w:val="20"/>
                <w:color w:val="auto"/>
              </w:rPr>
            </w:pPr>
            <w:r>
              <w:rPr>
                <w:rFonts w:ascii="Times New Roman" w:cs="Times New Roman" w:eastAsia="Times New Roman" w:hAnsi="Times New Roman"/>
                <w:sz w:val="15"/>
                <w:szCs w:val="15"/>
                <w:color w:val="auto"/>
              </w:rPr>
              <w:t>Gain (Loss) Recognized in</w:t>
            </w: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Loss Reclassified from</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left="463"/>
              <w:spacing w:after="0" w:line="155" w:lineRule="exact"/>
              <w:rPr>
                <w:sz w:val="20"/>
                <w:szCs w:val="20"/>
                <w:color w:val="auto"/>
              </w:rPr>
            </w:pPr>
            <w:r>
              <w:rPr>
                <w:rFonts w:ascii="Times New Roman" w:cs="Times New Roman" w:eastAsia="Times New Roman" w:hAnsi="Times New Roman"/>
                <w:sz w:val="15"/>
                <w:szCs w:val="15"/>
                <w:color w:val="auto"/>
                <w:w w:val="99"/>
              </w:rPr>
              <w:t>Other</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5"/>
                <w:szCs w:val="15"/>
                <w:color w:val="auto"/>
              </w:rPr>
              <w:t>Comprehensive Loss into</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center"/>
              <w:ind w:right="43"/>
              <w:spacing w:after="0"/>
              <w:rPr>
                <w:sz w:val="20"/>
                <w:szCs w:val="20"/>
                <w:color w:val="auto"/>
              </w:rPr>
            </w:pPr>
            <w:r>
              <w:rPr>
                <w:rFonts w:ascii="Times New Roman" w:cs="Times New Roman" w:eastAsia="Times New Roman" w:hAnsi="Times New Roman"/>
                <w:sz w:val="15"/>
                <w:szCs w:val="15"/>
                <w:color w:val="auto"/>
              </w:rPr>
              <w:t>(Effective Portion)</w:t>
            </w:r>
          </w:p>
        </w:tc>
        <w:tc>
          <w:tcPr>
            <w:tcW w:w="8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Location of Gain (Loss)</w:t>
            </w:r>
          </w:p>
        </w:tc>
        <w:tc>
          <w:tcPr>
            <w:tcW w:w="17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5"/>
                <w:szCs w:val="15"/>
                <w:color w:val="auto"/>
              </w:rPr>
              <w:t>Income (Effective Portion)</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Nine Month</w:t>
            </w:r>
          </w:p>
        </w:tc>
        <w:tc>
          <w:tcPr>
            <w:tcW w:w="80" w:type="dxa"/>
            <w:vAlign w:val="bottom"/>
          </w:tcPr>
          <w:p>
            <w:pPr>
              <w:spacing w:after="0"/>
              <w:rPr>
                <w:sz w:val="13"/>
                <w:szCs w:val="13"/>
                <w:color w:val="auto"/>
              </w:rPr>
            </w:pPr>
          </w:p>
        </w:tc>
        <w:tc>
          <w:tcPr>
            <w:tcW w:w="162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Reclassified from</w:t>
            </w:r>
          </w:p>
        </w:tc>
        <w:tc>
          <w:tcPr>
            <w:tcW w:w="120" w:type="dxa"/>
            <w:vAlign w:val="bottom"/>
          </w:tcPr>
          <w:p>
            <w:pPr>
              <w:spacing w:after="0"/>
              <w:rPr>
                <w:sz w:val="13"/>
                <w:szCs w:val="13"/>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Nine Month</w:t>
            </w: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ind w:left="160"/>
              <w:spacing w:after="0" w:line="155" w:lineRule="exact"/>
              <w:rPr>
                <w:sz w:val="20"/>
                <w:szCs w:val="20"/>
                <w:color w:val="auto"/>
              </w:rPr>
            </w:pPr>
            <w:r>
              <w:rPr>
                <w:rFonts w:ascii="Times New Roman" w:cs="Times New Roman" w:eastAsia="Times New Roman" w:hAnsi="Times New Roman"/>
                <w:sz w:val="15"/>
                <w:szCs w:val="15"/>
                <w:color w:val="auto"/>
              </w:rPr>
              <w:t>Accumulated Other</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Location of</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2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line="155" w:lineRule="exact"/>
              <w:rPr>
                <w:sz w:val="20"/>
                <w:szCs w:val="20"/>
                <w:color w:val="auto"/>
              </w:rPr>
            </w:pPr>
            <w:r>
              <w:rPr>
                <w:rFonts w:ascii="Times New Roman" w:cs="Times New Roman" w:eastAsia="Times New Roman" w:hAnsi="Times New Roman"/>
                <w:sz w:val="15"/>
                <w:szCs w:val="15"/>
                <w:color w:val="auto"/>
              </w:rPr>
              <w:t>Periods Ended</w:t>
            </w: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gridSpan w:val="2"/>
            <w:vMerge w:val="restart"/>
          </w:tcPr>
          <w:p>
            <w:pPr>
              <w:jc w:val="center"/>
              <w:ind w:right="80"/>
              <w:spacing w:after="0" w:line="155" w:lineRule="exact"/>
              <w:rPr>
                <w:sz w:val="20"/>
                <w:szCs w:val="20"/>
                <w:color w:val="auto"/>
              </w:rPr>
            </w:pPr>
            <w:r>
              <w:rPr>
                <w:rFonts w:ascii="Times New Roman" w:cs="Times New Roman" w:eastAsia="Times New Roman" w:hAnsi="Times New Roman"/>
                <w:sz w:val="15"/>
                <w:szCs w:val="15"/>
                <w:color w:val="auto"/>
              </w:rPr>
              <w:t>Comprehensive Loss</w:t>
            </w:r>
          </w:p>
        </w:tc>
        <w:tc>
          <w:tcPr>
            <w:tcW w:w="12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Gain (Loss)</w:t>
            </w:r>
          </w:p>
        </w:tc>
        <w:tc>
          <w:tcPr>
            <w:tcW w:w="0" w:type="dxa"/>
            <w:vAlign w:val="bottom"/>
          </w:tcPr>
          <w:p>
            <w:pPr>
              <w:spacing w:after="0"/>
              <w:rPr>
                <w:sz w:val="1"/>
                <w:szCs w:val="1"/>
                <w:color w:val="auto"/>
              </w:rPr>
            </w:pPr>
          </w:p>
        </w:tc>
      </w:tr>
      <w:tr>
        <w:trPr>
          <w:trHeight w:val="103"/>
        </w:trPr>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vMerge w:val="restart"/>
          </w:tcPr>
          <w:p>
            <w:pPr>
              <w:jc w:val="center"/>
              <w:ind w:right="2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620" w:type="dxa"/>
            <w:vAlign w:val="bottom"/>
            <w:gridSpan w:val="4"/>
            <w:vMerge w:val="restart"/>
          </w:tcPr>
          <w:p>
            <w:pPr>
              <w:jc w:val="center"/>
              <w:ind w:right="43"/>
              <w:spacing w:after="0"/>
              <w:rPr>
                <w:sz w:val="20"/>
                <w:szCs w:val="20"/>
                <w:color w:val="auto"/>
              </w:rPr>
            </w:pPr>
            <w:r>
              <w:rPr>
                <w:rFonts w:ascii="Times New Roman" w:cs="Times New Roman" w:eastAsia="Times New Roman" w:hAnsi="Times New Roman"/>
                <w:sz w:val="15"/>
                <w:szCs w:val="15"/>
                <w:color w:val="auto"/>
              </w:rPr>
              <w:t>September 30,</w:t>
            </w: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gridSpan w:val="2"/>
            <w:vMerge w:val="restart"/>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into Income (Effective</w:t>
            </w:r>
          </w:p>
        </w:tc>
        <w:tc>
          <w:tcPr>
            <w:tcW w:w="1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vMerge w:val="restart"/>
          </w:tcPr>
          <w:p>
            <w:pPr>
              <w:jc w:val="center"/>
              <w:spacing w:after="0" w:line="155" w:lineRule="exact"/>
              <w:rPr>
                <w:sz w:val="20"/>
                <w:szCs w:val="20"/>
                <w:color w:val="auto"/>
              </w:rPr>
            </w:pPr>
            <w:r>
              <w:rPr>
                <w:rFonts w:ascii="Times New Roman" w:cs="Times New Roman" w:eastAsia="Times New Roman" w:hAnsi="Times New Roman"/>
                <w:sz w:val="15"/>
                <w:szCs w:val="15"/>
                <w:color w:val="auto"/>
              </w:rPr>
              <w:t>Recognized</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vMerge w:val="restart"/>
          </w:tcPr>
          <w:p>
            <w:pPr>
              <w:jc w:val="right"/>
              <w:ind w:right="203"/>
              <w:spacing w:after="0"/>
              <w:rPr>
                <w:sz w:val="20"/>
                <w:szCs w:val="20"/>
                <w:color w:val="auto"/>
              </w:rPr>
            </w:pPr>
            <w:r>
              <w:rPr>
                <w:rFonts w:ascii="Times New Roman" w:cs="Times New Roman" w:eastAsia="Times New Roman" w:hAnsi="Times New Roman"/>
                <w:sz w:val="15"/>
                <w:szCs w:val="15"/>
                <w:color w:val="auto"/>
              </w:rPr>
              <w:t>2024</w:t>
            </w: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restart"/>
          </w:tcPr>
          <w:p>
            <w:pPr>
              <w:jc w:val="right"/>
              <w:ind w:right="183"/>
              <w:spacing w:after="0"/>
              <w:rPr>
                <w:sz w:val="20"/>
                <w:szCs w:val="20"/>
                <w:color w:val="auto"/>
              </w:rPr>
            </w:pPr>
            <w:r>
              <w:rPr>
                <w:rFonts w:ascii="Times New Roman" w:cs="Times New Roman" w:eastAsia="Times New Roman" w:hAnsi="Times New Roman"/>
                <w:sz w:val="15"/>
                <w:szCs w:val="15"/>
                <w:color w:val="auto"/>
              </w:rPr>
              <w:t>2023</w:t>
            </w:r>
          </w:p>
        </w:tc>
        <w:tc>
          <w:tcPr>
            <w:tcW w:w="80" w:type="dxa"/>
            <w:vAlign w:val="bottom"/>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Portion)</w:t>
            </w: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 Income</w:t>
            </w:r>
          </w:p>
        </w:tc>
        <w:tc>
          <w:tcPr>
            <w:tcW w:w="0" w:type="dxa"/>
            <w:vAlign w:val="bottom"/>
          </w:tcPr>
          <w:p>
            <w:pPr>
              <w:spacing w:after="0"/>
              <w:rPr>
                <w:sz w:val="1"/>
                <w:szCs w:val="1"/>
                <w:color w:val="auto"/>
              </w:rPr>
            </w:pPr>
          </w:p>
        </w:tc>
      </w:tr>
      <w:tr>
        <w:trPr>
          <w:trHeight w:val="405"/>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Fair Value Hedges</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155"/>
        </w:trPr>
        <w:tc>
          <w:tcPr>
            <w:tcW w:w="250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agreements - securities available</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 tax</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for sale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 exempt</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Installment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Mortgage</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on securities</w:t>
            </w:r>
          </w:p>
        </w:tc>
        <w:tc>
          <w:tcPr>
            <w:tcW w:w="0" w:type="dxa"/>
            <w:vAlign w:val="bottom"/>
          </w:tcPr>
          <w:p>
            <w:pPr>
              <w:spacing w:after="0"/>
              <w:rPr>
                <w:sz w:val="1"/>
                <w:szCs w:val="1"/>
                <w:color w:val="auto"/>
              </w:rPr>
            </w:pPr>
          </w:p>
        </w:tc>
      </w:tr>
      <w:tr>
        <w:trPr>
          <w:trHeight w:val="155"/>
        </w:trPr>
        <w:tc>
          <w:tcPr>
            <w:tcW w:w="2500" w:type="dxa"/>
            <w:vAlign w:val="bottom"/>
          </w:tcPr>
          <w:p>
            <w:pPr>
              <w:ind w:left="300"/>
              <w:spacing w:after="0" w:line="155" w:lineRule="exact"/>
              <w:rPr>
                <w:sz w:val="20"/>
                <w:szCs w:val="20"/>
                <w:color w:val="auto"/>
              </w:rPr>
            </w:pPr>
            <w:r>
              <w:rPr>
                <w:rFonts w:ascii="Times New Roman" w:cs="Times New Roman" w:eastAsia="Times New Roman" w:hAnsi="Times New Roman"/>
                <w:sz w:val="15"/>
                <w:szCs w:val="15"/>
                <w:color w:val="auto"/>
              </w:rPr>
              <w:t>securities available for sale</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80" w:type="dxa"/>
            <w:vAlign w:val="bottom"/>
          </w:tcPr>
          <w:p>
            <w:pPr>
              <w:spacing w:after="0"/>
              <w:rPr>
                <w:sz w:val="13"/>
                <w:szCs w:val="13"/>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80" w:type="dxa"/>
            <w:vAlign w:val="bottom"/>
          </w:tcPr>
          <w:p>
            <w:pPr>
              <w:spacing w:after="0"/>
              <w:rPr>
                <w:sz w:val="13"/>
                <w:szCs w:val="13"/>
                <w:color w:val="auto"/>
              </w:rPr>
            </w:pPr>
          </w:p>
        </w:tc>
        <w:tc>
          <w:tcPr>
            <w:tcW w:w="162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6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Pr>
          <w:p>
            <w:pPr>
              <w:spacing w:after="0"/>
              <w:rPr>
                <w:sz w:val="13"/>
                <w:szCs w:val="13"/>
                <w:color w:val="auto"/>
              </w:rPr>
            </w:pPr>
          </w:p>
        </w:tc>
        <w:tc>
          <w:tcPr>
            <w:tcW w:w="1580" w:type="dxa"/>
            <w:vAlign w:val="bottom"/>
          </w:tcPr>
          <w:p>
            <w:pPr>
              <w:ind w:left="180"/>
              <w:spacing w:after="0" w:line="155" w:lineRule="exact"/>
              <w:rPr>
                <w:sz w:val="20"/>
                <w:szCs w:val="20"/>
                <w:color w:val="auto"/>
              </w:rPr>
            </w:pPr>
            <w:r>
              <w:rPr>
                <w:rFonts w:ascii="Times New Roman" w:cs="Times New Roman" w:eastAsia="Times New Roman" w:hAnsi="Times New Roman"/>
                <w:sz w:val="15"/>
                <w:szCs w:val="15"/>
                <w:color w:val="auto"/>
              </w:rPr>
              <w:t>available for sale - tax</w:t>
            </w:r>
          </w:p>
        </w:tc>
        <w:tc>
          <w:tcPr>
            <w:tcW w:w="0" w:type="dxa"/>
            <w:vAlign w:val="bottom"/>
          </w:tcPr>
          <w:p>
            <w:pPr>
              <w:spacing w:after="0"/>
              <w:rPr>
                <w:sz w:val="1"/>
                <w:szCs w:val="1"/>
                <w:color w:val="auto"/>
              </w:rPr>
            </w:pPr>
          </w:p>
        </w:tc>
      </w:tr>
      <w:tr>
        <w:trPr>
          <w:trHeight w:val="200"/>
        </w:trPr>
        <w:tc>
          <w:tcPr>
            <w:tcW w:w="25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tax - exempt</w:t>
            </w:r>
          </w:p>
        </w:tc>
        <w:tc>
          <w:tcPr>
            <w:tcW w:w="1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 exempt</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cap agreements -</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tcPr>
          <w:p>
            <w:pPr>
              <w:spacing w:after="0"/>
              <w:rPr>
                <w:sz w:val="14"/>
                <w:szCs w:val="14"/>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installment</w:t>
            </w: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99"/>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w:t>
            </w:r>
          </w:p>
        </w:tc>
        <w:tc>
          <w:tcPr>
            <w:tcW w:w="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w:t>
            </w: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Cash Flow Hedges</w:t>
            </w: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Interest rate floor agreements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80" w:type="dxa"/>
            <w:vAlign w:val="bottom"/>
          </w:tcPr>
          <w:p>
            <w:pPr>
              <w:spacing w:after="0"/>
              <w:rPr>
                <w:sz w:val="14"/>
                <w:szCs w:val="14"/>
                <w:color w:val="auto"/>
              </w:rPr>
            </w:pPr>
          </w:p>
        </w:tc>
        <w:tc>
          <w:tcPr>
            <w:tcW w:w="20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80" w:type="dxa"/>
            <w:vAlign w:val="bottom"/>
          </w:tcPr>
          <w:p>
            <w:pPr>
              <w:spacing w:after="0"/>
              <w:rPr>
                <w:sz w:val="14"/>
                <w:szCs w:val="14"/>
                <w:color w:val="auto"/>
              </w:rPr>
            </w:pPr>
          </w:p>
        </w:tc>
        <w:tc>
          <w:tcPr>
            <w:tcW w:w="162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60" w:type="dxa"/>
            <w:vAlign w:val="bottom"/>
          </w:tcPr>
          <w:p>
            <w:pPr>
              <w:spacing w:after="0"/>
              <w:rPr>
                <w:sz w:val="14"/>
                <w:szCs w:val="14"/>
                <w:color w:val="auto"/>
              </w:rPr>
            </w:pP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Interest and fees on</w:t>
            </w:r>
          </w:p>
        </w:tc>
        <w:tc>
          <w:tcPr>
            <w:tcW w:w="0" w:type="dxa"/>
            <w:vAlign w:val="bottom"/>
          </w:tcPr>
          <w:p>
            <w:pPr>
              <w:spacing w:after="0"/>
              <w:rPr>
                <w:sz w:val="1"/>
                <w:szCs w:val="1"/>
                <w:color w:val="auto"/>
              </w:rPr>
            </w:pPr>
          </w:p>
        </w:tc>
      </w:tr>
      <w:tr>
        <w:trPr>
          <w:trHeight w:val="185"/>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commercial</w:t>
            </w:r>
          </w:p>
        </w:tc>
        <w:tc>
          <w:tcPr>
            <w:tcW w:w="1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1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No hedge designation</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Rate-lock mortgage loan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commitments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Mandatory commitments to sell</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Net gains on mortgage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mortgage loans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loans</w:t>
            </w: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Pay-fixed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agreements - commercial</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500" w:type="dxa"/>
            <w:vAlign w:val="bottom"/>
          </w:tcPr>
          <w:p>
            <w:pPr>
              <w:ind w:left="160"/>
              <w:spacing w:after="0" w:line="161" w:lineRule="exact"/>
              <w:rPr>
                <w:sz w:val="20"/>
                <w:szCs w:val="20"/>
                <w:color w:val="auto"/>
              </w:rPr>
            </w:pPr>
            <w:r>
              <w:rPr>
                <w:rFonts w:ascii="Times New Roman" w:cs="Times New Roman" w:eastAsia="Times New Roman" w:hAnsi="Times New Roman"/>
                <w:sz w:val="15"/>
                <w:szCs w:val="15"/>
                <w:color w:val="auto"/>
              </w:rPr>
              <w:t>Pay-variable interest rate swap</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ind w:left="20"/>
              <w:spacing w:after="0" w:line="161" w:lineRule="exact"/>
              <w:rPr>
                <w:sz w:val="20"/>
                <w:szCs w:val="20"/>
                <w:color w:val="auto"/>
              </w:rPr>
            </w:pPr>
            <w:r>
              <w:rPr>
                <w:rFonts w:ascii="Times New Roman" w:cs="Times New Roman" w:eastAsia="Times New Roman" w:hAnsi="Times New Roman"/>
                <w:sz w:val="15"/>
                <w:szCs w:val="15"/>
                <w:color w:val="auto"/>
              </w:rPr>
              <w:t>Non-interest expense -</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agreement</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other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-3818890</wp:posOffset>
            </wp:positionV>
            <wp:extent cx="7138670" cy="1308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-3458845</wp:posOffset>
            </wp:positionV>
            <wp:extent cx="7138670" cy="3276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3276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-2901950</wp:posOffset>
            </wp:positionV>
            <wp:extent cx="7138670" cy="229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-2345055</wp:posOffset>
            </wp:positionV>
            <wp:extent cx="7138670" cy="229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-1960245</wp:posOffset>
            </wp:positionV>
            <wp:extent cx="7138670" cy="163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-1665605</wp:posOffset>
            </wp:positionV>
            <wp:extent cx="7138670" cy="229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-1273175</wp:posOffset>
            </wp:positionV>
            <wp:extent cx="7138670" cy="130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-912495</wp:posOffset>
            </wp:positionV>
            <wp:extent cx="7138670" cy="229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-454025</wp:posOffset>
            </wp:positionV>
            <wp:extent cx="7138670" cy="229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2292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3810</wp:posOffset>
            </wp:positionV>
            <wp:extent cx="7138670" cy="155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5"/>
          <w:szCs w:val="15"/>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Gain (Loss)</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Recognized</w:t>
      </w:r>
    </w:p>
    <w:p>
      <w:pPr>
        <w:jc w:val="center"/>
        <w:ind w:right="-19"/>
        <w:spacing w:after="0"/>
        <w:rPr>
          <w:sz w:val="20"/>
          <w:szCs w:val="20"/>
          <w:color w:val="auto"/>
        </w:rPr>
      </w:pPr>
      <w:r>
        <w:rPr>
          <w:rFonts w:ascii="Times New Roman" w:cs="Times New Roman" w:eastAsia="Times New Roman" w:hAnsi="Times New Roman"/>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Nine Month</w:t>
      </w:r>
    </w:p>
    <w:p>
      <w:pPr>
        <w:jc w:val="center"/>
        <w:ind w:right="-19"/>
        <w:spacing w:after="0" w:line="215" w:lineRule="auto"/>
        <w:rPr>
          <w:sz w:val="20"/>
          <w:szCs w:val="20"/>
          <w:color w:val="auto"/>
        </w:rPr>
      </w:pPr>
      <w:r>
        <w:rPr>
          <w:rFonts w:ascii="Times New Roman" w:cs="Times New Roman" w:eastAsia="Times New Roman" w:hAnsi="Times New Roman"/>
          <w:sz w:val="15"/>
          <w:szCs w:val="15"/>
          <w:color w:val="auto"/>
        </w:rPr>
        <w:t>Periods Ended</w:t>
      </w:r>
    </w:p>
    <w:p>
      <w:pPr>
        <w:jc w:val="center"/>
        <w:ind w:right="-19"/>
        <w:spacing w:after="0"/>
        <w:rPr>
          <w:sz w:val="20"/>
          <w:szCs w:val="20"/>
          <w:color w:val="auto"/>
        </w:rPr>
      </w:pPr>
      <w:r>
        <w:rPr>
          <w:rFonts w:ascii="Times New Roman" w:cs="Times New Roman" w:eastAsia="Times New Roman" w:hAnsi="Times New Roman"/>
          <w:sz w:val="15"/>
          <w:szCs w:val="15"/>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11296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1180" w:val="left"/>
        </w:tabs>
        <w:rPr>
          <w:sz w:val="20"/>
          <w:szCs w:val="20"/>
          <w:color w:val="auto"/>
        </w:rPr>
      </w:pPr>
      <w:r>
        <w:rPr>
          <w:rFonts w:ascii="Times New Roman" w:cs="Times New Roman" w:eastAsia="Times New Roman" w:hAnsi="Times New Roman"/>
          <w:sz w:val="15"/>
          <w:szCs w:val="15"/>
          <w:color w:val="auto"/>
        </w:rPr>
        <w:t>2024</w:t>
      </w:r>
      <w:r>
        <w:rPr>
          <w:sz w:val="20"/>
          <w:szCs w:val="20"/>
          <w:color w:val="auto"/>
        </w:rPr>
        <w:tab/>
      </w:r>
      <w:r>
        <w:rPr>
          <w:rFonts w:ascii="Times New Roman" w:cs="Times New Roman" w:eastAsia="Times New Roman" w:hAnsi="Times New Roman"/>
          <w:sz w:val="15"/>
          <w:szCs w:val="15"/>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1129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(In thousands)</w:t>
      </w:r>
    </w:p>
    <w:p>
      <w:pPr>
        <w:spacing w:after="0" w:line="395" w:lineRule="exact"/>
        <w:rPr>
          <w:sz w:val="20"/>
          <w:szCs w:val="20"/>
          <w:color w:val="auto"/>
        </w:rPr>
      </w:pPr>
    </w:p>
    <w:p>
      <w:pPr>
        <w:ind w:left="20"/>
        <w:spacing w:after="0"/>
        <w:tabs>
          <w:tab w:leader="none" w:pos="480" w:val="left"/>
          <w:tab w:leader="none" w:pos="148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(110)  $</w:t>
      </w:r>
      <w:r>
        <w:rPr>
          <w:sz w:val="20"/>
          <w:szCs w:val="20"/>
          <w:color w:val="auto"/>
        </w:rPr>
        <w:tab/>
      </w:r>
      <w:r>
        <w:rPr>
          <w:rFonts w:ascii="Times New Roman" w:cs="Times New Roman" w:eastAsia="Times New Roman" w:hAnsi="Times New Roman"/>
          <w:sz w:val="14"/>
          <w:szCs w:val="14"/>
          <w:color w:val="auto"/>
        </w:rPr>
        <w:t>113</w:t>
      </w:r>
    </w:p>
    <w:p>
      <w:pPr>
        <w:spacing w:after="0" w:line="343" w:lineRule="exact"/>
        <w:rPr>
          <w:sz w:val="20"/>
          <w:szCs w:val="20"/>
          <w:color w:val="auto"/>
        </w:rPr>
      </w:pPr>
    </w:p>
    <w:p>
      <w:pPr>
        <w:ind w:left="380"/>
        <w:spacing w:after="0"/>
        <w:tabs>
          <w:tab w:leader="none" w:pos="1460" w:val="left"/>
        </w:tabs>
        <w:rPr>
          <w:sz w:val="20"/>
          <w:szCs w:val="20"/>
          <w:color w:val="auto"/>
        </w:rPr>
      </w:pPr>
      <w:r>
        <w:rPr>
          <w:rFonts w:ascii="Times New Roman" w:cs="Times New Roman" w:eastAsia="Times New Roman" w:hAnsi="Times New Roman"/>
          <w:sz w:val="15"/>
          <w:szCs w:val="15"/>
          <w:color w:val="auto"/>
        </w:rPr>
        <w:t>(4,028)</w:t>
      </w:r>
      <w:r>
        <w:rPr>
          <w:sz w:val="20"/>
          <w:szCs w:val="20"/>
          <w:color w:val="auto"/>
        </w:rPr>
        <w:tab/>
      </w:r>
      <w:r>
        <w:rPr>
          <w:rFonts w:ascii="Times New Roman" w:cs="Times New Roman" w:eastAsia="Times New Roman" w:hAnsi="Times New Roman"/>
          <w:sz w:val="15"/>
          <w:szCs w:val="15"/>
          <w:color w:val="auto"/>
        </w:rPr>
        <w:t>550</w:t>
      </w:r>
    </w:p>
    <w:p>
      <w:pPr>
        <w:spacing w:after="0" w:line="188" w:lineRule="exact"/>
        <w:rPr>
          <w:sz w:val="20"/>
          <w:szCs w:val="20"/>
          <w:color w:val="auto"/>
        </w:rPr>
      </w:pPr>
    </w:p>
    <w:p>
      <w:pPr>
        <w:ind w:left="1380" w:hanging="884"/>
        <w:spacing w:after="0"/>
        <w:tabs>
          <w:tab w:leader="none" w:pos="138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1,362</w:t>
      </w:r>
    </w:p>
    <w:p>
      <w:pPr>
        <w:spacing w:after="0" w:line="188" w:lineRule="exact"/>
        <w:rPr>
          <w:sz w:val="20"/>
          <w:szCs w:val="20"/>
          <w:color w:val="auto"/>
        </w:rPr>
      </w:pPr>
    </w:p>
    <w:p>
      <w:pPr>
        <w:ind w:left="1480" w:hanging="984"/>
        <w:spacing w:after="0"/>
        <w:tabs>
          <w:tab w:leader="none" w:pos="148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785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w:t>
            </w:r>
          </w:p>
        </w:tc>
      </w:tr>
      <w:tr>
        <w:trPr>
          <w:trHeight w:val="364"/>
        </w:trPr>
        <w:tc>
          <w:tcPr>
            <w:tcW w:w="240" w:type="dxa"/>
            <w:vAlign w:val="bottom"/>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9"/>
        </w:trPr>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(5,380)</w:t>
            </w:r>
          </w:p>
        </w:tc>
        <w:tc>
          <w:tcPr>
            <w:tcW w:w="8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3,082</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764"/>
        </w:trPr>
        <w:tc>
          <w:tcPr>
            <w:tcW w:w="2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(838)</w:t>
            </w:r>
          </w:p>
        </w:tc>
        <w:tc>
          <w:tcPr>
            <w:tcW w:w="80" w:type="dxa"/>
            <w:vAlign w:val="bottom"/>
          </w:tcPr>
          <w:p>
            <w:pPr>
              <w:spacing w:after="0"/>
              <w:rPr>
                <w:sz w:val="24"/>
                <w:szCs w:val="24"/>
                <w:color w:val="auto"/>
              </w:rPr>
            </w:pP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787"/>
        </w:trPr>
        <w:tc>
          <w:tcPr>
            <w:tcW w:w="24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80</w:t>
            </w:r>
          </w:p>
        </w:tc>
        <w:tc>
          <w:tcPr>
            <w:tcW w:w="8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w:t>
            </w:r>
          </w:p>
        </w:tc>
      </w:tr>
    </w:tbl>
    <w:p>
      <w:pPr>
        <w:spacing w:after="0" w:line="161" w:lineRule="exact"/>
        <w:rPr>
          <w:sz w:val="20"/>
          <w:szCs w:val="20"/>
          <w:color w:val="auto"/>
        </w:rPr>
      </w:pPr>
    </w:p>
    <w:p>
      <w:pPr>
        <w:ind w:left="1480" w:hanging="920"/>
        <w:spacing w:after="0"/>
        <w:tabs>
          <w:tab w:leader="none" w:pos="148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169</w:t>
      </w:r>
    </w:p>
    <w:p>
      <w:pPr>
        <w:spacing w:after="0" w:line="188" w:lineRule="exact"/>
        <w:rPr>
          <w:rFonts w:ascii="Times New Roman" w:cs="Times New Roman" w:eastAsia="Times New Roman" w:hAnsi="Times New Roman"/>
          <w:sz w:val="15"/>
          <w:szCs w:val="15"/>
          <w:color w:val="auto"/>
        </w:rPr>
      </w:pPr>
    </w:p>
    <w:p>
      <w:pPr>
        <w:ind w:left="3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(8,482)4,694</w:t>
      </w:r>
    </w:p>
    <w:p>
      <w:pPr>
        <w:spacing w:after="0" w:line="188" w:lineRule="exact"/>
        <w:rPr>
          <w:sz w:val="20"/>
          <w:szCs w:val="20"/>
          <w:color w:val="auto"/>
        </w:rPr>
      </w:pPr>
    </w:p>
    <w:p>
      <w:pPr>
        <w:ind w:left="440"/>
        <w:spacing w:after="0"/>
        <w:tabs>
          <w:tab w:leader="none" w:pos="1280" w:val="left"/>
        </w:tabs>
        <w:rPr>
          <w:sz w:val="20"/>
          <w:szCs w:val="20"/>
          <w:color w:val="auto"/>
        </w:rPr>
      </w:pPr>
      <w:r>
        <w:rPr>
          <w:rFonts w:ascii="Times New Roman" w:cs="Times New Roman" w:eastAsia="Times New Roman" w:hAnsi="Times New Roman"/>
          <w:sz w:val="15"/>
          <w:szCs w:val="15"/>
          <w:color w:val="auto"/>
        </w:rPr>
        <w:t>8,482</w:t>
      </w:r>
      <w:r>
        <w:rPr>
          <w:sz w:val="20"/>
          <w:szCs w:val="20"/>
          <w:color w:val="auto"/>
        </w:rPr>
        <w:tab/>
      </w:r>
      <w:r>
        <w:rPr>
          <w:rFonts w:ascii="Times New Roman" w:cs="Times New Roman" w:eastAsia="Times New Roman" w:hAnsi="Times New Roman"/>
          <w:sz w:val="15"/>
          <w:szCs w:val="15"/>
          <w:color w:val="auto"/>
        </w:rPr>
        <w:t>(4,694)</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5"/>
          <w:szCs w:val="15"/>
          <w:color w:val="auto"/>
        </w:rPr>
        <w:t>—(12)</w:t>
      </w:r>
    </w:p>
    <w:p>
      <w:pPr>
        <w:spacing w:after="0" w:line="47" w:lineRule="exact"/>
        <w:rPr>
          <w:sz w:val="20"/>
          <w:szCs w:val="20"/>
          <w:color w:val="auto"/>
        </w:rPr>
      </w:pPr>
    </w:p>
    <w:p>
      <w:pPr>
        <w:ind w:left="20"/>
        <w:spacing w:after="0"/>
        <w:tabs>
          <w:tab w:leader="none" w:pos="540" w:val="left"/>
          <w:tab w:leader="none" w:pos="940" w:val="left"/>
          <w:tab w:leader="none" w:pos="13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384</w:t>
        <w:tab/>
        <w:t>$</w:t>
      </w:r>
      <w:r>
        <w:rPr>
          <w:sz w:val="20"/>
          <w:szCs w:val="20"/>
          <w:color w:val="auto"/>
        </w:rPr>
        <w:tab/>
      </w:r>
      <w:r>
        <w:rPr>
          <w:rFonts w:ascii="Times New Roman" w:cs="Times New Roman" w:eastAsia="Times New Roman" w:hAnsi="Times New Roman"/>
          <w:sz w:val="15"/>
          <w:szCs w:val="15"/>
          <w:color w:val="auto"/>
        </w:rPr>
        <w:t>1,073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45720</wp:posOffset>
            </wp:positionV>
            <wp:extent cx="1129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80" w:space="80"/>
            <w:col w:w="178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7.  Goodwill and Other Intangibles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September 30, 2024</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754"/>
              <w:spacing w:after="0"/>
              <w:rPr>
                <w:sz w:val="20"/>
                <w:szCs w:val="20"/>
                <w:color w:val="auto"/>
              </w:rPr>
            </w:pPr>
            <w:r>
              <w:rPr>
                <w:rFonts w:ascii="Times New Roman" w:cs="Times New Roman" w:eastAsia="Times New Roman" w:hAnsi="Times New Roman"/>
                <w:sz w:val="17"/>
                <w:szCs w:val="17"/>
                <w:color w:val="auto"/>
              </w:rPr>
              <w:t>December 31, 2023</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9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w:t>
            </w:r>
          </w:p>
        </w:tc>
        <w:tc>
          <w:tcPr>
            <w:tcW w:w="280" w:type="dxa"/>
            <w:vAlign w:val="bottom"/>
          </w:tcPr>
          <w:p>
            <w:pPr>
              <w:spacing w:after="0"/>
              <w:rPr>
                <w:sz w:val="13"/>
                <w:szCs w:val="13"/>
                <w:color w:val="auto"/>
              </w:rPr>
            </w:pPr>
          </w:p>
        </w:tc>
        <w:tc>
          <w:tcPr>
            <w:tcW w:w="1220" w:type="dxa"/>
            <w:vAlign w:val="bottom"/>
          </w:tcPr>
          <w:p>
            <w:pPr>
              <w:jc w:val="center"/>
              <w:ind w:right="174"/>
              <w:spacing w:after="0" w:line="161" w:lineRule="exact"/>
              <w:rPr>
                <w:sz w:val="20"/>
                <w:szCs w:val="20"/>
                <w:color w:val="auto"/>
              </w:rPr>
            </w:pPr>
            <w:r>
              <w:rPr>
                <w:rFonts w:ascii="Times New Roman" w:cs="Times New Roman" w:eastAsia="Times New Roman" w:hAnsi="Times New Roman"/>
                <w:sz w:val="17"/>
                <w:szCs w:val="17"/>
                <w:color w:val="auto"/>
              </w:rPr>
              <w:t>Gross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vMerge w:val="restart"/>
          </w:tcPr>
          <w:p>
            <w:pPr>
              <w:jc w:val="center"/>
              <w:ind w:right="94"/>
              <w:spacing w:after="0"/>
              <w:rPr>
                <w:sz w:val="20"/>
                <w:szCs w:val="20"/>
                <w:color w:val="auto"/>
              </w:rPr>
            </w:pPr>
            <w:r>
              <w:rPr>
                <w:rFonts w:ascii="Times New Roman" w:cs="Times New Roman" w:eastAsia="Times New Roman" w:hAnsi="Times New Roman"/>
                <w:sz w:val="17"/>
                <w:szCs w:val="17"/>
                <w:color w:val="auto"/>
              </w:rPr>
              <w:t>Accumulated</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Carrying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Amount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Amortization</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Amortized intangible assets - core deposits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28,300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65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 summary of estimated core deposits intangible amortization at September 30, 2024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57"/>
        </w:trPr>
        <w:tc>
          <w:tcPr>
            <w:tcW w:w="504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1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21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2"/>
        </w:trPr>
        <w:tc>
          <w:tcPr>
            <w:tcW w:w="504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 Based Compensation</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0.4 million shares of common stock as of September 30, 2024. The non-employee director stock purchase plan permits the issuance of additional share based payments for up to 0.1 million shares of common stock as of September 30, 2024. Share based awards and payments are measured at fair value at the date of grant and are expensed over the requisite service period. Common shares issued upon exercise of stock options come from currently authorized but unissued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restricted stock and performance stock units (“PSU”) granted pursuant to our long-term incentive plan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80" w:type="dxa"/>
            <w:vAlign w:val="bottom"/>
            <w:gridSpan w:val="4"/>
          </w:tcPr>
          <w:p>
            <w:pPr>
              <w:jc w:val="center"/>
              <w:ind w:left="294"/>
              <w:spacing w:after="0"/>
              <w:rPr>
                <w:sz w:val="20"/>
                <w:szCs w:val="20"/>
                <w:color w:val="auto"/>
              </w:rPr>
            </w:pPr>
            <w:r>
              <w:rPr>
                <w:rFonts w:ascii="Times New Roman" w:cs="Times New Roman" w:eastAsia="Times New Roman" w:hAnsi="Times New Roman"/>
                <w:sz w:val="17"/>
                <w:szCs w:val="17"/>
                <w:color w:val="auto"/>
              </w:rPr>
              <w:t>Three Months Ended</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right="600"/>
              <w:spacing w:after="0"/>
              <w:rPr>
                <w:sz w:val="20"/>
                <w:szCs w:val="20"/>
                <w:color w:val="auto"/>
              </w:rPr>
            </w:pPr>
            <w:r>
              <w:rPr>
                <w:rFonts w:ascii="Times New Roman" w:cs="Times New Roman" w:eastAsia="Times New Roman" w:hAnsi="Times New Roman"/>
                <w:sz w:val="17"/>
                <w:szCs w:val="17"/>
                <w:color w:val="auto"/>
                <w:w w:val="99"/>
              </w:rPr>
              <w:t>September 30,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gridSpan w:val="3"/>
          </w:tcPr>
          <w:p>
            <w:pPr>
              <w:jc w:val="center"/>
              <w:ind w:left="894"/>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Borders>
              <w:bottom w:val="single" w:sz="8" w:color="auto"/>
            </w:tcBorders>
          </w:tcPr>
          <w:p>
            <w:pPr>
              <w:spacing w:after="0"/>
              <w:rPr>
                <w:sz w:val="19"/>
                <w:szCs w:val="19"/>
                <w:color w:val="auto"/>
              </w:rPr>
            </w:pPr>
          </w:p>
        </w:tc>
      </w:tr>
      <w:tr>
        <w:trPr>
          <w:trHeight w:val="212"/>
        </w:trPr>
        <w:tc>
          <w:tcPr>
            <w:tcW w:w="50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81,355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84,846</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1"/>
        </w:trPr>
        <w:tc>
          <w:tcPr>
            <w:tcW w:w="602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PSU</w:t>
            </w:r>
          </w:p>
        </w:tc>
        <w:tc>
          <w:tcPr>
            <w:tcW w:w="500" w:type="dxa"/>
            <w:vAlign w:val="bottom"/>
          </w:tcPr>
          <w:p>
            <w:pPr>
              <w:ind w:left="32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6"/>
                <w:szCs w:val="16"/>
                <w:color w:val="auto"/>
              </w:rPr>
            </w:pPr>
          </w:p>
        </w:tc>
        <w:tc>
          <w:tcPr>
            <w:tcW w:w="15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18,790</w:t>
            </w:r>
          </w:p>
        </w:tc>
      </w:tr>
      <w:tr>
        <w:trPr>
          <w:trHeight w:val="20"/>
        </w:trPr>
        <w:tc>
          <w:tcPr>
            <w:tcW w:w="50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 issued each quarter and vest immediately. Shares issued on a deferred basis are credited at the rate of 90% of the current</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fair value of our common stock and vest immediately. During the nine month periods ended September 30, 2024 and 2023 we issued 0.007 million and 0.014 million shares, respectively and expensed their value during those same periods.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Total compensation expense recognized for grants pursuant to our long-term incentive plan was $0.5 million and $1.6 million during the three and nine month periods ended September 30, 2024, respectively, and was $0.5 million and $1.4 million during the same periods in 2023, respectively. The corresponding tax benefit relating to this expense was $0.1 million and $0.3 million for the three and nine month periods ended September 30, 2024, respectively and $0.1 million and $0.3 million for the same periods in 2023. Total expense recognized for non-employee director share based payments was $0.06 million and $0.18 million during the three and nine month periods ended September 30, 2024, respectively, and was $0.09 million and $0.27 million during the same periods in 2023, respectively. The corresponding tax benefit relating to this expense was $0.01 million and $0.04 million for the three and nine month periods ended September 30, 2024, respectively and $0.02 million and $0.06 million during the same periods in 2023.</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September 30, 2024, the total expected compensation cost related to non-vested restricted stock and PSUs not yet recognized was $3.1 million. The weighted-average period over which this amount will be recognized is 1.9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outstanding stock option grants and related transactions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Weighted-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7"/>
                <w:szCs w:val="17"/>
                <w:color w:val="auto"/>
                <w:w w:val="99"/>
              </w:rPr>
              <w:t>Number of</w:t>
            </w:r>
          </w:p>
        </w:tc>
        <w:tc>
          <w:tcPr>
            <w:tcW w:w="280" w:type="dxa"/>
            <w:vAlign w:val="bottom"/>
          </w:tcPr>
          <w:p>
            <w:pPr>
              <w:spacing w:after="0"/>
              <w:rPr>
                <w:sz w:val="15"/>
                <w:szCs w:val="15"/>
                <w:color w:val="auto"/>
              </w:rPr>
            </w:pPr>
          </w:p>
        </w:tc>
        <w:tc>
          <w:tcPr>
            <w:tcW w:w="128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7"/>
                <w:szCs w:val="17"/>
                <w:color w:val="auto"/>
                <w:w w:val="97"/>
              </w:rPr>
              <w:t>Average</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7"/>
                <w:szCs w:val="17"/>
                <w:color w:val="auto"/>
                <w:w w:val="99"/>
              </w:rPr>
              <w:t>Remaining</w:t>
            </w:r>
          </w:p>
        </w:tc>
        <w:tc>
          <w:tcPr>
            <w:tcW w:w="180" w:type="dxa"/>
            <w:vAlign w:val="bottom"/>
          </w:tcPr>
          <w:p>
            <w:pPr>
              <w:spacing w:after="0"/>
              <w:rPr>
                <w:sz w:val="15"/>
                <w:szCs w:val="15"/>
                <w:color w:val="auto"/>
              </w:rPr>
            </w:pPr>
          </w:p>
        </w:tc>
        <w:tc>
          <w:tcPr>
            <w:tcW w:w="130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Aggregated</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center"/>
              <w:ind w:right="360"/>
              <w:spacing w:after="0" w:line="167" w:lineRule="exact"/>
              <w:rPr>
                <w:sz w:val="20"/>
                <w:szCs w:val="20"/>
                <w:color w:val="auto"/>
              </w:rPr>
            </w:pPr>
            <w:r>
              <w:rPr>
                <w:rFonts w:ascii="Times New Roman" w:cs="Times New Roman" w:eastAsia="Times New Roman" w:hAnsi="Times New Roman"/>
                <w:sz w:val="17"/>
                <w:szCs w:val="17"/>
                <w:color w:val="auto"/>
              </w:rPr>
              <w:t>Exercise</w:t>
            </w:r>
          </w:p>
        </w:tc>
        <w:tc>
          <w:tcPr>
            <w:tcW w:w="1580" w:type="dxa"/>
            <w:vAlign w:val="bottom"/>
            <w:gridSpan w:val="2"/>
          </w:tcPr>
          <w:p>
            <w:pPr>
              <w:jc w:val="center"/>
              <w:ind w:right="60"/>
              <w:spacing w:after="0" w:line="167" w:lineRule="exact"/>
              <w:rPr>
                <w:sz w:val="20"/>
                <w:szCs w:val="20"/>
                <w:color w:val="auto"/>
              </w:rPr>
            </w:pPr>
            <w:r>
              <w:rPr>
                <w:rFonts w:ascii="Times New Roman" w:cs="Times New Roman" w:eastAsia="Times New Roman" w:hAnsi="Times New Roman"/>
                <w:sz w:val="17"/>
                <w:szCs w:val="17"/>
                <w:color w:val="auto"/>
              </w:rPr>
              <w:t>Contractual</w:t>
            </w:r>
          </w:p>
        </w:tc>
        <w:tc>
          <w:tcPr>
            <w:tcW w:w="18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rPr>
              <w:t>Intrinsic</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Shares</w:t>
            </w:r>
          </w:p>
        </w:tc>
        <w:tc>
          <w:tcPr>
            <w:tcW w:w="28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color w:val="auto"/>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Term (Years)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Exercised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September 30, 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September 30, 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14.24</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outstanding non-vested stock and related transactions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Number</w:t>
            </w:r>
          </w:p>
        </w:tc>
        <w:tc>
          <w:tcPr>
            <w:tcW w:w="18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Shares</w:t>
            </w:r>
          </w:p>
        </w:tc>
        <w:tc>
          <w:tcPr>
            <w:tcW w:w="180" w:type="dxa"/>
            <w:vAlign w:val="bottom"/>
          </w:tcPr>
          <w:p>
            <w:pPr>
              <w:spacing w:after="0"/>
              <w:rPr>
                <w:sz w:val="19"/>
                <w:szCs w:val="19"/>
                <w:color w:val="auto"/>
              </w:rPr>
            </w:pPr>
          </w:p>
        </w:tc>
        <w:tc>
          <w:tcPr>
            <w:tcW w:w="13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w w:val="99"/>
              </w:rPr>
              <w:t>Fair Value</w:t>
            </w:r>
          </w:p>
        </w:tc>
        <w:tc>
          <w:tcPr>
            <w:tcW w:w="0" w:type="dxa"/>
            <w:vAlign w:val="bottom"/>
          </w:tcPr>
          <w:p>
            <w:pPr>
              <w:spacing w:after="0"/>
              <w:rPr>
                <w:sz w:val="1"/>
                <w:szCs w:val="1"/>
                <w:color w:val="auto"/>
              </w:rPr>
            </w:pPr>
          </w:p>
        </w:tc>
      </w:tr>
      <w:tr>
        <w:trPr>
          <w:trHeight w:val="21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269,233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0" w:type="dxa"/>
            <w:vAlign w:val="bottom"/>
          </w:tcPr>
          <w:p>
            <w:pPr>
              <w:spacing w:after="0"/>
              <w:rPr>
                <w:sz w:val="1"/>
                <w:szCs w:val="1"/>
                <w:color w:val="auto"/>
              </w:rPr>
            </w:pPr>
          </w:p>
        </w:tc>
      </w:tr>
      <w:tr>
        <w:trPr>
          <w:trHeight w:val="219"/>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w:t>
            </w:r>
          </w:p>
        </w:tc>
        <w:tc>
          <w:tcPr>
            <w:tcW w:w="0" w:type="dxa"/>
            <w:vAlign w:val="bottom"/>
          </w:tcPr>
          <w:p>
            <w:pPr>
              <w:spacing w:after="0"/>
              <w:rPr>
                <w:sz w:val="1"/>
                <w:szCs w:val="1"/>
                <w:color w:val="auto"/>
              </w:rPr>
            </w:pPr>
          </w:p>
        </w:tc>
      </w:tr>
      <w:tr>
        <w:trPr>
          <w:trHeight w:val="219"/>
        </w:trPr>
        <w:tc>
          <w:tcPr>
            <w:tcW w:w="53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Forfeited</w:t>
            </w: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September 30, 2024</w:t>
            </w: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265,846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center"/>
              <w:ind w:right="234"/>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information regarding options exercised during the periods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7"/>
                <w:szCs w:val="17"/>
                <w:color w:val="auto"/>
              </w:rPr>
            </w:pPr>
          </w:p>
        </w:tc>
        <w:tc>
          <w:tcPr>
            <w:tcW w:w="2660" w:type="dxa"/>
            <w:vAlign w:val="bottom"/>
            <w:gridSpan w:val="4"/>
          </w:tcPr>
          <w:p>
            <w:pPr>
              <w:jc w:val="center"/>
              <w:ind w:left="314"/>
              <w:spacing w:after="0"/>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2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Nine Months Ended</w:t>
            </w:r>
          </w:p>
        </w:tc>
        <w:tc>
          <w:tcPr>
            <w:tcW w:w="440" w:type="dxa"/>
            <w:vAlign w:val="bottom"/>
          </w:tcPr>
          <w:p>
            <w:pPr>
              <w:spacing w:after="0"/>
              <w:rPr>
                <w:sz w:val="17"/>
                <w:szCs w:val="17"/>
                <w:color w:val="auto"/>
              </w:rPr>
            </w:pPr>
          </w:p>
        </w:tc>
      </w:tr>
      <w:tr>
        <w:trPr>
          <w:trHeight w:val="228"/>
        </w:trPr>
        <w:tc>
          <w:tcPr>
            <w:tcW w:w="50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center"/>
              <w:ind w:right="494"/>
              <w:spacing w:after="0"/>
              <w:rPr>
                <w:sz w:val="20"/>
                <w:szCs w:val="20"/>
                <w:color w:val="auto"/>
              </w:rPr>
            </w:pPr>
            <w:r>
              <w:rPr>
                <w:rFonts w:ascii="Times New Roman" w:cs="Times New Roman" w:eastAsia="Times New Roman" w:hAnsi="Times New Roman"/>
                <w:sz w:val="17"/>
                <w:szCs w:val="17"/>
                <w:color w:val="auto"/>
                <w:w w:val="99"/>
              </w:rPr>
              <w:t>September 30,</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7"/>
                <w:szCs w:val="17"/>
                <w:color w:val="auto"/>
              </w:rPr>
              <w:t>September 30,</w:t>
            </w:r>
          </w:p>
        </w:tc>
        <w:tc>
          <w:tcPr>
            <w:tcW w:w="440" w:type="dxa"/>
            <w:vAlign w:val="bottom"/>
            <w:tcBorders>
              <w:bottom w:val="single" w:sz="8" w:color="auto"/>
            </w:tcBorders>
          </w:tcPr>
          <w:p>
            <w:pPr>
              <w:spacing w:after="0"/>
              <w:rPr>
                <w:sz w:val="19"/>
                <w:szCs w:val="19"/>
                <w:color w:val="auto"/>
              </w:rPr>
            </w:pPr>
          </w:p>
        </w:tc>
      </w:tr>
      <w:tr>
        <w:trPr>
          <w:trHeight w:val="217"/>
        </w:trPr>
        <w:tc>
          <w:tcPr>
            <w:tcW w:w="50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2023</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440" w:type="dxa"/>
            <w:vAlign w:val="bottom"/>
            <w:tcBorders>
              <w:bottom w:val="single" w:sz="8" w:color="auto"/>
            </w:tcBorders>
          </w:tcPr>
          <w:p>
            <w:pPr>
              <w:spacing w:after="0"/>
              <w:rPr>
                <w:sz w:val="18"/>
                <w:szCs w:val="18"/>
                <w:color w:val="auto"/>
              </w:rPr>
            </w:pPr>
          </w:p>
        </w:tc>
      </w:tr>
      <w:tr>
        <w:trPr>
          <w:trHeight w:val="212"/>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80" w:type="dxa"/>
            <w:vAlign w:val="bottom"/>
            <w:gridSpan w:val="3"/>
          </w:tcPr>
          <w:p>
            <w:pPr>
              <w:jc w:val="center"/>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94"/>
              <w:spacing w:after="0"/>
              <w:rPr>
                <w:sz w:val="20"/>
                <w:szCs w:val="20"/>
                <w:color w:val="auto"/>
              </w:rPr>
            </w:pPr>
            <w:r>
              <w:rPr>
                <w:rFonts w:ascii="Times New Roman" w:cs="Times New Roman" w:eastAsia="Times New Roman" w:hAnsi="Times New Roman"/>
                <w:sz w:val="17"/>
                <w:szCs w:val="17"/>
                <w:color w:val="auto"/>
              </w:rPr>
              <w:t>(In thousands)</w:t>
            </w:r>
          </w:p>
        </w:tc>
        <w:tc>
          <w:tcPr>
            <w:tcW w:w="440" w:type="dxa"/>
            <w:vAlign w:val="bottom"/>
          </w:tcPr>
          <w:p>
            <w:pPr>
              <w:spacing w:after="0"/>
              <w:rPr>
                <w:sz w:val="18"/>
                <w:szCs w:val="18"/>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Intrinsic value</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0"/>
        </w:trPr>
        <w:tc>
          <w:tcPr>
            <w:tcW w:w="5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1"/>
        </w:trPr>
        <w:tc>
          <w:tcPr>
            <w:tcW w:w="504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Cash proceeds received</w:t>
            </w:r>
          </w:p>
        </w:tc>
        <w:tc>
          <w:tcPr>
            <w:tcW w:w="980" w:type="dxa"/>
            <w:vAlign w:val="bottom"/>
            <w:tcBorders>
              <w:top w:val="single" w:sz="8" w:color="auto"/>
              <w:bottom w:val="single" w:sz="8" w:color="auto"/>
            </w:tcBorders>
          </w:tcPr>
          <w:p>
            <w:pPr>
              <w:jc w:val="right"/>
              <w:ind w:right="7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ind w:left="2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89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7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ind w:right="8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benefit realized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7"/>
          <w:szCs w:val="17"/>
          <w:color w:val="auto"/>
        </w:rPr>
        <w:t>9.</w:t>
      </w:r>
      <w:r>
        <w:rPr>
          <w:sz w:val="20"/>
          <w:szCs w:val="20"/>
          <w:color w:val="auto"/>
        </w:rPr>
        <w:tab/>
      </w:r>
      <w:r>
        <w:rPr>
          <w:rFonts w:ascii="Times New Roman" w:cs="Times New Roman" w:eastAsia="Times New Roman" w:hAnsi="Times New Roman"/>
          <w:sz w:val="17"/>
          <w:szCs w:val="17"/>
          <w:u w:val="single" w:color="auto"/>
          <w:color w:val="auto"/>
        </w:rPr>
        <w:t>Income Tax</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Income tax expense was $3.5 million and $4.1 million during the three month periods ended September 30, 2024 and 2023, respectively and $11.9 million and $10.4 million during the nine months ended September 30, 2024 and 2023,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nine month periods ending September 30, 2024 include reductions of $0.008 million and $0.117 million, respectively of income tax expense related to the impact of the excess value of stock awards that vested and stock options that were exercised as compared to the initial fair values that were expensed. These amounts during the same periods in 2023 were $0.003 million and $0.047 million, respectively.</w:t>
      </w:r>
    </w:p>
    <w:p>
      <w:pPr>
        <w:spacing w:after="0" w:line="3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2024, September 30, 2023 and December 31, 2023 that the realization of substantially all of our deferred tax assets continues to be more likely than not.</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At both September 30, 2024 and December 31, 2023, we had approximately $0.2 million, respectively, of gross unrecognized tax benefits. We do not expect the total amount of unrecognized tax benefits to significantly increase or decrease during the remainder of 2024.</w:t>
      </w:r>
    </w:p>
    <w:p>
      <w:pPr>
        <w:spacing w:after="0" w:line="113" w:lineRule="exact"/>
        <w:rPr>
          <w:sz w:val="20"/>
          <w:szCs w:val="20"/>
          <w:color w:val="auto"/>
        </w:rPr>
      </w:pPr>
    </w:p>
    <w:p>
      <w:pPr>
        <w:ind w:left="380" w:hanging="377"/>
        <w:spacing w:after="0"/>
        <w:tabs>
          <w:tab w:leader="none" w:pos="3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Regulatory Matters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September 30, 2024, the Bank had positive undivided profits of $209.0 million. It is not our intent to have dividends paid in amounts that would reduce the capital of our Bank to levels below those which we consider prudent or that would not be in accordance with guidelines of regulatory authorities.</w:t>
      </w:r>
    </w:p>
    <w:p>
      <w:pPr>
        <w:spacing w:after="0" w:line="1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September 30, 2024 and December 31, 2023, categorized our Bank as well capitalized and exceeding the minimum ratio for adequately capitalized institutions plus the capital conservation buffer.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actual capital amounts and ratios follow (1):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Minimum for</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center"/>
              <w:ind w:left="594"/>
              <w:spacing w:after="0"/>
              <w:rPr>
                <w:sz w:val="20"/>
                <w:szCs w:val="20"/>
                <w:color w:val="auto"/>
              </w:rPr>
            </w:pPr>
            <w:r>
              <w:rPr>
                <w:rFonts w:ascii="Times New Roman" w:cs="Times New Roman" w:eastAsia="Times New Roman" w:hAnsi="Times New Roman"/>
                <w:sz w:val="17"/>
                <w:szCs w:val="17"/>
                <w:color w:val="auto"/>
                <w:w w:val="99"/>
              </w:rPr>
              <w:t>Minimum for</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3"/>
          </w:tcPr>
          <w:p>
            <w:pPr>
              <w:jc w:val="center"/>
              <w:ind w:right="320"/>
              <w:spacing w:after="0" w:line="167" w:lineRule="exact"/>
              <w:rPr>
                <w:sz w:val="20"/>
                <w:szCs w:val="20"/>
                <w:color w:val="auto"/>
              </w:rPr>
            </w:pPr>
            <w:r>
              <w:rPr>
                <w:rFonts w:ascii="Times New Roman" w:cs="Times New Roman" w:eastAsia="Times New Roman" w:hAnsi="Times New Roman"/>
                <w:sz w:val="17"/>
                <w:szCs w:val="17"/>
                <w:color w:val="auto"/>
              </w:rPr>
              <w:t>Adequately Capitalized</w:t>
            </w:r>
          </w:p>
        </w:tc>
        <w:tc>
          <w:tcPr>
            <w:tcW w:w="240" w:type="dxa"/>
            <w:vAlign w:val="bottom"/>
          </w:tcPr>
          <w:p>
            <w:pPr>
              <w:spacing w:after="0"/>
              <w:rPr>
                <w:sz w:val="14"/>
                <w:szCs w:val="14"/>
                <w:color w:val="auto"/>
              </w:rPr>
            </w:pPr>
          </w:p>
        </w:tc>
        <w:tc>
          <w:tcPr>
            <w:tcW w:w="2600" w:type="dxa"/>
            <w:vAlign w:val="bottom"/>
            <w:gridSpan w:val="2"/>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w w:val="99"/>
              </w:rPr>
              <w:t>Well-Capitalized</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Actual</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Institutions</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rPr>
              <w:t>Amount</w:t>
            </w: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Ratio</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Amount</w:t>
            </w: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w w:val="97"/>
              </w:rPr>
              <w:t>Ratio</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606,783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340,539</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552,577</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340,134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425,167</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513,461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255,404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499,317</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255,100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340,134</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474,906</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191,553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499,317</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11.74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191,325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276,359</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513,461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213,392</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499,317</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213,370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266,712</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573,972</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335,014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8.00 %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521,374</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418,341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251,260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6.00 %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251,005</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334,673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Common equity tier 1 capital to</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443,065</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188,445</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4.50 %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188,254</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271,922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0" w:type="dxa"/>
            <w:vAlign w:val="bottom"/>
          </w:tcPr>
          <w:p>
            <w:pPr>
              <w:spacing w:after="0"/>
              <w:rPr>
                <w:sz w:val="1"/>
                <w:szCs w:val="1"/>
                <w:color w:val="auto"/>
              </w:rPr>
            </w:pPr>
          </w:p>
        </w:tc>
      </w:tr>
      <w:tr>
        <w:trPr>
          <w:trHeight w:val="155"/>
        </w:trPr>
        <w:tc>
          <w:tcPr>
            <w:tcW w:w="2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Consolidated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481,569</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9.03 %</w:t>
            </w:r>
          </w:p>
        </w:tc>
        <w:tc>
          <w:tcPr>
            <w:tcW w:w="8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213,227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w w:val="99"/>
              </w:rPr>
              <w:t>4.00 %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469,023</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213,180</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266,475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w:t>
      </w:r>
    </w:p>
    <w:p>
      <w:pPr>
        <w:spacing w:after="0" w:line="62" w:lineRule="exact"/>
        <w:rPr>
          <w:sz w:val="20"/>
          <w:szCs w:val="20"/>
          <w:color w:val="auto"/>
        </w:rPr>
      </w:pPr>
    </w:p>
    <w:p>
      <w:pPr>
        <w:ind w:right="2860" w:firstLine="20"/>
        <w:spacing w:after="0" w:line="413" w:lineRule="auto"/>
        <w:tabs>
          <w:tab w:leader="none" w:pos="58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ratios do not reflect a capital conservation buffer of 2.50% at September 30, 2024 and December 31, 2023. NA - Not applicable</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our regulatory capital are as follows: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25"/>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ind w:left="900"/>
              <w:spacing w:after="0"/>
              <w:rPr>
                <w:sz w:val="20"/>
                <w:szCs w:val="20"/>
                <w:color w:val="auto"/>
              </w:rPr>
            </w:pPr>
            <w:r>
              <w:rPr>
                <w:rFonts w:ascii="Times New Roman" w:cs="Times New Roman" w:eastAsia="Times New Roman" w:hAnsi="Times New Roman"/>
                <w:sz w:val="17"/>
                <w:szCs w:val="17"/>
                <w:color w:val="auto"/>
              </w:rPr>
              <w:t>Consolidated</w:t>
            </w:r>
          </w:p>
        </w:tc>
        <w:tc>
          <w:tcPr>
            <w:tcW w:w="180" w:type="dxa"/>
            <w:vAlign w:val="bottom"/>
          </w:tcPr>
          <w:p>
            <w:pPr>
              <w:spacing w:after="0"/>
              <w:rPr>
                <w:sz w:val="24"/>
                <w:szCs w:val="24"/>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7"/>
                <w:szCs w:val="17"/>
                <w:color w:val="auto"/>
              </w:rPr>
              <w:t>Independent Bank</w:t>
            </w:r>
          </w:p>
        </w:tc>
      </w:tr>
      <w:tr>
        <w:trPr>
          <w:trHeight w:val="160"/>
        </w:trPr>
        <w:tc>
          <w:tcPr>
            <w:tcW w:w="50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6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80"/>
              <w:spacing w:after="0" w:line="161" w:lineRule="exact"/>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4"/>
              <w:spacing w:after="0" w:line="161" w:lineRule="exact"/>
              <w:rPr>
                <w:sz w:val="20"/>
                <w:szCs w:val="20"/>
                <w:color w:val="auto"/>
              </w:rPr>
            </w:pPr>
            <w:r>
              <w:rPr>
                <w:rFonts w:ascii="Times New Roman" w:cs="Times New Roman" w:eastAsia="Times New Roman" w:hAnsi="Times New Roman"/>
                <w:sz w:val="17"/>
                <w:szCs w:val="17"/>
                <w:color w:val="auto"/>
              </w:rPr>
              <w:t>December 31,</w:t>
            </w:r>
          </w:p>
        </w:tc>
      </w:tr>
      <w:tr>
        <w:trPr>
          <w:trHeight w:val="228"/>
        </w:trPr>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7"/>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86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430,407</w:t>
            </w:r>
          </w:p>
        </w:tc>
      </w:tr>
      <w:tr>
        <w:trPr>
          <w:trHeight w:val="21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(deduct)</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68"/>
        </w:trPr>
        <w:tc>
          <w:tcPr>
            <w:tcW w:w="5040" w:type="dxa"/>
            <w:vAlign w:val="bottom"/>
            <w:shd w:val="clear" w:color="auto" w:fill="CCEEFF"/>
          </w:tcPr>
          <w:p>
            <w:pPr>
              <w:ind w:left="320"/>
              <w:spacing w:after="0" w:line="167" w:lineRule="exact"/>
              <w:rPr>
                <w:sz w:val="20"/>
                <w:szCs w:val="20"/>
                <w:color w:val="auto"/>
              </w:rPr>
            </w:pPr>
            <w:r>
              <w:rPr>
                <w:rFonts w:ascii="Times New Roman" w:cs="Times New Roman" w:eastAsia="Times New Roman" w:hAnsi="Times New Roman"/>
                <w:sz w:val="17"/>
                <w:szCs w:val="17"/>
                <w:color w:val="auto"/>
              </w:rPr>
              <w:t>Accumulated other comprehensive (income) loss for regulatory</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32"/>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purposes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52,454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66,344</w:t>
            </w:r>
          </w:p>
        </w:tc>
      </w:tr>
      <w:tr>
        <w:trPr>
          <w:trHeight w:val="245"/>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Goodwill and other intangibles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(30,304)</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CECL (1)</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Common equity tier 1 capital</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474,906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443,065</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499,317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Qualifying trust preferred securities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Tier 1 capital</w:t>
            </w: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513,461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481,569</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499,317</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469,023</w:t>
            </w:r>
          </w:p>
        </w:tc>
      </w:tr>
      <w:tr>
        <w:trPr>
          <w:trHeight w:val="245"/>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Subordinated debt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040" w:type="dxa"/>
            <w:vAlign w:val="bottom"/>
          </w:tcPr>
          <w:p>
            <w:pPr>
              <w:ind w:left="320"/>
              <w:spacing w:after="0" w:line="167" w:lineRule="exact"/>
              <w:rPr>
                <w:sz w:val="20"/>
                <w:szCs w:val="20"/>
                <w:color w:val="auto"/>
              </w:rPr>
            </w:pPr>
            <w:r>
              <w:rPr>
                <w:rFonts w:ascii="Times New Roman" w:cs="Times New Roman" w:eastAsia="Times New Roman" w:hAnsi="Times New Roman"/>
                <w:sz w:val="17"/>
                <w:szCs w:val="17"/>
                <w:color w:val="auto"/>
              </w:rPr>
              <w:t>Allowance for credit losses and allowance for unfunded lending</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32"/>
        </w:trPr>
        <w:tc>
          <w:tcPr>
            <w:tcW w:w="50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commitments limited to 1.25% of total risk-weighted assets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53,322</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52,403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53,260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52,351</w:t>
            </w:r>
          </w:p>
        </w:tc>
      </w:tr>
      <w:tr>
        <w:trPr>
          <w:trHeight w:val="237"/>
        </w:trPr>
        <w:tc>
          <w:tcPr>
            <w:tcW w:w="50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risk-based capital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606,783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573,972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552,577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521,374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580" w:hanging="560"/>
        <w:spacing w:after="0"/>
        <w:tabs>
          <w:tab w:leader="none" w:pos="5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elected the three year CECL transition method for regulatory purposes.</w:t>
      </w:r>
    </w:p>
    <w:p>
      <w:pPr>
        <w:spacing w:after="0" w:line="281" w:lineRule="exact"/>
        <w:rPr>
          <w:rFonts w:ascii="Times New Roman" w:cs="Times New Roman" w:eastAsia="Times New Roman" w:hAnsi="Times New Roman"/>
          <w:sz w:val="17"/>
          <w:szCs w:val="17"/>
          <w:color w:val="auto"/>
        </w:rPr>
      </w:pPr>
    </w:p>
    <w:p>
      <w:pPr>
        <w:ind w:left="380" w:hanging="377"/>
        <w:spacing w:after="0"/>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Disclosures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standard describes three levels of inputs that may be used to measure fair value:</w:t>
      </w:r>
    </w:p>
    <w:p>
      <w:pPr>
        <w:spacing w:after="0" w:line="191"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27" w:lineRule="exact"/>
        <w:rPr>
          <w:sz w:val="20"/>
          <w:szCs w:val="20"/>
          <w:color w:val="auto"/>
        </w:rPr>
      </w:pPr>
    </w:p>
    <w:p>
      <w:pPr>
        <w:jc w:val="both"/>
        <w:ind w:left="620"/>
        <w:spacing w:after="0" w:line="270" w:lineRule="auto"/>
        <w:rPr>
          <w:sz w:val="20"/>
          <w:szCs w:val="20"/>
          <w:color w:val="auto"/>
        </w:rPr>
      </w:pPr>
      <w:r>
        <w:rPr>
          <w:rFonts w:ascii="Times New Roman" w:cs="Times New Roman" w:eastAsia="Times New Roman" w:hAnsi="Times New Roman"/>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u w:val="single" w:color="auto"/>
          <w:color w:val="auto"/>
        </w:rPr>
        <w:t>Loans held for sale</w:t>
      </w:r>
      <w:r>
        <w:rPr>
          <w:rFonts w:ascii="Times New Roman" w:cs="Times New Roman" w:eastAsia="Times New Roman" w:hAnsi="Times New Roman"/>
          <w:sz w:val="17"/>
          <w:szCs w:val="17"/>
          <w:color w:val="auto"/>
        </w:rPr>
        <w:t>: The fair value of mortgage loans held for sale, carried at fair value is based on agency cash window loan pricing for comparable assets (recurring Level 2).</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Collateral dependent loans with specific loss allocations based on collateral value</w:t>
      </w:r>
      <w:r>
        <w:rPr>
          <w:rFonts w:ascii="Times New Roman" w:cs="Times New Roman" w:eastAsia="Times New Roman" w:hAnsi="Times New Roman"/>
          <w:sz w:val="17"/>
          <w:szCs w:val="17"/>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u w:val="single" w:color="auto"/>
          <w:color w:val="auto"/>
        </w:rPr>
        <w:t>Other real estate</w:t>
      </w:r>
      <w:r>
        <w:rPr>
          <w:rFonts w:ascii="Times New Roman" w:cs="Times New Roman" w:eastAsia="Times New Roman" w:hAnsi="Times New Roman"/>
          <w:sz w:val="17"/>
          <w:szCs w:val="17"/>
          <w:color w:val="auto"/>
          <w:highlight w:val="white"/>
        </w:rPr>
        <w:t>: At the time of acquisition, other real estate is recorded at fair value, less estimated costs to sell, which becomes the property’s new basis.</w:t>
      </w:r>
      <w:r>
        <w:rPr>
          <w:rFonts w:ascii="Times New Roman" w:cs="Times New Roman" w:eastAsia="Times New Roman" w:hAnsi="Times New Roman"/>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Capitalized mortgage loan servicing rights</w:t>
      </w:r>
      <w:r>
        <w:rPr>
          <w:rFonts w:ascii="Times New Roman" w:cs="Times New Roman" w:eastAsia="Times New Roman" w:hAnsi="Times New Roman"/>
          <w:sz w:val="17"/>
          <w:szCs w:val="17"/>
          <w:color w:val="auto"/>
        </w:rPr>
        <w:t>: The fair value of capitalized mortgage loan servicing rights is based on a valuation 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Derivatives</w:t>
      </w:r>
      <w:r>
        <w:rPr>
          <w:rFonts w:ascii="Times New Roman" w:cs="Times New Roman" w:eastAsia="Times New Roman" w:hAnsi="Times New Roman"/>
          <w:sz w:val="17"/>
          <w:szCs w:val="17"/>
          <w:color w:val="auto"/>
          <w:highlight w:val="white"/>
        </w:rPr>
        <w:t>: The fair value of rate-lock mortgage loan commitments is based on agency cash window loan pricing for comparable assets and the fair value of</w:t>
      </w:r>
      <w:r>
        <w:rPr>
          <w:rFonts w:ascii="Times New Roman" w:cs="Times New Roman" w:eastAsia="Times New Roman" w:hAnsi="Times New Roman"/>
          <w:sz w:val="17"/>
          <w:szCs w:val="17"/>
          <w:color w:val="auto"/>
        </w:rPr>
        <w:t xml:space="preserve"> mandatory commitments to sell mortgage loans is based on mortgage backed security pricing for comparable assets (recurring Level 2). The fair value of interest rate swap, interest rate cap and interest rate floor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7"/>
                <w:szCs w:val="17"/>
                <w:color w:val="auto"/>
                <w:w w:val="99"/>
              </w:rPr>
              <w:t>Fair Value Measurements Using</w:t>
            </w: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0" w:type="dxa"/>
            <w:vAlign w:val="bottom"/>
          </w:tcPr>
          <w:p>
            <w:pPr>
              <w:jc w:val="center"/>
              <w:ind w:left="194"/>
              <w:spacing w:after="0" w:line="161" w:lineRule="exact"/>
              <w:rPr>
                <w:sz w:val="20"/>
                <w:szCs w:val="20"/>
                <w:color w:val="auto"/>
              </w:rPr>
            </w:pPr>
            <w:r>
              <w:rPr>
                <w:rFonts w:ascii="Times New Roman" w:cs="Times New Roman" w:eastAsia="Times New Roman" w:hAnsi="Times New Roman"/>
                <w:sz w:val="17"/>
                <w:szCs w:val="17"/>
                <w:color w:val="auto"/>
              </w:rPr>
              <w:t>Quoted</w:t>
            </w: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74"/>
              <w:spacing w:after="0" w:line="167" w:lineRule="exact"/>
              <w:rPr>
                <w:sz w:val="20"/>
                <w:szCs w:val="20"/>
                <w:color w:val="auto"/>
              </w:rPr>
            </w:pPr>
            <w:r>
              <w:rPr>
                <w:rFonts w:ascii="Times New Roman" w:cs="Times New Roman" w:eastAsia="Times New Roman" w:hAnsi="Times New Roman"/>
                <w:sz w:val="17"/>
                <w:szCs w:val="17"/>
                <w:color w:val="auto"/>
              </w:rPr>
              <w:t>Prices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jc w:val="center"/>
              <w:ind w:left="194"/>
              <w:spacing w:after="0" w:line="177" w:lineRule="exact"/>
              <w:rPr>
                <w:sz w:val="20"/>
                <w:szCs w:val="20"/>
                <w:color w:val="auto"/>
              </w:rPr>
            </w:pPr>
            <w:r>
              <w:rPr>
                <w:rFonts w:ascii="Times New Roman" w:cs="Times New Roman" w:eastAsia="Times New Roman" w:hAnsi="Times New Roman"/>
                <w:sz w:val="17"/>
                <w:szCs w:val="17"/>
                <w:color w:val="auto"/>
              </w:rPr>
              <w:t>in Active</w:t>
            </w: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72" w:lineRule="exact"/>
              <w:rPr>
                <w:sz w:val="20"/>
                <w:szCs w:val="20"/>
                <w:color w:val="auto"/>
              </w:rPr>
            </w:pPr>
            <w:r>
              <w:rPr>
                <w:rFonts w:ascii="Times New Roman" w:cs="Times New Roman" w:eastAsia="Times New Roman" w:hAnsi="Times New Roman"/>
                <w:sz w:val="17"/>
                <w:szCs w:val="17"/>
                <w:color w:val="auto"/>
              </w:rPr>
              <w:t>Markets</w:t>
            </w:r>
          </w:p>
        </w:tc>
        <w:tc>
          <w:tcPr>
            <w:tcW w:w="540" w:type="dxa"/>
            <w:vAlign w:val="bottom"/>
          </w:tcPr>
          <w:p>
            <w:pPr>
              <w:spacing w:after="0"/>
              <w:rPr>
                <w:sz w:val="14"/>
                <w:szCs w:val="14"/>
                <w:color w:val="auto"/>
              </w:rPr>
            </w:pPr>
          </w:p>
        </w:tc>
        <w:tc>
          <w:tcPr>
            <w:tcW w:w="112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Significant</w:t>
            </w:r>
          </w:p>
        </w:tc>
        <w:tc>
          <w:tcPr>
            <w:tcW w:w="260" w:type="dxa"/>
            <w:vAlign w:val="bottom"/>
          </w:tcPr>
          <w:p>
            <w:pPr>
              <w:spacing w:after="0"/>
              <w:rPr>
                <w:sz w:val="14"/>
                <w:szCs w:val="14"/>
                <w:color w:val="auto"/>
              </w:rPr>
            </w:pPr>
          </w:p>
        </w:tc>
        <w:tc>
          <w:tcPr>
            <w:tcW w:w="110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w w:val="99"/>
              </w:rPr>
              <w:t>Significant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rPr>
              <w:t>for</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Other</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Un-</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w w:val="96"/>
              </w:rPr>
              <w:t>Fair Value</w:t>
            </w:r>
          </w:p>
        </w:tc>
        <w:tc>
          <w:tcPr>
            <w:tcW w:w="1000" w:type="dxa"/>
            <w:vAlign w:val="bottom"/>
          </w:tcPr>
          <w:p>
            <w:pPr>
              <w:jc w:val="center"/>
              <w:ind w:left="194"/>
              <w:spacing w:after="0" w:line="181" w:lineRule="exact"/>
              <w:rPr>
                <w:sz w:val="20"/>
                <w:szCs w:val="20"/>
                <w:color w:val="auto"/>
              </w:rPr>
            </w:pPr>
            <w:r>
              <w:rPr>
                <w:rFonts w:ascii="Times New Roman" w:cs="Times New Roman" w:eastAsia="Times New Roman" w:hAnsi="Times New Roman"/>
                <w:sz w:val="17"/>
                <w:szCs w:val="17"/>
                <w:color w:val="auto"/>
              </w:rPr>
              <w:t>Identical</w:t>
            </w:r>
          </w:p>
        </w:tc>
        <w:tc>
          <w:tcPr>
            <w:tcW w:w="540" w:type="dxa"/>
            <w:vAlign w:val="bottom"/>
          </w:tcPr>
          <w:p>
            <w:pPr>
              <w:spacing w:after="0"/>
              <w:rPr>
                <w:sz w:val="15"/>
                <w:szCs w:val="15"/>
                <w:color w:val="auto"/>
              </w:rPr>
            </w:pPr>
          </w:p>
        </w:tc>
        <w:tc>
          <w:tcPr>
            <w:tcW w:w="112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260" w:type="dxa"/>
            <w:vAlign w:val="bottom"/>
          </w:tcPr>
          <w:p>
            <w:pPr>
              <w:spacing w:after="0"/>
              <w:rPr>
                <w:sz w:val="15"/>
                <w:szCs w:val="15"/>
                <w:color w:val="auto"/>
              </w:rPr>
            </w:pPr>
          </w:p>
        </w:tc>
        <w:tc>
          <w:tcPr>
            <w:tcW w:w="110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94"/>
              <w:spacing w:after="0" w:line="167" w:lineRule="exact"/>
              <w:rPr>
                <w:sz w:val="20"/>
                <w:szCs w:val="20"/>
                <w:color w:val="auto"/>
              </w:rPr>
            </w:pPr>
            <w:r>
              <w:rPr>
                <w:rFonts w:ascii="Times New Roman" w:cs="Times New Roman" w:eastAsia="Times New Roman" w:hAnsi="Times New Roman"/>
                <w:sz w:val="17"/>
                <w:szCs w:val="17"/>
                <w:color w:val="auto"/>
              </w:rPr>
              <w:t>Measure-</w:t>
            </w:r>
          </w:p>
        </w:tc>
        <w:tc>
          <w:tcPr>
            <w:tcW w:w="1000" w:type="dxa"/>
            <w:vAlign w:val="bottom"/>
          </w:tcPr>
          <w:p>
            <w:pPr>
              <w:jc w:val="center"/>
              <w:ind w:left="19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540" w:type="dxa"/>
            <w:vAlign w:val="bottom"/>
          </w:tcPr>
          <w:p>
            <w:pPr>
              <w:spacing w:after="0"/>
              <w:rPr>
                <w:sz w:val="14"/>
                <w:szCs w:val="14"/>
                <w:color w:val="auto"/>
              </w:rPr>
            </w:pPr>
          </w:p>
        </w:tc>
        <w:tc>
          <w:tcPr>
            <w:tcW w:w="112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260" w:type="dxa"/>
            <w:vAlign w:val="bottom"/>
          </w:tcPr>
          <w:p>
            <w:pPr>
              <w:spacing w:after="0"/>
              <w:rPr>
                <w:sz w:val="14"/>
                <w:szCs w:val="14"/>
                <w:color w:val="auto"/>
              </w:rPr>
            </w:pPr>
          </w:p>
        </w:tc>
        <w:tc>
          <w:tcPr>
            <w:tcW w:w="110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color w:val="auto"/>
              </w:rPr>
              <w:t>ments</w:t>
            </w:r>
          </w:p>
        </w:tc>
        <w:tc>
          <w:tcPr>
            <w:tcW w:w="1000" w:type="dxa"/>
            <w:vAlign w:val="bottom"/>
            <w:tcBorders>
              <w:bottom w:val="single" w:sz="8" w:color="auto"/>
            </w:tcBorders>
          </w:tcPr>
          <w:p>
            <w:pPr>
              <w:jc w:val="center"/>
              <w:ind w:left="194"/>
              <w:spacing w:after="0"/>
              <w:rPr>
                <w:sz w:val="20"/>
                <w:szCs w:val="20"/>
                <w:color w:val="auto"/>
              </w:rPr>
            </w:pPr>
            <w:r>
              <w:rPr>
                <w:rFonts w:ascii="Times New Roman" w:cs="Times New Roman" w:eastAsia="Times New Roman" w:hAnsi="Times New Roman"/>
                <w:sz w:val="17"/>
                <w:szCs w:val="17"/>
                <w:color w:val="auto"/>
              </w:rPr>
              <w:t>(Level 1)</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8"/>
              </w:rPr>
              <w:t>(Level 3)</w:t>
            </w:r>
          </w:p>
        </w:tc>
        <w:tc>
          <w:tcPr>
            <w:tcW w:w="0" w:type="dxa"/>
            <w:vAlign w:val="bottom"/>
          </w:tcPr>
          <w:p>
            <w:pPr>
              <w:spacing w:after="0"/>
              <w:rPr>
                <w:sz w:val="1"/>
                <w:szCs w:val="1"/>
                <w:color w:val="auto"/>
              </w:rPr>
            </w:pPr>
          </w:p>
        </w:tc>
      </w:tr>
      <w:tr>
        <w:trPr>
          <w:trHeight w:val="22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8,538</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76,091</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76,091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12,073</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76,603</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76,603</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43,764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300,068</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300,068</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70,857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70,857</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956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14,029</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14,029</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40,204</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38,774</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38,774</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24,056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52"/>
        </w:trPr>
        <w:tc>
          <w:tcPr>
            <w:tcW w:w="4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4,253</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Commercial real estate</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662</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56</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166</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19"/>
        </w:trPr>
        <w:tc>
          <w:tcPr>
            <w:tcW w:w="43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57</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9"/>
        </w:trPr>
        <w:tc>
          <w:tcPr>
            <w:tcW w:w="43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0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175</w:t>
            </w:r>
          </w:p>
        </w:tc>
        <w:tc>
          <w:tcPr>
            <w:tcW w:w="10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4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w:t>
      </w:r>
    </w:p>
    <w:p>
      <w:pPr>
        <w:spacing w:after="0" w:line="21"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income and other assets</w:t>
      </w:r>
    </w:p>
    <w:p>
      <w:pPr>
        <w:spacing w:after="0" w:line="3"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w:t>
      </w:r>
    </w:p>
    <w:p>
      <w:pPr>
        <w:spacing w:after="0" w:line="6"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includes individually evaluated loans with specific loss allocations based on collateral value.</w:t>
      </w:r>
    </w:p>
    <w:p>
      <w:pPr>
        <w:spacing w:after="0" w:line="200" w:lineRule="exact"/>
        <w:rPr>
          <w:sz w:val="20"/>
          <w:szCs w:val="20"/>
          <w:color w:val="auto"/>
        </w:rPr>
      </w:pPr>
    </w:p>
    <w:p>
      <w:pPr>
        <w:spacing w:after="0" w:line="3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(Unaudited)</w:t>
      </w: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jc w:val="center"/>
              <w:ind w:right="514"/>
              <w:spacing w:after="0"/>
              <w:rPr>
                <w:sz w:val="20"/>
                <w:szCs w:val="20"/>
                <w:color w:val="auto"/>
              </w:rPr>
            </w:pPr>
            <w:r>
              <w:rPr>
                <w:rFonts w:ascii="Times New Roman" w:cs="Times New Roman" w:eastAsia="Times New Roman" w:hAnsi="Times New Roman"/>
                <w:sz w:val="17"/>
                <w:szCs w:val="17"/>
                <w:color w:val="auto"/>
              </w:rPr>
              <w:t>Fair Value Measurements Using</w:t>
            </w: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120" w:type="dxa"/>
            <w:vAlign w:val="bottom"/>
          </w:tcPr>
          <w:p>
            <w:pPr>
              <w:jc w:val="center"/>
              <w:ind w:left="254"/>
              <w:spacing w:after="0" w:line="161" w:lineRule="exact"/>
              <w:rPr>
                <w:sz w:val="20"/>
                <w:szCs w:val="20"/>
                <w:color w:val="auto"/>
              </w:rPr>
            </w:pPr>
            <w:r>
              <w:rPr>
                <w:rFonts w:ascii="Times New Roman" w:cs="Times New Roman" w:eastAsia="Times New Roman" w:hAnsi="Times New Roman"/>
                <w:sz w:val="17"/>
                <w:szCs w:val="17"/>
                <w:color w:val="auto"/>
                <w:w w:val="99"/>
              </w:rPr>
              <w:t>Quoted</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77" w:lineRule="exact"/>
              <w:rPr>
                <w:sz w:val="20"/>
                <w:szCs w:val="20"/>
                <w:color w:val="auto"/>
              </w:rPr>
            </w:pPr>
            <w:r>
              <w:rPr>
                <w:rFonts w:ascii="Times New Roman" w:cs="Times New Roman" w:eastAsia="Times New Roman" w:hAnsi="Times New Roman"/>
                <w:sz w:val="17"/>
                <w:szCs w:val="17"/>
                <w:color w:val="auto"/>
              </w:rPr>
              <w:t>Prices</w:t>
            </w: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in Active</w:t>
            </w:r>
          </w:p>
        </w:tc>
        <w:tc>
          <w:tcPr>
            <w:tcW w:w="680" w:type="dxa"/>
            <w:vAlign w:val="bottom"/>
          </w:tcPr>
          <w:p>
            <w:pPr>
              <w:spacing w:after="0"/>
              <w:rPr>
                <w:sz w:val="14"/>
                <w:szCs w:val="14"/>
                <w:color w:val="auto"/>
              </w:rPr>
            </w:pPr>
          </w:p>
        </w:tc>
        <w:tc>
          <w:tcPr>
            <w:tcW w:w="128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w w:val="99"/>
              </w:rPr>
              <w:t>Significant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Significa</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rPr>
              <w:t>Markets</w:t>
            </w:r>
          </w:p>
        </w:tc>
        <w:tc>
          <w:tcPr>
            <w:tcW w:w="6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74"/>
              <w:spacing w:after="0" w:line="177" w:lineRule="exact"/>
              <w:rPr>
                <w:sz w:val="20"/>
                <w:szCs w:val="20"/>
                <w:color w:val="auto"/>
              </w:rPr>
            </w:pPr>
            <w:r>
              <w:rPr>
                <w:rFonts w:ascii="Times New Roman" w:cs="Times New Roman" w:eastAsia="Times New Roman" w:hAnsi="Times New Roman"/>
                <w:sz w:val="17"/>
                <w:szCs w:val="17"/>
                <w:color w:val="auto"/>
              </w:rPr>
              <w:t>for</w:t>
            </w:r>
          </w:p>
        </w:tc>
        <w:tc>
          <w:tcPr>
            <w:tcW w:w="680" w:type="dxa"/>
            <w:vAlign w:val="bottom"/>
          </w:tcPr>
          <w:p>
            <w:pPr>
              <w:spacing w:after="0"/>
              <w:rPr>
                <w:sz w:val="15"/>
                <w:szCs w:val="15"/>
                <w:color w:val="auto"/>
              </w:rPr>
            </w:pPr>
          </w:p>
        </w:tc>
        <w:tc>
          <w:tcPr>
            <w:tcW w:w="1280" w:type="dxa"/>
            <w:vAlign w:val="bottom"/>
          </w:tcPr>
          <w:p>
            <w:pPr>
              <w:jc w:val="center"/>
              <w:ind w:right="174"/>
              <w:spacing w:after="0" w:line="177" w:lineRule="exact"/>
              <w:rPr>
                <w:sz w:val="20"/>
                <w:szCs w:val="20"/>
                <w:color w:val="auto"/>
              </w:rPr>
            </w:pPr>
            <w:r>
              <w:rPr>
                <w:rFonts w:ascii="Times New Roman" w:cs="Times New Roman" w:eastAsia="Times New Roman" w:hAnsi="Times New Roman"/>
                <w:sz w:val="17"/>
                <w:szCs w:val="17"/>
                <w:color w:val="auto"/>
                <w:w w:val="98"/>
              </w:rPr>
              <w:t>Other</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72" w:lineRule="exact"/>
              <w:rPr>
                <w:sz w:val="20"/>
                <w:szCs w:val="20"/>
                <w:color w:val="auto"/>
              </w:rPr>
            </w:pPr>
            <w:r>
              <w:rPr>
                <w:rFonts w:ascii="Times New Roman" w:cs="Times New Roman" w:eastAsia="Times New Roman" w:hAnsi="Times New Roman"/>
                <w:sz w:val="17"/>
                <w:szCs w:val="17"/>
                <w:color w:val="auto"/>
                <w:w w:val="99"/>
              </w:rPr>
              <w:t>Fair Value</w:t>
            </w:r>
          </w:p>
        </w:tc>
        <w:tc>
          <w:tcPr>
            <w:tcW w:w="1120" w:type="dxa"/>
            <w:vAlign w:val="bottom"/>
          </w:tcPr>
          <w:p>
            <w:pPr>
              <w:jc w:val="center"/>
              <w:ind w:left="274"/>
              <w:spacing w:after="0" w:line="172" w:lineRule="exact"/>
              <w:rPr>
                <w:sz w:val="20"/>
                <w:szCs w:val="20"/>
                <w:color w:val="auto"/>
              </w:rPr>
            </w:pPr>
            <w:r>
              <w:rPr>
                <w:rFonts w:ascii="Times New Roman" w:cs="Times New Roman" w:eastAsia="Times New Roman" w:hAnsi="Times New Roman"/>
                <w:sz w:val="17"/>
                <w:szCs w:val="17"/>
                <w:color w:val="auto"/>
              </w:rPr>
              <w:t>Identical</w:t>
            </w:r>
          </w:p>
        </w:tc>
        <w:tc>
          <w:tcPr>
            <w:tcW w:w="680" w:type="dxa"/>
            <w:vAlign w:val="bottom"/>
          </w:tcPr>
          <w:p>
            <w:pPr>
              <w:spacing w:after="0"/>
              <w:rPr>
                <w:sz w:val="14"/>
                <w:szCs w:val="14"/>
                <w:color w:val="auto"/>
              </w:rPr>
            </w:pPr>
          </w:p>
        </w:tc>
        <w:tc>
          <w:tcPr>
            <w:tcW w:w="1280" w:type="dxa"/>
            <w:vAlign w:val="bottom"/>
          </w:tcPr>
          <w:p>
            <w:pPr>
              <w:jc w:val="center"/>
              <w:ind w:right="174"/>
              <w:spacing w:after="0" w:line="172" w:lineRule="exact"/>
              <w:rPr>
                <w:sz w:val="20"/>
                <w:szCs w:val="20"/>
                <w:color w:val="auto"/>
              </w:rPr>
            </w:pPr>
            <w:r>
              <w:rPr>
                <w:rFonts w:ascii="Times New Roman" w:cs="Times New Roman" w:eastAsia="Times New Roman" w:hAnsi="Times New Roman"/>
                <w:sz w:val="17"/>
                <w:szCs w:val="17"/>
                <w:color w:val="auto"/>
              </w:rPr>
              <w:t>Observable</w:t>
            </w:r>
          </w:p>
        </w:tc>
        <w:tc>
          <w:tcPr>
            <w:tcW w:w="102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observab</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Times New Roman" w:cs="Times New Roman" w:eastAsia="Times New Roman" w:hAnsi="Times New Roman"/>
                <w:sz w:val="17"/>
                <w:szCs w:val="17"/>
                <w:color w:val="auto"/>
                <w:w w:val="99"/>
              </w:rPr>
              <w:t>Measure-</w:t>
            </w:r>
          </w:p>
        </w:tc>
        <w:tc>
          <w:tcPr>
            <w:tcW w:w="1120" w:type="dxa"/>
            <w:vAlign w:val="bottom"/>
          </w:tcPr>
          <w:p>
            <w:pPr>
              <w:jc w:val="center"/>
              <w:ind w:left="274"/>
              <w:spacing w:after="0" w:line="167" w:lineRule="exact"/>
              <w:rPr>
                <w:sz w:val="20"/>
                <w:szCs w:val="20"/>
                <w:color w:val="auto"/>
              </w:rPr>
            </w:pPr>
            <w:r>
              <w:rPr>
                <w:rFonts w:ascii="Times New Roman" w:cs="Times New Roman" w:eastAsia="Times New Roman" w:hAnsi="Times New Roman"/>
                <w:sz w:val="17"/>
                <w:szCs w:val="17"/>
                <w:color w:val="auto"/>
                <w:w w:val="99"/>
              </w:rPr>
              <w:t>Assets</w:t>
            </w:r>
          </w:p>
        </w:tc>
        <w:tc>
          <w:tcPr>
            <w:tcW w:w="680" w:type="dxa"/>
            <w:vAlign w:val="bottom"/>
          </w:tcPr>
          <w:p>
            <w:pPr>
              <w:spacing w:after="0"/>
              <w:rPr>
                <w:sz w:val="14"/>
                <w:szCs w:val="14"/>
                <w:color w:val="auto"/>
              </w:rPr>
            </w:pPr>
          </w:p>
        </w:tc>
        <w:tc>
          <w:tcPr>
            <w:tcW w:w="128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color w:val="auto"/>
                <w:w w:val="98"/>
              </w:rPr>
              <w:t>Inputs</w:t>
            </w:r>
          </w:p>
        </w:tc>
        <w:tc>
          <w:tcPr>
            <w:tcW w:w="1020" w:type="dxa"/>
            <w:vAlign w:val="bottom"/>
          </w:tcPr>
          <w:p>
            <w:pPr>
              <w:jc w:val="right"/>
              <w:spacing w:after="0" w:line="167"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32"/>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7"/>
                <w:szCs w:val="17"/>
                <w:color w:val="auto"/>
                <w:w w:val="98"/>
              </w:rPr>
              <w:t>ments</w:t>
            </w:r>
          </w:p>
        </w:tc>
        <w:tc>
          <w:tcPr>
            <w:tcW w:w="112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rPr>
              <w:t>(Level 1)</w:t>
            </w:r>
          </w:p>
        </w:tc>
        <w:tc>
          <w:tcPr>
            <w:tcW w:w="6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w w:val="98"/>
              </w:rPr>
              <w:t>(Level 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1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80" w:type="dxa"/>
            <w:vAlign w:val="bottom"/>
            <w:gridSpan w:val="3"/>
          </w:tcPr>
          <w:p>
            <w:pPr>
              <w:jc w:val="right"/>
              <w:ind w:right="974"/>
              <w:spacing w:after="0"/>
              <w:rPr>
                <w:sz w:val="20"/>
                <w:szCs w:val="20"/>
                <w:color w:val="auto"/>
              </w:rPr>
            </w:pPr>
            <w:r>
              <w:rPr>
                <w:rFonts w:ascii="Times New Roman" w:cs="Times New Roman" w:eastAsia="Times New Roman" w:hAnsi="Times New Roman"/>
                <w:sz w:val="17"/>
                <w:szCs w:val="17"/>
                <w:color w:val="auto"/>
              </w:rPr>
              <w:t>(In thousands)</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9,507</w:t>
            </w:r>
          </w:p>
        </w:tc>
        <w:tc>
          <w:tcPr>
            <w:tcW w:w="112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9,507</w:t>
            </w:r>
          </w:p>
        </w:tc>
        <w:tc>
          <w:tcPr>
            <w:tcW w:w="10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U.S. agency residential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81,217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81,217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12,297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12,297</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86,469</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86,469</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112,931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112,931</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302,737</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302,737</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Corporate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73,250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73,250</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Trust preferred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942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12,063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12,063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42,243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Derivatives (2)</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Collateral dependent loans (3)</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Commercial</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551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Mortgage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732</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1-4 family non-owner occupied</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1-4 family - 2nd lien</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Resort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Installment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Boat lending</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192</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196</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66</w:t>
            </w:r>
          </w:p>
        </w:tc>
        <w:tc>
          <w:tcPr>
            <w:tcW w:w="1120" w:type="dxa"/>
            <w:vAlign w:val="bottom"/>
          </w:tcPr>
          <w:p>
            <w:pPr>
              <w:spacing w:after="0"/>
              <w:rPr>
                <w:sz w:val="19"/>
                <w:szCs w:val="19"/>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8" w:lineRule="exact"/>
        <w:rPr>
          <w:sz w:val="20"/>
          <w:szCs w:val="20"/>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w:t>
      </w:r>
    </w:p>
    <w:p>
      <w:pPr>
        <w:spacing w:after="0" w:line="10"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includes impaired loans with specific loss allocations based on collateral value.</w:t>
      </w: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Changes in fair values for financial assets which we have elected the fair value option for the periods presented were as follows:</w:t>
      </w:r>
    </w:p>
    <w:p>
      <w:pPr>
        <w:spacing w:after="0" w:line="220"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Changes in Fair Values for the Nine</w:t>
      </w:r>
    </w:p>
    <w:p>
      <w:pPr>
        <w:ind w:left="7560"/>
        <w:spacing w:after="0" w:line="205" w:lineRule="auto"/>
        <w:rPr>
          <w:sz w:val="20"/>
          <w:szCs w:val="20"/>
          <w:color w:val="auto"/>
        </w:rPr>
      </w:pPr>
      <w:r>
        <w:rPr>
          <w:rFonts w:ascii="Times New Roman" w:cs="Times New Roman" w:eastAsia="Times New Roman" w:hAnsi="Times New Roman"/>
          <w:sz w:val="17"/>
          <w:szCs w:val="17"/>
          <w:color w:val="auto"/>
        </w:rPr>
        <w:t>Month Periods Ended September 30 for</w:t>
      </w:r>
    </w:p>
    <w:p>
      <w:pPr>
        <w:ind w:left="7600"/>
        <w:spacing w:after="0" w:line="222" w:lineRule="auto"/>
        <w:rPr>
          <w:sz w:val="20"/>
          <w:szCs w:val="20"/>
          <w:color w:val="auto"/>
        </w:rPr>
      </w:pPr>
      <w:r>
        <w:rPr>
          <w:rFonts w:ascii="Times New Roman" w:cs="Times New Roman" w:eastAsia="Times New Roman" w:hAnsi="Times New Roman"/>
          <w:sz w:val="17"/>
          <w:szCs w:val="17"/>
          <w:color w:val="auto"/>
        </w:rPr>
        <w:t>items Measured at Fair Value Pursuant</w:t>
      </w:r>
    </w:p>
    <w:p>
      <w:pPr>
        <w:ind w:left="7700"/>
        <w:spacing w:after="0"/>
        <w:rPr>
          <w:sz w:val="20"/>
          <w:szCs w:val="20"/>
          <w:color w:val="auto"/>
        </w:rPr>
      </w:pPr>
      <w:r>
        <w:rPr>
          <w:rFonts w:ascii="Times New Roman" w:cs="Times New Roman" w:eastAsia="Times New Roman" w:hAnsi="Times New Roman"/>
          <w:sz w:val="17"/>
          <w:szCs w:val="17"/>
          <w:color w:val="auto"/>
        </w:rPr>
        <w:t>to Election of the Fair Value Option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Change</w:t>
            </w:r>
          </w:p>
        </w:tc>
        <w:tc>
          <w:tcPr>
            <w:tcW w:w="0" w:type="dxa"/>
            <w:vAlign w:val="bottom"/>
          </w:tcPr>
          <w:p>
            <w:pPr>
              <w:spacing w:after="0"/>
              <w:rPr>
                <w:sz w:val="1"/>
                <w:szCs w:val="1"/>
                <w:color w:val="auto"/>
              </w:rPr>
            </w:pPr>
          </w:p>
        </w:tc>
      </w:tr>
      <w:tr>
        <w:trPr>
          <w:trHeight w:val="177"/>
        </w:trPr>
        <w:tc>
          <w:tcPr>
            <w:tcW w:w="6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40" w:type="dxa"/>
            <w:vAlign w:val="bottom"/>
          </w:tcPr>
          <w:p>
            <w:pPr>
              <w:jc w:val="center"/>
              <w:ind w:right="134"/>
              <w:spacing w:after="0" w:line="177" w:lineRule="exact"/>
              <w:rPr>
                <w:sz w:val="20"/>
                <w:szCs w:val="20"/>
                <w:color w:val="auto"/>
              </w:rPr>
            </w:pPr>
            <w:r>
              <w:rPr>
                <w:rFonts w:ascii="Times New Roman" w:cs="Times New Roman" w:eastAsia="Times New Roman" w:hAnsi="Times New Roman"/>
                <w:sz w:val="17"/>
                <w:szCs w:val="17"/>
                <w:color w:val="auto"/>
              </w:rPr>
              <w:t>in Fair</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center"/>
              <w:ind w:right="154"/>
              <w:spacing w:after="0"/>
              <w:rPr>
                <w:sz w:val="20"/>
                <w:szCs w:val="20"/>
                <w:color w:val="auto"/>
              </w:rPr>
            </w:pPr>
            <w:r>
              <w:rPr>
                <w:rFonts w:ascii="Times New Roman" w:cs="Times New Roman" w:eastAsia="Times New Roman" w:hAnsi="Times New Roman"/>
                <w:sz w:val="17"/>
                <w:szCs w:val="17"/>
                <w:color w:val="auto"/>
                <w:w w:val="99"/>
              </w:rPr>
              <w:t>Net Gains</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jc w:val="center"/>
              <w:ind w:right="134"/>
              <w:spacing w:after="0" w:line="172" w:lineRule="exact"/>
              <w:rPr>
                <w:sz w:val="20"/>
                <w:szCs w:val="20"/>
                <w:color w:val="auto"/>
              </w:rPr>
            </w:pPr>
            <w:r>
              <w:rPr>
                <w:rFonts w:ascii="Times New Roman" w:cs="Times New Roman" w:eastAsia="Times New Roman" w:hAnsi="Times New Roman"/>
                <w:sz w:val="17"/>
                <w:szCs w:val="17"/>
                <w:color w:val="auto"/>
                <w:w w:val="97"/>
              </w:rPr>
              <w:t>Values</w:t>
            </w:r>
          </w:p>
        </w:tc>
        <w:tc>
          <w:tcPr>
            <w:tcW w:w="0" w:type="dxa"/>
            <w:vAlign w:val="bottom"/>
          </w:tcPr>
          <w:p>
            <w:pPr>
              <w:spacing w:after="0"/>
              <w:rPr>
                <w:sz w:val="1"/>
                <w:szCs w:val="1"/>
                <w:color w:val="auto"/>
              </w:rPr>
            </w:pPr>
          </w:p>
        </w:tc>
      </w:tr>
      <w:tr>
        <w:trPr>
          <w:trHeight w:val="103"/>
        </w:trPr>
        <w:tc>
          <w:tcPr>
            <w:tcW w:w="6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Times New Roman" w:cs="Times New Roman" w:eastAsia="Times New Roman" w:hAnsi="Times New Roman"/>
                <w:sz w:val="17"/>
                <w:szCs w:val="17"/>
                <w:color w:val="auto"/>
              </w:rPr>
              <w:t>Included</w:t>
            </w:r>
          </w:p>
        </w:tc>
        <w:tc>
          <w:tcPr>
            <w:tcW w:w="0" w:type="dxa"/>
            <w:vAlign w:val="bottom"/>
          </w:tcPr>
          <w:p>
            <w:pPr>
              <w:spacing w:after="0"/>
              <w:rPr>
                <w:sz w:val="1"/>
                <w:szCs w:val="1"/>
                <w:color w:val="auto"/>
              </w:rPr>
            </w:pPr>
          </w:p>
        </w:tc>
      </w:tr>
      <w:tr>
        <w:trPr>
          <w:trHeight w:val="64"/>
        </w:trPr>
        <w:tc>
          <w:tcPr>
            <w:tcW w:w="6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color w:val="auto"/>
              </w:rPr>
              <w:t>on Assets</w:t>
            </w: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9"/>
              </w:rPr>
              <w:t>Mortgage</w:t>
            </w:r>
          </w:p>
        </w:tc>
        <w:tc>
          <w:tcPr>
            <w:tcW w:w="1240" w:type="dxa"/>
            <w:vAlign w:val="bottom"/>
          </w:tcPr>
          <w:p>
            <w:pPr>
              <w:jc w:val="center"/>
              <w:ind w:right="134"/>
              <w:spacing w:after="0" w:line="161" w:lineRule="exact"/>
              <w:rPr>
                <w:sz w:val="20"/>
                <w:szCs w:val="20"/>
                <w:color w:val="auto"/>
              </w:rPr>
            </w:pPr>
            <w:r>
              <w:rPr>
                <w:rFonts w:ascii="Times New Roman" w:cs="Times New Roman" w:eastAsia="Times New Roman" w:hAnsi="Times New Roman"/>
                <w:sz w:val="17"/>
                <w:szCs w:val="17"/>
                <w:color w:val="auto"/>
              </w:rPr>
              <w:t>in Current</w:t>
            </w:r>
          </w:p>
        </w:tc>
        <w:tc>
          <w:tcPr>
            <w:tcW w:w="0" w:type="dxa"/>
            <w:vAlign w:val="bottom"/>
          </w:tcPr>
          <w:p>
            <w:pPr>
              <w:spacing w:after="0"/>
              <w:rPr>
                <w:sz w:val="1"/>
                <w:szCs w:val="1"/>
                <w:color w:val="auto"/>
              </w:rPr>
            </w:pPr>
          </w:p>
        </w:tc>
      </w:tr>
      <w:tr>
        <w:trPr>
          <w:trHeight w:val="160"/>
        </w:trPr>
        <w:tc>
          <w:tcPr>
            <w:tcW w:w="6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rPr>
              <w:t>Mortgage</w:t>
            </w:r>
          </w:p>
        </w:tc>
        <w:tc>
          <w:tcPr>
            <w:tcW w:w="260" w:type="dxa"/>
            <w:vAlign w:val="bottom"/>
          </w:tcPr>
          <w:p>
            <w:pPr>
              <w:spacing w:after="0"/>
              <w:rPr>
                <w:sz w:val="13"/>
                <w:szCs w:val="13"/>
                <w:color w:val="auto"/>
              </w:rPr>
            </w:pPr>
          </w:p>
        </w:tc>
        <w:tc>
          <w:tcPr>
            <w:tcW w:w="1640" w:type="dxa"/>
            <w:vAlign w:val="bottom"/>
          </w:tcPr>
          <w:p>
            <w:pPr>
              <w:jc w:val="center"/>
              <w:ind w:right="414"/>
              <w:spacing w:after="0" w:line="161" w:lineRule="exact"/>
              <w:rPr>
                <w:sz w:val="20"/>
                <w:szCs w:val="20"/>
                <w:color w:val="auto"/>
              </w:rPr>
            </w:pPr>
            <w:r>
              <w:rPr>
                <w:rFonts w:ascii="Times New Roman" w:cs="Times New Roman" w:eastAsia="Times New Roman" w:hAnsi="Times New Roman"/>
                <w:sz w:val="17"/>
                <w:szCs w:val="17"/>
                <w:color w:val="auto"/>
                <w:w w:val="97"/>
              </w:rPr>
              <w:t>Loan</w:t>
            </w:r>
          </w:p>
        </w:tc>
        <w:tc>
          <w:tcPr>
            <w:tcW w:w="1240" w:type="dxa"/>
            <w:vAlign w:val="bottom"/>
          </w:tcPr>
          <w:p>
            <w:pPr>
              <w:jc w:val="center"/>
              <w:ind w:right="154"/>
              <w:spacing w:after="0" w:line="161" w:lineRule="exact"/>
              <w:rPr>
                <w:sz w:val="20"/>
                <w:szCs w:val="20"/>
                <w:color w:val="auto"/>
              </w:rPr>
            </w:pPr>
            <w:r>
              <w:rPr>
                <w:rFonts w:ascii="Times New Roman" w:cs="Times New Roman" w:eastAsia="Times New Roman" w:hAnsi="Times New Roman"/>
                <w:sz w:val="17"/>
                <w:szCs w:val="17"/>
                <w:color w:val="auto"/>
                <w:w w:val="99"/>
              </w:rPr>
              <w:t>Period</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rPr>
              <w:t>Loans</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414"/>
              <w:spacing w:after="0"/>
              <w:rPr>
                <w:sz w:val="20"/>
                <w:szCs w:val="20"/>
                <w:color w:val="auto"/>
              </w:rPr>
            </w:pPr>
            <w:r>
              <w:rPr>
                <w:rFonts w:ascii="Times New Roman" w:cs="Times New Roman" w:eastAsia="Times New Roman" w:hAnsi="Times New Roman"/>
                <w:sz w:val="17"/>
                <w:szCs w:val="17"/>
                <w:color w:val="auto"/>
                <w:w w:val="99"/>
              </w:rPr>
              <w:t>Servicing, net</w:t>
            </w:r>
          </w:p>
        </w:tc>
        <w:tc>
          <w:tcPr>
            <w:tcW w:w="12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w w:val="99"/>
              </w:rPr>
              <w:t>Earnings</w:t>
            </w:r>
          </w:p>
        </w:tc>
        <w:tc>
          <w:tcPr>
            <w:tcW w:w="0" w:type="dxa"/>
            <w:vAlign w:val="bottom"/>
          </w:tcPr>
          <w:p>
            <w:pPr>
              <w:spacing w:after="0"/>
              <w:rPr>
                <w:sz w:val="1"/>
                <w:szCs w:val="1"/>
                <w:color w:val="auto"/>
              </w:rPr>
            </w:pPr>
          </w:p>
        </w:tc>
      </w:tr>
      <w:tr>
        <w:trPr>
          <w:trHeight w:val="220"/>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center"/>
              <w:ind w:right="414"/>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0" w:type="dxa"/>
            <w:vAlign w:val="bottom"/>
          </w:tcPr>
          <w:p>
            <w:pPr>
              <w:spacing w:after="0"/>
              <w:rPr>
                <w:sz w:val="1"/>
                <w:szCs w:val="1"/>
                <w:color w:val="auto"/>
              </w:rPr>
            </w:pPr>
          </w:p>
        </w:tc>
      </w:tr>
      <w:tr>
        <w:trPr>
          <w:trHeight w:val="219"/>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rPr>
              <w:t>(4,995)</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0" w:type="dxa"/>
            <w:vAlign w:val="bottom"/>
          </w:tcPr>
          <w:p>
            <w:pPr>
              <w:spacing w:after="0"/>
              <w:rPr>
                <w:sz w:val="1"/>
                <w:szCs w:val="1"/>
                <w:color w:val="auto"/>
              </w:rPr>
            </w:pPr>
          </w:p>
        </w:tc>
      </w:tr>
      <w:tr>
        <w:trPr>
          <w:trHeight w:val="258"/>
        </w:trPr>
        <w:tc>
          <w:tcPr>
            <w:tcW w:w="66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0" w:type="dxa"/>
            <w:vAlign w:val="bottom"/>
          </w:tcPr>
          <w:p>
            <w:pPr>
              <w:spacing w:after="0"/>
              <w:rPr>
                <w:sz w:val="1"/>
                <w:szCs w:val="1"/>
                <w:color w:val="auto"/>
              </w:rPr>
            </w:pPr>
          </w:p>
        </w:tc>
      </w:tr>
      <w:tr>
        <w:trPr>
          <w:trHeight w:val="223"/>
        </w:trPr>
        <w:tc>
          <w:tcPr>
            <w:tcW w:w="6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64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456</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33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represent impairment charges recognized during the three and nine month periods ended September 30, 2024 and 2023 relating to assets measured at fair value on a non-recurring basis:</w:t>
      </w:r>
    </w:p>
    <w:p>
      <w:pPr>
        <w:spacing w:after="0" w:line="1" w:lineRule="exact"/>
        <w:rPr>
          <w:sz w:val="20"/>
          <w:szCs w:val="20"/>
          <w:color w:val="auto"/>
        </w:rPr>
      </w:pPr>
    </w:p>
    <w:p>
      <w:pPr>
        <w:jc w:val="both"/>
        <w:ind w:left="620" w:hanging="307"/>
        <w:spacing w:after="0" w:line="256"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that are individually evaluated using the fair value of collateral for collateral dependent loans had a carrying amount of $5.6 million, which is net of a valuation allowance of $2.5 million at September 30, 2024, and had a carrying amount of $2.0 million, which is net of a valuation allowance of $1.3 million at December 31, 2023. The provision for credit losses included in our results of operations relating to collateral dependent loans was a net expense of $0.9 million and $0.2 million for the three month periods ending September 30, 2024 and 2023, respectively, and a net expense of $2.0 million and $2.1 million for the nine month periods ending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7"/>
                <w:szCs w:val="17"/>
                <w:color w:val="auto"/>
              </w:rPr>
              <w:t>Capitalized Mortgage Loan Servicing Rights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500" w:type="dxa"/>
            <w:vAlign w:val="bottom"/>
            <w:gridSpan w:val="4"/>
          </w:tcPr>
          <w:p>
            <w:pPr>
              <w:jc w:val="right"/>
              <w:ind w:right="154"/>
              <w:spacing w:after="0" w:line="161" w:lineRule="exact"/>
              <w:rPr>
                <w:sz w:val="20"/>
                <w:szCs w:val="20"/>
                <w:color w:val="auto"/>
              </w:rPr>
            </w:pPr>
            <w:r>
              <w:rPr>
                <w:rFonts w:ascii="Times New Roman" w:cs="Times New Roman" w:eastAsia="Times New Roman" w:hAnsi="Times New Roman"/>
                <w:sz w:val="17"/>
                <w:szCs w:val="17"/>
                <w:color w:val="auto"/>
              </w:rPr>
              <w:t>Three Months Ended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4"/>
          </w:tcPr>
          <w:p>
            <w:pPr>
              <w:jc w:val="right"/>
              <w:ind w:right="754"/>
              <w:spacing w:after="0" w:line="161" w:lineRule="exact"/>
              <w:rPr>
                <w:sz w:val="20"/>
                <w:szCs w:val="20"/>
                <w:color w:val="auto"/>
              </w:rPr>
            </w:pPr>
            <w:r>
              <w:rPr>
                <w:rFonts w:ascii="Times New Roman" w:cs="Times New Roman" w:eastAsia="Times New Roman" w:hAnsi="Times New Roman"/>
                <w:sz w:val="17"/>
                <w:szCs w:val="17"/>
                <w:color w:val="auto"/>
              </w:rPr>
              <w:t>Nine Months Ended</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60" w:type="dxa"/>
            <w:vAlign w:val="bottom"/>
            <w:gridSpan w:val="3"/>
          </w:tcPr>
          <w:p>
            <w:pPr>
              <w:jc w:val="right"/>
              <w:ind w:right="394"/>
              <w:spacing w:after="0"/>
              <w:rPr>
                <w:sz w:val="20"/>
                <w:szCs w:val="20"/>
                <w:color w:val="auto"/>
              </w:rPr>
            </w:pPr>
            <w:r>
              <w:rPr>
                <w:rFonts w:ascii="Times New Roman" w:cs="Times New Roman" w:eastAsia="Times New Roman" w:hAnsi="Times New Roman"/>
                <w:sz w:val="17"/>
                <w:szCs w:val="17"/>
                <w:color w:val="auto"/>
              </w:rPr>
              <w:t>September 30,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60" w:type="dxa"/>
            <w:vAlign w:val="bottom"/>
            <w:gridSpan w:val="3"/>
          </w:tcPr>
          <w:p>
            <w:pPr>
              <w:jc w:val="right"/>
              <w:ind w:right="394"/>
              <w:spacing w:after="0"/>
              <w:rPr>
                <w:sz w:val="20"/>
                <w:szCs w:val="20"/>
                <w:color w:val="auto"/>
              </w:rPr>
            </w:pPr>
            <w:r>
              <w:rPr>
                <w:rFonts w:ascii="Times New Roman" w:cs="Times New Roman" w:eastAsia="Times New Roman" w:hAnsi="Times New Roman"/>
                <w:sz w:val="17"/>
                <w:szCs w:val="17"/>
                <w:color w:val="auto"/>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1020" w:type="dxa"/>
            <w:vAlign w:val="bottom"/>
            <w:gridSpan w:val="2"/>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gains (losses) realized and unrealized: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Included in results of operations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19"/>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Included in other comprehensive loss</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issuances, settlements, maturities and calls</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0" w:type="dxa"/>
            <w:vAlign w:val="bottom"/>
          </w:tcPr>
          <w:p>
            <w:pPr>
              <w:spacing w:after="0"/>
              <w:rPr>
                <w:sz w:val="1"/>
                <w:szCs w:val="1"/>
                <w:color w:val="auto"/>
              </w:rPr>
            </w:pPr>
          </w:p>
        </w:tc>
      </w:tr>
      <w:tr>
        <w:trPr>
          <w:trHeight w:val="219"/>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Transfers in and/or out of Level 3</w:t>
            </w: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94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40,204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46,057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of total gains (losses) for the period included in earnings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180"/>
              <w:spacing w:after="0" w:line="167" w:lineRule="exact"/>
              <w:rPr>
                <w:sz w:val="20"/>
                <w:szCs w:val="20"/>
                <w:color w:val="auto"/>
              </w:rPr>
            </w:pPr>
            <w:r>
              <w:rPr>
                <w:rFonts w:ascii="Times New Roman" w:cs="Times New Roman" w:eastAsia="Times New Roman" w:hAnsi="Times New Roman"/>
                <w:sz w:val="17"/>
                <w:szCs w:val="17"/>
                <w:color w:val="auto"/>
              </w:rPr>
              <w:t>attributable to the change in unrealized gains (losses) relating to assets</w:t>
            </w:r>
          </w:p>
        </w:tc>
        <w:tc>
          <w:tcPr>
            <w:tcW w:w="940" w:type="dxa"/>
            <w:vAlign w:val="bottom"/>
            <w:vMerge w:val="restart"/>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1020" w:type="dxa"/>
            <w:vAlign w:val="bottom"/>
            <w:gridSpan w:val="2"/>
            <w:vMerge w:val="restart"/>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and liabilities still held at September 30</w:t>
            </w:r>
          </w:p>
        </w:tc>
        <w:tc>
          <w:tcPr>
            <w:tcW w:w="940" w:type="dxa"/>
            <w:vAlign w:val="bottom"/>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ectPr>
          <w:pgSz w:w="11900" w:h="16838" w:orient="portrait"/>
          <w:cols w:equalWidth="0" w:num="1">
            <w:col w:w="11240"/>
          </w:cols>
          <w:pgMar w:left="320" w:top="119" w:right="339" w:bottom="1440" w:gutter="0" w:footer="0" w:header="0"/>
        </w:sectPr>
      </w:pPr>
    </w:p>
    <w:p>
      <w:pPr>
        <w:spacing w:after="0" w:line="16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Asset</w:t>
      </w:r>
    </w:p>
    <w:p>
      <w:pPr>
        <w:ind w:left="2700"/>
        <w:spacing w:after="0" w:line="221" w:lineRule="auto"/>
        <w:rPr>
          <w:sz w:val="20"/>
          <w:szCs w:val="20"/>
          <w:color w:val="auto"/>
        </w:rPr>
      </w:pPr>
      <w:r>
        <w:rPr>
          <w:rFonts w:ascii="Times New Roman" w:cs="Times New Roman" w:eastAsia="Times New Roman" w:hAnsi="Times New Roman"/>
          <w:sz w:val="17"/>
          <w:szCs w:val="17"/>
          <w:color w:val="auto"/>
        </w:rPr>
        <w:t>Fair</w:t>
      </w:r>
    </w:p>
    <w:p>
      <w:pPr>
        <w:jc w:val="center"/>
        <w:ind w:left="2340"/>
        <w:spacing w:after="0"/>
        <w:rPr>
          <w:sz w:val="20"/>
          <w:szCs w:val="20"/>
          <w:color w:val="auto"/>
        </w:rPr>
      </w:pPr>
      <w:r>
        <w:rPr>
          <w:rFonts w:ascii="Times New Roman" w:cs="Times New Roman" w:eastAsia="Times New Roman" w:hAnsi="Times New Roman"/>
          <w:sz w:val="17"/>
          <w:szCs w:val="17"/>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5715</wp:posOffset>
            </wp:positionV>
            <wp:extent cx="9251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25195" cy="8255"/>
                    </a:xfrm>
                    <a:prstGeom prst="rect">
                      <a:avLst/>
                    </a:prstGeom>
                    <a:noFill/>
                  </pic:spPr>
                </pic:pic>
              </a:graphicData>
            </a:graphic>
          </wp:anchor>
        </w:drawing>
      </w:r>
    </w:p>
    <w:p>
      <w:pPr>
        <w:jc w:val="center"/>
        <w:ind w:left="2340"/>
        <w:spacing w:after="0"/>
        <w:rPr>
          <w:sz w:val="20"/>
          <w:szCs w:val="20"/>
          <w:color w:val="auto"/>
        </w:rPr>
      </w:pPr>
      <w:r>
        <w:rPr>
          <w:rFonts w:ascii="Times New Roman" w:cs="Times New Roman" w:eastAsia="Times New Roman" w:hAnsi="Times New Roman"/>
          <w:sz w:val="17"/>
          <w:szCs w:val="17"/>
          <w:color w:val="auto"/>
        </w:rPr>
        <w:t>(In thousands)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Valuation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Unobservable</w:t>
            </w: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Weighted</w:t>
            </w:r>
          </w:p>
        </w:tc>
      </w:tr>
      <w:tr>
        <w:trPr>
          <w:trHeight w:val="232"/>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Technique</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c>
          <w:tcPr>
            <w:tcW w:w="100" w:type="dxa"/>
            <w:vAlign w:val="bottom"/>
          </w:tcPr>
          <w:p>
            <w:pPr>
              <w:spacing w:after="0"/>
              <w:rPr>
                <w:sz w:val="20"/>
                <w:szCs w:val="20"/>
                <w:color w:val="auto"/>
              </w:rPr>
            </w:pPr>
          </w:p>
        </w:tc>
        <w:tc>
          <w:tcPr>
            <w:tcW w:w="1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Range</w:t>
            </w:r>
          </w:p>
        </w:tc>
        <w:tc>
          <w:tcPr>
            <w:tcW w:w="8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Average</w:t>
            </w:r>
          </w:p>
        </w:tc>
      </w:tr>
    </w:tbl>
    <w:p>
      <w:pPr>
        <w:spacing w:after="0" w:line="219" w:lineRule="exact"/>
        <w:rPr>
          <w:sz w:val="20"/>
          <w:szCs w:val="20"/>
          <w:color w:val="auto"/>
        </w:rPr>
      </w:pPr>
    </w:p>
    <w:p>
      <w:pPr>
        <w:sectPr>
          <w:pgSz w:w="11900" w:h="16838" w:orient="portrait"/>
          <w:cols w:equalWidth="0" w:num="2">
            <w:col w:w="3320" w:space="340"/>
            <w:col w:w="758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99"/>
              </w:rPr>
              <w:t>September 30, 2024</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jc w:val="right"/>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40,204</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14.99%</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10.25 %</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 to $463</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3.53 %</w:t>
            </w: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29.02%</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10.02 %</w:t>
            </w:r>
          </w:p>
        </w:tc>
      </w:tr>
    </w:tbl>
    <w:p>
      <w:pPr>
        <w:spacing w:after="0" w:line="1"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1"/>
        </w:trPr>
        <w:tc>
          <w:tcPr>
            <w:tcW w:w="2040" w:type="dxa"/>
            <w:vAlign w:val="bottom"/>
          </w:tcPr>
          <w:p>
            <w:pPr>
              <w:ind w:left="160"/>
              <w:spacing w:after="0" w:line="172" w:lineRule="exact"/>
              <w:rPr>
                <w:sz w:val="20"/>
                <w:szCs w:val="20"/>
                <w:color w:val="auto"/>
              </w:rPr>
            </w:pPr>
            <w:r>
              <w:rPr>
                <w:rFonts w:ascii="Times New Roman" w:cs="Times New Roman" w:eastAsia="Times New Roman" w:hAnsi="Times New Roman"/>
                <w:sz w:val="17"/>
                <w:szCs w:val="17"/>
                <w:color w:val="auto"/>
              </w:rPr>
              <w:t>Capitalized mortgage loan</w:t>
            </w: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2"/>
        </w:trPr>
        <w:tc>
          <w:tcPr>
            <w:tcW w:w="2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servicing rights</w:t>
            </w:r>
          </w:p>
        </w:tc>
        <w:tc>
          <w:tcPr>
            <w:tcW w:w="56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42,243</w:t>
            </w: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hanging="154"/>
        <w:spacing w:after="0" w:line="239" w:lineRule="auto"/>
        <w:rPr>
          <w:sz w:val="20"/>
          <w:szCs w:val="20"/>
          <w:color w:val="auto"/>
        </w:rPr>
      </w:pPr>
      <w:r>
        <w:rPr>
          <w:rFonts w:ascii="Times New Roman" w:cs="Times New Roman" w:eastAsia="Times New Roman" w:hAnsi="Times New Roman"/>
          <w:sz w:val="17"/>
          <w:szCs w:val="17"/>
          <w:color w:val="auto"/>
        </w:rPr>
        <w:t>Present value of net servicing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-244475</wp:posOffset>
            </wp:positionV>
            <wp:extent cx="7138670" cy="2540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147955</wp:posOffset>
            </wp:positionV>
            <wp:extent cx="7138670" cy="1390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-2423160</wp:posOffset>
            </wp:positionH>
            <wp:positionV relativeFrom="paragraph">
              <wp:posOffset>426085</wp:posOffset>
            </wp:positionV>
            <wp:extent cx="7138670" cy="139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Discount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10.25 %</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Cost to service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 to $442</w:t>
            </w:r>
          </w:p>
        </w:tc>
        <w:tc>
          <w:tcPr>
            <w:tcW w:w="6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79</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Ancillary income</w:t>
            </w:r>
          </w:p>
        </w:tc>
        <w:tc>
          <w:tcPr>
            <w:tcW w:w="1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 to 30</w:t>
            </w:r>
          </w:p>
        </w:tc>
        <w:tc>
          <w:tcPr>
            <w:tcW w:w="60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20</w:t>
            </w:r>
          </w:p>
        </w:tc>
      </w:tr>
      <w:tr>
        <w:trPr>
          <w:trHeight w:val="219"/>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Float rate</w:t>
            </w:r>
          </w:p>
        </w:tc>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3.82 %</w:t>
            </w:r>
          </w:p>
        </w:tc>
      </w:tr>
      <w:tr>
        <w:trPr>
          <w:trHeight w:val="223"/>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Prepayment rate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 to</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26.47%</w:t>
            </w:r>
          </w:p>
        </w:tc>
        <w:tc>
          <w:tcPr>
            <w:tcW w:w="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r>
    </w:tbl>
    <w:p>
      <w:pPr>
        <w:spacing w:after="0" w:line="200" w:lineRule="exact"/>
        <w:rPr>
          <w:sz w:val="20"/>
          <w:szCs w:val="20"/>
          <w:color w:val="auto"/>
        </w:rPr>
      </w:pPr>
    </w:p>
    <w:p>
      <w:pPr>
        <w:sectPr>
          <w:pgSz w:w="11900" w:h="16838" w:orient="portrait"/>
          <w:cols w:equalWidth="0" w:num="3">
            <w:col w:w="3500" w:space="320"/>
            <w:col w:w="1880" w:space="180"/>
            <w:col w:w="5360"/>
          </w:cols>
          <w:pgMar w:left="320" w:top="119"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Asset</w:t>
            </w: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Fair</w:t>
            </w:r>
          </w:p>
        </w:tc>
        <w:tc>
          <w:tcPr>
            <w:tcW w:w="2200" w:type="dxa"/>
            <w:vAlign w:val="bottom"/>
            <w:gridSpan w:val="2"/>
          </w:tcPr>
          <w:p>
            <w:pPr>
              <w:ind w:left="740"/>
              <w:spacing w:after="0"/>
              <w:rPr>
                <w:sz w:val="20"/>
                <w:szCs w:val="20"/>
                <w:color w:val="auto"/>
              </w:rPr>
            </w:pPr>
            <w:r>
              <w:rPr>
                <w:rFonts w:ascii="Times New Roman" w:cs="Times New Roman" w:eastAsia="Times New Roman" w:hAnsi="Times New Roman"/>
                <w:sz w:val="17"/>
                <w:szCs w:val="17"/>
                <w:color w:val="auto"/>
              </w:rPr>
              <w:t>Valuation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Unobservable</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3"/>
              </w:rPr>
              <w:t>Value</w:t>
            </w:r>
          </w:p>
        </w:tc>
        <w:tc>
          <w:tcPr>
            <w:tcW w:w="220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rPr>
              <w:t>Technique</w:t>
            </w: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Inputs</w:t>
            </w:r>
          </w:p>
        </w:tc>
      </w:tr>
      <w:tr>
        <w:trPr>
          <w:trHeight w:val="25"/>
        </w:trPr>
        <w:tc>
          <w:tcPr>
            <w:tcW w:w="2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45"/>
        </w:trPr>
        <w:tc>
          <w:tcPr>
            <w:tcW w:w="2260" w:type="dxa"/>
            <w:vAlign w:val="bottom"/>
            <w:gridSpan w:val="2"/>
          </w:tcPr>
          <w:p>
            <w:pPr>
              <w:jc w:val="center"/>
              <w:ind w:right="880"/>
              <w:spacing w:after="0"/>
              <w:rPr>
                <w:sz w:val="20"/>
                <w:szCs w:val="20"/>
                <w:color w:val="auto"/>
              </w:rPr>
            </w:pPr>
            <w:r>
              <w:rPr>
                <w:rFonts w:ascii="Times New Roman" w:cs="Times New Roman" w:eastAsia="Times New Roman" w:hAnsi="Times New Roman"/>
                <w:sz w:val="17"/>
                <w:szCs w:val="17"/>
                <w:color w:val="auto"/>
              </w:rPr>
              <w:t>September 30, 2024</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Commercial(1)</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Discounting financial</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 used</w:t>
            </w: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statement and machinery</w:t>
            </w:r>
          </w:p>
        </w:tc>
        <w:tc>
          <w:tcPr>
            <w:tcW w:w="2140" w:type="dxa"/>
            <w:vAlign w:val="bottom"/>
          </w:tcPr>
          <w:p>
            <w:pPr>
              <w:spacing w:after="0"/>
              <w:rPr>
                <w:sz w:val="17"/>
                <w:szCs w:val="17"/>
                <w:color w:val="auto"/>
              </w:rPr>
            </w:pPr>
          </w:p>
        </w:tc>
      </w:tr>
      <w:tr>
        <w:trPr>
          <w:trHeight w:val="206"/>
        </w:trPr>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and equipment appraised</w:t>
            </w:r>
          </w:p>
        </w:tc>
        <w:tc>
          <w:tcPr>
            <w:tcW w:w="2140" w:type="dxa"/>
            <w:vAlign w:val="bottom"/>
          </w:tcPr>
          <w:p>
            <w:pPr>
              <w:spacing w:after="0"/>
              <w:rPr>
                <w:sz w:val="17"/>
                <w:szCs w:val="17"/>
                <w:color w:val="auto"/>
              </w:rPr>
            </w:pP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80" w:type="dxa"/>
            <w:vAlign w:val="bottom"/>
          </w:tcPr>
          <w:p>
            <w:pPr>
              <w:spacing w:after="0"/>
              <w:rPr>
                <w:sz w:val="20"/>
                <w:szCs w:val="20"/>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values</w:t>
            </w:r>
          </w:p>
        </w:tc>
        <w:tc>
          <w:tcPr>
            <w:tcW w:w="2140" w:type="dxa"/>
            <w:vAlign w:val="bottom"/>
          </w:tcPr>
          <w:p>
            <w:pPr>
              <w:spacing w:after="0"/>
              <w:rPr>
                <w:sz w:val="20"/>
                <w:szCs w:val="20"/>
                <w:color w:val="auto"/>
              </w:rPr>
            </w:pPr>
          </w:p>
        </w:tc>
      </w:tr>
      <w:tr>
        <w:trPr>
          <w:trHeight w:val="228"/>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23"/>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28"/>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503"/>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rPr>
              <w:t>December 31, 2023</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45"/>
        </w:trPr>
        <w:tc>
          <w:tcPr>
            <w:tcW w:w="22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Collateral dependent loans</w:t>
            </w: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28"/>
        </w:trPr>
        <w:tc>
          <w:tcPr>
            <w:tcW w:w="2260" w:type="dxa"/>
            <w:vAlign w:val="bottom"/>
            <w:gridSpan w:val="2"/>
          </w:tcPr>
          <w:p>
            <w:pPr>
              <w:jc w:val="center"/>
              <w:ind w:right="900"/>
              <w:spacing w:after="0"/>
              <w:rPr>
                <w:sz w:val="20"/>
                <w:szCs w:val="20"/>
                <w:color w:val="auto"/>
              </w:rPr>
            </w:pPr>
            <w:r>
              <w:rPr>
                <w:rFonts w:ascii="Times New Roman" w:cs="Times New Roman" w:eastAsia="Times New Roman" w:hAnsi="Times New Roman"/>
                <w:sz w:val="17"/>
                <w:szCs w:val="17"/>
                <w:color w:val="auto"/>
                <w:w w:val="99"/>
              </w:rPr>
              <w:t>Commercial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36"/>
        </w:trPr>
        <w:tc>
          <w:tcPr>
            <w:tcW w:w="2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r>
        <w:trPr>
          <w:trHeight w:val="215"/>
        </w:trPr>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7"/>
                <w:szCs w:val="17"/>
                <w:color w:val="auto"/>
              </w:rPr>
              <w:t>Mortgage and</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Sales comparison approach</w:t>
            </w:r>
          </w:p>
        </w:tc>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 for differences</w:t>
            </w:r>
          </w:p>
        </w:tc>
      </w:tr>
      <w:tr>
        <w:trPr>
          <w:trHeight w:val="249"/>
        </w:trPr>
        <w:tc>
          <w:tcPr>
            <w:tcW w:w="226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Installment(2)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between comparable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-2201545</wp:posOffset>
            </wp:positionV>
            <wp:extent cx="7138670" cy="556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670" cy="5568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-1350645</wp:posOffset>
            </wp:positionV>
            <wp:extent cx="7138670" cy="294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-892175</wp:posOffset>
            </wp:positionV>
            <wp:extent cx="7138670" cy="155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-581025</wp:posOffset>
            </wp:positionV>
            <wp:extent cx="7138670" cy="294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color w:val="auto"/>
        </w:rPr>
        <w:t>Weighted</w:t>
      </w:r>
    </w:p>
    <w:p>
      <w:pPr>
        <w:spacing w:after="0" w:line="28" w:lineRule="exact"/>
        <w:rPr>
          <w:sz w:val="20"/>
          <w:szCs w:val="20"/>
          <w:color w:val="auto"/>
        </w:rPr>
      </w:pPr>
    </w:p>
    <w:p>
      <w:pPr>
        <w:ind w:left="120"/>
        <w:spacing w:after="0"/>
        <w:tabs>
          <w:tab w:leader="none" w:pos="1660" w:val="left"/>
        </w:tabs>
        <w:rPr>
          <w:sz w:val="20"/>
          <w:szCs w:val="20"/>
          <w:color w:val="auto"/>
        </w:rPr>
      </w:pPr>
      <w:r>
        <w:rPr>
          <w:rFonts w:ascii="Times New Roman" w:cs="Times New Roman" w:eastAsia="Times New Roman" w:hAnsi="Times New Roman"/>
          <w:sz w:val="17"/>
          <w:szCs w:val="17"/>
          <w:color w:val="auto"/>
        </w:rPr>
        <w:t>Range</w:t>
      </w:r>
      <w:r>
        <w:rPr>
          <w:sz w:val="20"/>
          <w:szCs w:val="20"/>
          <w:color w:val="auto"/>
        </w:rPr>
        <w:tab/>
      </w:r>
      <w:r>
        <w:rPr>
          <w:rFonts w:ascii="Times New Roman" w:cs="Times New Roman" w:eastAsia="Times New Roman" w:hAnsi="Times New Roman"/>
          <w:sz w:val="17"/>
          <w:szCs w:val="17"/>
          <w:color w:val="auto"/>
        </w:rPr>
        <w:t>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22860</wp:posOffset>
            </wp:positionV>
            <wp:extent cx="20059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40.0% to 50.0%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42.8 %</w:t>
            </w:r>
          </w:p>
        </w:tc>
      </w:tr>
      <w:tr>
        <w:trPr>
          <w:trHeight w:val="464"/>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9"/>
              </w:rPr>
              <w:t>(20.0)% to 35.0%</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477"/>
        </w:trPr>
        <w:tc>
          <w:tcPr>
            <w:tcW w:w="166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(12.7) to 21.7</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160" w:type="dxa"/>
        <w:tblCellMar>
          <w:top w:w="0" w:type="dxa"/>
          <w:left w:w="0" w:type="dxa"/>
          <w:bottom w:w="0" w:type="dxa"/>
          <w:right w:w="0" w:type="dxa"/>
        </w:tblCellMar>
      </w:tblPr>
      <w:tr>
        <w:trPr>
          <w:trHeight w:val="223"/>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(5.0)% to 6.0%</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464"/>
        </w:trPr>
        <w:tc>
          <w:tcPr>
            <w:tcW w:w="15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(4.1) to 10.5</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3.1</w:t>
            </w:r>
          </w:p>
        </w:tc>
      </w:tr>
    </w:tbl>
    <w:p>
      <w:pPr>
        <w:spacing w:after="0" w:line="200" w:lineRule="exact"/>
        <w:rPr>
          <w:sz w:val="20"/>
          <w:szCs w:val="20"/>
          <w:color w:val="auto"/>
        </w:rPr>
      </w:pPr>
    </w:p>
    <w:p>
      <w:pPr>
        <w:sectPr>
          <w:pgSz w:w="11900" w:h="16838" w:orient="portrait"/>
          <w:cols w:equalWidth="0" w:num="2">
            <w:col w:w="8000" w:space="620"/>
            <w:col w:w="2620"/>
          </w:cols>
          <w:pgMar w:left="320" w:top="119" w:right="339" w:bottom="1440" w:gutter="0" w:footer="0" w:header="0"/>
          <w:type w:val="continuous"/>
        </w:sectPr>
      </w:pPr>
    </w:p>
    <w:p>
      <w:pPr>
        <w:spacing w:after="0" w:line="105" w:lineRule="exact"/>
        <w:rPr>
          <w:sz w:val="20"/>
          <w:szCs w:val="20"/>
          <w:color w:val="auto"/>
        </w:rPr>
      </w:pPr>
    </w:p>
    <w:p>
      <w:pPr>
        <w:jc w:val="both"/>
        <w:ind w:left="580" w:right="20" w:hanging="560"/>
        <w:spacing w:after="0" w:line="270" w:lineRule="auto"/>
        <w:tabs>
          <w:tab w:leader="none" w:pos="5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 million of this amount primarily relates to one collateral dependent relationship credit. Collateral securing this relationship primarily included accounts receivable, inventory and machinery and equipment at September 30, 2024. Valuation techniques at September 30, 2024 included discounting financial statement values for accounts receivable and inventory and appraised values for machinery and equipment.</w:t>
      </w:r>
    </w:p>
    <w:p>
      <w:pPr>
        <w:spacing w:after="0" w:line="10" w:lineRule="exact"/>
        <w:rPr>
          <w:rFonts w:ascii="Times New Roman" w:cs="Times New Roman" w:eastAsia="Times New Roman" w:hAnsi="Times New Roman"/>
          <w:sz w:val="17"/>
          <w:szCs w:val="17"/>
          <w:color w:val="auto"/>
        </w:rPr>
      </w:pPr>
    </w:p>
    <w:p>
      <w:pPr>
        <w:jc w:val="both"/>
        <w:ind w:left="580" w:right="20" w:hanging="560"/>
        <w:spacing w:after="0" w:line="270" w:lineRule="auto"/>
        <w:tabs>
          <w:tab w:leader="none" w:pos="5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valuation techniques and unobservable inputs discussed above, at September 30, 2024 and December 31, 2023 certain collateral dependent installment loans totaling approximately $0.27 million and $0.45 million, respectively, are secured by collateral other than real estate. For the majority of these loans, we apply internal discount rates to industry valuation guides.</w:t>
      </w:r>
    </w:p>
    <w:p>
      <w:pPr>
        <w:spacing w:after="0" w:line="2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Aggregate</w:t>
            </w: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Contractual</w:t>
            </w:r>
          </w:p>
        </w:tc>
      </w:tr>
      <w:tr>
        <w:trPr>
          <w:trHeight w:val="232"/>
        </w:trPr>
        <w:tc>
          <w:tcPr>
            <w:tcW w:w="36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7"/>
                <w:szCs w:val="17"/>
                <w:color w:val="auto"/>
              </w:rPr>
              <w:t>Difference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Principal</w:t>
            </w:r>
          </w:p>
        </w:tc>
      </w:tr>
      <w:tr>
        <w:trPr>
          <w:trHeight w:val="225"/>
        </w:trPr>
        <w:tc>
          <w:tcPr>
            <w:tcW w:w="36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51"/>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held for sale</w:t>
            </w:r>
          </w:p>
        </w:tc>
        <w:tc>
          <w:tcPr>
            <w:tcW w:w="3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1"/>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2024</w:t>
            </w:r>
          </w:p>
        </w:tc>
        <w:tc>
          <w:tcPr>
            <w:tcW w:w="3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154</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13,875</w:t>
            </w:r>
          </w:p>
        </w:tc>
      </w:tr>
      <w:tr>
        <w:trPr>
          <w:trHeight w:val="232"/>
        </w:trPr>
        <w:tc>
          <w:tcPr>
            <w:tcW w:w="3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3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12,063</w:t>
            </w:r>
          </w:p>
        </w:tc>
        <w:tc>
          <w:tcPr>
            <w:tcW w:w="240" w:type="dxa"/>
            <w:vAlign w:val="bottom"/>
          </w:tcPr>
          <w:p>
            <w:pPr>
              <w:spacing w:after="0"/>
              <w:rPr>
                <w:sz w:val="20"/>
                <w:szCs w:val="20"/>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(61)</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12,124</w:t>
            </w:r>
          </w:p>
        </w:tc>
      </w:tr>
      <w:tr>
        <w:trPr>
          <w:trHeight w:val="877"/>
        </w:trPr>
        <w:tc>
          <w:tcPr>
            <w:tcW w:w="3620" w:type="dxa"/>
            <w:vAlign w:val="bottom"/>
          </w:tcPr>
          <w:p>
            <w:pPr>
              <w:spacing w:after="0"/>
              <w:rPr>
                <w:sz w:val="24"/>
                <w:szCs w:val="24"/>
                <w:color w:val="auto"/>
              </w:rPr>
            </w:pPr>
          </w:p>
        </w:tc>
        <w:tc>
          <w:tcPr>
            <w:tcW w:w="300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rPr>
              <w:t>51</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8"/>
        </w:trPr>
        <w:tc>
          <w:tcPr>
            <w:tcW w:w="36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Values of Financial Instruments</w:t>
      </w:r>
    </w:p>
    <w:p>
      <w:pPr>
        <w:spacing w:after="0" w:line="19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1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estimated recorded book balances and fair values follow:</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w w:val="99"/>
              </w:rPr>
              <w:t>Fair Value Using</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74"/>
              <w:spacing w:after="0" w:line="176" w:lineRule="exact"/>
              <w:rPr>
                <w:sz w:val="20"/>
                <w:szCs w:val="20"/>
                <w:color w:val="auto"/>
              </w:rPr>
            </w:pPr>
            <w:r>
              <w:rPr>
                <w:rFonts w:ascii="Times New Roman" w:cs="Times New Roman" w:eastAsia="Times New Roman" w:hAnsi="Times New Roman"/>
                <w:sz w:val="17"/>
                <w:szCs w:val="17"/>
                <w:color w:val="auto"/>
                <w:w w:val="99"/>
              </w:rPr>
              <w:t>Quoted</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72" w:lineRule="exact"/>
              <w:rPr>
                <w:sz w:val="20"/>
                <w:szCs w:val="20"/>
                <w:color w:val="auto"/>
              </w:rPr>
            </w:pPr>
            <w:r>
              <w:rPr>
                <w:rFonts w:ascii="Times New Roman" w:cs="Times New Roman" w:eastAsia="Times New Roman" w:hAnsi="Times New Roman"/>
                <w:sz w:val="17"/>
                <w:szCs w:val="17"/>
                <w:color w:val="auto"/>
              </w:rPr>
              <w:t>Prices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74"/>
              <w:spacing w:after="0" w:line="167" w:lineRule="exact"/>
              <w:rPr>
                <w:sz w:val="20"/>
                <w:szCs w:val="20"/>
                <w:color w:val="auto"/>
              </w:rPr>
            </w:pPr>
            <w:r>
              <w:rPr>
                <w:rFonts w:ascii="Times New Roman" w:cs="Times New Roman" w:eastAsia="Times New Roman" w:hAnsi="Times New Roman"/>
                <w:sz w:val="17"/>
                <w:szCs w:val="17"/>
                <w:color w:val="auto"/>
                <w:w w:val="98"/>
              </w:rPr>
              <w:t>in Active</w:t>
            </w:r>
          </w:p>
        </w:tc>
        <w:tc>
          <w:tcPr>
            <w:tcW w:w="140" w:type="dxa"/>
            <w:vAlign w:val="bottom"/>
          </w:tcPr>
          <w:p>
            <w:pPr>
              <w:spacing w:after="0"/>
              <w:rPr>
                <w:sz w:val="14"/>
                <w:szCs w:val="14"/>
                <w:color w:val="auto"/>
              </w:rPr>
            </w:pPr>
          </w:p>
        </w:tc>
        <w:tc>
          <w:tcPr>
            <w:tcW w:w="13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200" w:type="dxa"/>
            <w:vAlign w:val="bottom"/>
          </w:tcPr>
          <w:p>
            <w:pPr>
              <w:spacing w:after="0"/>
              <w:rPr>
                <w:sz w:val="14"/>
                <w:szCs w:val="14"/>
                <w:color w:val="auto"/>
              </w:rPr>
            </w:pPr>
          </w:p>
        </w:tc>
        <w:tc>
          <w:tcPr>
            <w:tcW w:w="1160" w:type="dxa"/>
            <w:vAlign w:val="bottom"/>
            <w:vMerge w:val="restart"/>
          </w:tcPr>
          <w:p>
            <w:pPr>
              <w:jc w:val="center"/>
              <w:ind w:right="114"/>
              <w:spacing w:after="0"/>
              <w:rPr>
                <w:sz w:val="20"/>
                <w:szCs w:val="20"/>
                <w:color w:val="auto"/>
              </w:rPr>
            </w:pPr>
            <w:r>
              <w:rPr>
                <w:rFonts w:ascii="Times New Roman" w:cs="Times New Roman" w:eastAsia="Times New Roman" w:hAnsi="Times New Roman"/>
                <w:sz w:val="17"/>
                <w:szCs w:val="17"/>
                <w:color w:val="auto"/>
              </w:rPr>
              <w:t>Significant</w:t>
            </w:r>
          </w:p>
        </w:tc>
        <w:tc>
          <w:tcPr>
            <w:tcW w:w="0" w:type="dxa"/>
            <w:vAlign w:val="bottom"/>
          </w:tcPr>
          <w:p>
            <w:pPr>
              <w:spacing w:after="0"/>
              <w:rPr>
                <w:sz w:val="1"/>
                <w:szCs w:val="1"/>
                <w:color w:val="auto"/>
              </w:rPr>
            </w:pPr>
          </w:p>
        </w:tc>
      </w:tr>
      <w:tr>
        <w:trPr>
          <w:trHeight w:val="177"/>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94"/>
              <w:spacing w:after="0" w:line="177" w:lineRule="exact"/>
              <w:rPr>
                <w:sz w:val="20"/>
                <w:szCs w:val="20"/>
                <w:color w:val="auto"/>
              </w:rPr>
            </w:pPr>
            <w:r>
              <w:rPr>
                <w:rFonts w:ascii="Times New Roman" w:cs="Times New Roman" w:eastAsia="Times New Roman" w:hAnsi="Times New Roman"/>
                <w:sz w:val="17"/>
                <w:szCs w:val="17"/>
                <w:color w:val="auto"/>
              </w:rPr>
              <w:t>Markets</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color w:val="auto"/>
              </w:rPr>
              <w:t>Recorded</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72" w:lineRule="exact"/>
              <w:rPr>
                <w:sz w:val="20"/>
                <w:szCs w:val="20"/>
                <w:color w:val="auto"/>
              </w:rPr>
            </w:pPr>
            <w:r>
              <w:rPr>
                <w:rFonts w:ascii="Times New Roman" w:cs="Times New Roman" w:eastAsia="Times New Roman" w:hAnsi="Times New Roman"/>
                <w:sz w:val="17"/>
                <w:szCs w:val="17"/>
                <w:color w:val="auto"/>
              </w:rPr>
              <w:t>for</w:t>
            </w:r>
          </w:p>
        </w:tc>
        <w:tc>
          <w:tcPr>
            <w:tcW w:w="140" w:type="dxa"/>
            <w:vAlign w:val="bottom"/>
          </w:tcPr>
          <w:p>
            <w:pPr>
              <w:spacing w:after="0"/>
              <w:rPr>
                <w:sz w:val="14"/>
                <w:szCs w:val="14"/>
                <w:color w:val="auto"/>
              </w:rPr>
            </w:pPr>
          </w:p>
        </w:tc>
        <w:tc>
          <w:tcPr>
            <w:tcW w:w="13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Other</w:t>
            </w:r>
          </w:p>
        </w:tc>
        <w:tc>
          <w:tcPr>
            <w:tcW w:w="200" w:type="dxa"/>
            <w:vAlign w:val="bottom"/>
          </w:tcPr>
          <w:p>
            <w:pPr>
              <w:spacing w:after="0"/>
              <w:rPr>
                <w:sz w:val="14"/>
                <w:szCs w:val="14"/>
                <w:color w:val="auto"/>
              </w:rPr>
            </w:pPr>
          </w:p>
        </w:tc>
        <w:tc>
          <w:tcPr>
            <w:tcW w:w="1160" w:type="dxa"/>
            <w:vAlign w:val="bottom"/>
          </w:tcPr>
          <w:p>
            <w:pPr>
              <w:jc w:val="center"/>
              <w:ind w:right="114"/>
              <w:spacing w:after="0" w:line="172" w:lineRule="exact"/>
              <w:rPr>
                <w:sz w:val="20"/>
                <w:szCs w:val="20"/>
                <w:color w:val="auto"/>
              </w:rPr>
            </w:pPr>
            <w:r>
              <w:rPr>
                <w:rFonts w:ascii="Times New Roman" w:cs="Times New Roman" w:eastAsia="Times New Roman" w:hAnsi="Times New Roman"/>
                <w:sz w:val="17"/>
                <w:szCs w:val="17"/>
                <w:color w:val="auto"/>
              </w:rPr>
              <w:t>Un-</w:t>
            </w:r>
          </w:p>
        </w:tc>
        <w:tc>
          <w:tcPr>
            <w:tcW w:w="0" w:type="dxa"/>
            <w:vAlign w:val="bottom"/>
          </w:tcPr>
          <w:p>
            <w:pPr>
              <w:spacing w:after="0"/>
              <w:rPr>
                <w:sz w:val="1"/>
                <w:szCs w:val="1"/>
                <w:color w:val="auto"/>
              </w:rPr>
            </w:pPr>
          </w:p>
        </w:tc>
      </w:tr>
      <w:tr>
        <w:trPr>
          <w:trHeight w:val="168"/>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Identical</w:t>
            </w:r>
          </w:p>
        </w:tc>
        <w:tc>
          <w:tcPr>
            <w:tcW w:w="140" w:type="dxa"/>
            <w:vAlign w:val="bottom"/>
          </w:tcPr>
          <w:p>
            <w:pPr>
              <w:spacing w:after="0"/>
              <w:rPr>
                <w:sz w:val="14"/>
                <w:szCs w:val="14"/>
                <w:color w:val="auto"/>
              </w:rPr>
            </w:pPr>
          </w:p>
        </w:tc>
        <w:tc>
          <w:tcPr>
            <w:tcW w:w="1360" w:type="dxa"/>
            <w:vAlign w:val="bottom"/>
          </w:tcPr>
          <w:p>
            <w:pPr>
              <w:jc w:val="center"/>
              <w:ind w:right="9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20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Times New Roman" w:cs="Times New Roman" w:eastAsia="Times New Roman" w:hAnsi="Times New Roman"/>
                <w:sz w:val="17"/>
                <w:szCs w:val="17"/>
                <w:color w:val="auto"/>
              </w:rPr>
              <w:t>observable</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color w:val="auto"/>
              </w:rPr>
              <w:t>Book</w:t>
            </w:r>
          </w:p>
        </w:tc>
        <w:tc>
          <w:tcPr>
            <w:tcW w:w="280" w:type="dxa"/>
            <w:vAlign w:val="bottom"/>
          </w:tcPr>
          <w:p>
            <w:pPr>
              <w:spacing w:after="0"/>
              <w:rPr>
                <w:sz w:val="15"/>
                <w:szCs w:val="15"/>
                <w:color w:val="auto"/>
              </w:rPr>
            </w:pPr>
          </w:p>
        </w:tc>
        <w:tc>
          <w:tcPr>
            <w:tcW w:w="1220" w:type="dxa"/>
            <w:vAlign w:val="bottom"/>
            <w:vMerge w:val="restart"/>
          </w:tcPr>
          <w:p>
            <w:pPr>
              <w:jc w:val="right"/>
              <w:ind w:right="314"/>
              <w:spacing w:after="0"/>
              <w:rPr>
                <w:sz w:val="20"/>
                <w:szCs w:val="20"/>
                <w:color w:val="auto"/>
              </w:rPr>
            </w:pPr>
            <w:r>
              <w:rPr>
                <w:rFonts w:ascii="Times New Roman" w:cs="Times New Roman" w:eastAsia="Times New Roman" w:hAnsi="Times New Roman"/>
                <w:sz w:val="17"/>
                <w:szCs w:val="17"/>
                <w:color w:val="auto"/>
              </w:rPr>
              <w:t>Fair Value</w:t>
            </w:r>
          </w:p>
        </w:tc>
        <w:tc>
          <w:tcPr>
            <w:tcW w:w="120" w:type="dxa"/>
            <w:vAlign w:val="bottom"/>
          </w:tcPr>
          <w:p>
            <w:pPr>
              <w:spacing w:after="0"/>
              <w:rPr>
                <w:sz w:val="15"/>
                <w:szCs w:val="15"/>
                <w:color w:val="auto"/>
              </w:rPr>
            </w:pPr>
          </w:p>
        </w:tc>
        <w:tc>
          <w:tcPr>
            <w:tcW w:w="1300" w:type="dxa"/>
            <w:vAlign w:val="bottom"/>
          </w:tcPr>
          <w:p>
            <w:pPr>
              <w:jc w:val="center"/>
              <w:ind w:right="74"/>
              <w:spacing w:after="0" w:line="181" w:lineRule="exact"/>
              <w:rPr>
                <w:sz w:val="20"/>
                <w:szCs w:val="20"/>
                <w:color w:val="auto"/>
              </w:rPr>
            </w:pPr>
            <w:r>
              <w:rPr>
                <w:rFonts w:ascii="Times New Roman" w:cs="Times New Roman" w:eastAsia="Times New Roman" w:hAnsi="Times New Roman"/>
                <w:sz w:val="17"/>
                <w:szCs w:val="17"/>
                <w:color w:val="auto"/>
              </w:rPr>
              <w:t>Assets</w:t>
            </w:r>
          </w:p>
        </w:tc>
        <w:tc>
          <w:tcPr>
            <w:tcW w:w="140" w:type="dxa"/>
            <w:vAlign w:val="bottom"/>
          </w:tcPr>
          <w:p>
            <w:pPr>
              <w:spacing w:after="0"/>
              <w:rPr>
                <w:sz w:val="15"/>
                <w:szCs w:val="15"/>
                <w:color w:val="auto"/>
              </w:rPr>
            </w:pPr>
          </w:p>
        </w:tc>
        <w:tc>
          <w:tcPr>
            <w:tcW w:w="1360" w:type="dxa"/>
            <w:vAlign w:val="bottom"/>
          </w:tcPr>
          <w:p>
            <w:pPr>
              <w:jc w:val="center"/>
              <w:ind w:right="94"/>
              <w:spacing w:after="0" w:line="181" w:lineRule="exact"/>
              <w:rPr>
                <w:sz w:val="20"/>
                <w:szCs w:val="20"/>
                <w:color w:val="auto"/>
              </w:rPr>
            </w:pPr>
            <w:r>
              <w:rPr>
                <w:rFonts w:ascii="Times New Roman" w:cs="Times New Roman" w:eastAsia="Times New Roman" w:hAnsi="Times New Roman"/>
                <w:sz w:val="17"/>
                <w:szCs w:val="17"/>
                <w:color w:val="auto"/>
                <w:w w:val="98"/>
              </w:rPr>
              <w:t>Inputs</w:t>
            </w:r>
          </w:p>
        </w:tc>
        <w:tc>
          <w:tcPr>
            <w:tcW w:w="200" w:type="dxa"/>
            <w:vAlign w:val="bottom"/>
          </w:tcPr>
          <w:p>
            <w:pPr>
              <w:spacing w:after="0"/>
              <w:rPr>
                <w:sz w:val="15"/>
                <w:szCs w:val="15"/>
                <w:color w:val="auto"/>
              </w:rPr>
            </w:pPr>
          </w:p>
        </w:tc>
        <w:tc>
          <w:tcPr>
            <w:tcW w:w="1160" w:type="dxa"/>
            <w:vAlign w:val="bottom"/>
          </w:tcPr>
          <w:p>
            <w:pPr>
              <w:jc w:val="center"/>
              <w:ind w:right="114"/>
              <w:spacing w:after="0" w:line="181" w:lineRule="exact"/>
              <w:rPr>
                <w:sz w:val="20"/>
                <w:szCs w:val="20"/>
                <w:color w:val="auto"/>
              </w:rPr>
            </w:pPr>
            <w:r>
              <w:rPr>
                <w:rFonts w:ascii="Times New Roman" w:cs="Times New Roman" w:eastAsia="Times New Roman" w:hAnsi="Times New Roman"/>
                <w:sz w:val="17"/>
                <w:szCs w:val="17"/>
                <w:color w:val="auto"/>
              </w:rPr>
              <w:t>Inputs</w:t>
            </w:r>
          </w:p>
        </w:tc>
        <w:tc>
          <w:tcPr>
            <w:tcW w:w="0" w:type="dxa"/>
            <w:vAlign w:val="bottom"/>
          </w:tcPr>
          <w:p>
            <w:pPr>
              <w:spacing w:after="0"/>
              <w:rPr>
                <w:sz w:val="1"/>
                <w:szCs w:val="1"/>
                <w:color w:val="auto"/>
              </w:rPr>
            </w:pPr>
          </w:p>
        </w:tc>
      </w:tr>
      <w:tr>
        <w:trPr>
          <w:trHeight w:val="219"/>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7"/>
                <w:szCs w:val="17"/>
                <w:color w:val="auto"/>
              </w:rPr>
              <w:t>Balance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8"/>
              </w:rPr>
              <w:t>(Level 1)</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(Level 3)</w:t>
            </w: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(In thousands)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September 30, 2024</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61,503</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61,503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61,503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60,057</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60,057</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60,057</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588,950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588,950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588,950</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343,362</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314,638</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314,638</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16,099</w:t>
            </w:r>
          </w:p>
        </w:tc>
        <w:tc>
          <w:tcPr>
            <w:tcW w:w="28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3,898,872</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3,732,864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14,029</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3,718,835</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18,809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18,809</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134</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5,339</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13,336</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38,774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38,774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38,774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5"/>
        </w:trPr>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3,850,142</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3,850,142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3,850,142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776,733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775,042</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775,042</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39,567</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39,687</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39,687</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39,779</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39,733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39,733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4,215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4,215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427</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3,788</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24,056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24,056</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24,056</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68,208</w:t>
            </w:r>
          </w:p>
        </w:tc>
        <w:tc>
          <w:tcPr>
            <w:tcW w:w="2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68,208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68,208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101,573</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101,573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101,573</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679,350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679,350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679,350</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353,988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318,606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318,606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Federal Home Loan Bank and Federal</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Reserve Bank Stock</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16,821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NA</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loans and loans held for sale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3,748,306</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3,453,790</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12,063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3,441,727</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Accrued interest receivable</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19,044</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19,044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58</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6,486</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38,683</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38,683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Deposits with no stated maturity (1)</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3,704,808</w:t>
            </w:r>
          </w:p>
        </w:tc>
        <w:tc>
          <w:tcPr>
            <w:tcW w:w="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3,704,808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3,704,808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Deposits with stated maturity (1)</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918,071</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914,404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914,404</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50,026</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49,831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49,831</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Subordinated debt</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39,510</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40,352</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40,352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Subordinated debentures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39,728</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38,103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38,103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interest payable</w:t>
            </w:r>
          </w:p>
        </w:tc>
        <w:tc>
          <w:tcPr>
            <w:tcW w:w="24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6,534</w:t>
            </w:r>
          </w:p>
        </w:tc>
        <w:tc>
          <w:tcPr>
            <w:tcW w:w="28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6,534</w:t>
            </w:r>
          </w:p>
        </w:tc>
        <w:tc>
          <w:tcPr>
            <w:tcW w:w="12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482</w:t>
            </w:r>
          </w:p>
        </w:tc>
        <w:tc>
          <w:tcPr>
            <w:tcW w:w="140" w:type="dxa"/>
            <w:vAlign w:val="bottom"/>
          </w:tcPr>
          <w:p>
            <w:pPr>
              <w:spacing w:after="0"/>
              <w:rPr>
                <w:sz w:val="20"/>
                <w:szCs w:val="20"/>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6,052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1"/>
        </w:trPr>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Derivative financial instruments</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21,835</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21,835</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left="580" w:right="20" w:hanging="560"/>
        <w:spacing w:after="0" w:line="233" w:lineRule="auto"/>
        <w:tabs>
          <w:tab w:leader="none" w:pos="580" w:val="left"/>
        </w:tabs>
        <w:numPr>
          <w:ilvl w:val="0"/>
          <w:numId w:val="2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3"/>
          <w:szCs w:val="13"/>
          <w:color w:val="auto"/>
        </w:rPr>
        <w:t>Deposits with no stated maturity include reciprocal deposits with a recorded book balance of $878.832 million and $723.014 million at September 30, 2024 and December 31, 2023, respectively. Deposits with a stated maturity include reciprocal deposits with a recorded book balance of $116.637 million and $109.006 million at September 30, 2024 and December 31, 2023,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The fair values for commitments to extend credit and standby letters of credit are estimated to approximate their aggregate book balance, which is nominal and therefore are not disclosed.</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11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left="380" w:hanging="377"/>
        <w:spacing w:after="0"/>
        <w:tabs>
          <w:tab w:leader="none" w:pos="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Contingencies</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 rates, foreign currency exchange rate fluctuations, recent adverse weather conditions, the continuation of the Russia-Ukraine and Middle East wars, the pending Presidential and Congressional elections, and potential governmental responses to these events, continue to create significant economic uncertainty.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Visa Stock</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Each Class C share automatically converts to 4 shares of Visa Inc. Class A common stock upon a transfer to anyone other than a Visa member or an affiliate of a Visa member. The Class B-2 shares have the same transfer restrictions as the transfer restrictions on the Class B-1 shares and can only be sold to other Class B shareholders.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Because of the very limited liquidity for the Class B-1 shares (prior to completion of the exchange offer) and uncertainty regarding the likelihood, ultimate timing, and eventual exchange rate for Class B-1 shares into Class A shares, we were carrying these shares at zero, representing cost basis less impairment. In light of the continued uncertainty regarding the likelihood, ultimate timing, and eventual exchange rate for Class B-2 shares into Class A shares, we are carrying the Class B-2 shares at zero, representing cost basis less impairment.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completion of the exchange, we recorded a gain related to the Class C shares of $2.677 million during the second quarter of 2024 based on the conversion privilege of those shares and the closing price of the Class A shares on May 3, 2024 (the exchange expiration date) of $268.49 per share. Subsequent to the exchange, we sold all 2,493 shares of our Class C shares for net proceeds of $2.685 million. We held no Class C shares at September 30, 2024.</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a condition to our participation in the exchange offer, we were required to enter into a Makewhole Agreement that will require us to reimburse Visa in certain circumstances if certain litigation in which Visa has been involved since 2008 results in damages significantly higher than Visa currently expects. Potential payments under the Makewhole Agreement are designed to equal the decline in value we would have experienced had we not participated in Visa’s exchange offer. Based on the disclosures that have been made by Visa regarding the status of this litigation and other circumstances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relating to the exchange offer and potential future, similar exchange offers, we believe the likelihood we will have to make any payments under the Makewhole Agreement is remote.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ind w:right="6760" w:firstLine="3"/>
        <w:spacing w:after="0" w:line="498" w:lineRule="auto"/>
        <w:tabs>
          <w:tab w:leader="none" w:pos="38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Accumulated Other Comprehensive Loss (“AOCL”) </w:t>
      </w:r>
      <w:r>
        <w:rPr>
          <w:rFonts w:ascii="Times New Roman" w:cs="Times New Roman" w:eastAsia="Times New Roman" w:hAnsi="Times New Roman"/>
          <w:sz w:val="17"/>
          <w:szCs w:val="17"/>
          <w:color w:val="auto"/>
        </w:rPr>
        <w:t>A summary of changes in AOCL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Unrealized</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Dispropor-</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Losses on</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tionate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Unrealized</w:t>
            </w: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Tax Effects</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Unrealized Gains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Transferred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from</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(Losses) 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8"/>
              </w:rPr>
              <w:t>Securities</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to Securities</w:t>
            </w:r>
          </w:p>
        </w:tc>
        <w:tc>
          <w:tcPr>
            <w:tcW w:w="12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Derivative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8"/>
        </w:trPr>
        <w:tc>
          <w:tcPr>
            <w:tcW w:w="40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AFS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HTM (1)</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AFS</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Instruments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rPr>
              <w:t>Total</w:t>
            </w:r>
          </w:p>
        </w:tc>
      </w:tr>
      <w:tr>
        <w:trPr>
          <w:trHeight w:val="216"/>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 the three months ended September 30,</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w:t>
            </w:r>
          </w:p>
        </w:tc>
        <w:tc>
          <w:tcPr>
            <w:tcW w:w="10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(70,828)</w:t>
            </w:r>
          </w:p>
        </w:tc>
      </w:tr>
      <w:tr>
        <w:trPr>
          <w:trHeight w:val="20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12,154</w:t>
            </w:r>
          </w:p>
        </w:tc>
      </w:tr>
      <w:tr>
        <w:trPr>
          <w:trHeight w:val="239"/>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r>
      <w:tr>
        <w:trPr>
          <w:trHeight w:val="189"/>
        </w:trPr>
        <w:tc>
          <w:tcPr>
            <w:tcW w:w="4040" w:type="dxa"/>
            <w:vAlign w:val="bottom"/>
            <w:tcBorders>
              <w:top w:val="single" w:sz="8" w:color="CCEEFF"/>
            </w:tcBorders>
            <w:shd w:val="clear" w:color="auto" w:fill="CCEEFF"/>
          </w:tcPr>
          <w:p>
            <w:pPr>
              <w:ind w:left="640"/>
              <w:spacing w:after="0" w:line="189"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6"/>
        </w:trPr>
        <w:tc>
          <w:tcPr>
            <w:tcW w:w="4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12,576</w:t>
            </w: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(40,028)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(58,252)</w:t>
            </w: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
        </w:trPr>
        <w:tc>
          <w:tcPr>
            <w:tcW w:w="40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r>
      <w:tr>
        <w:trPr>
          <w:trHeight w:val="239"/>
        </w:trPr>
        <w:tc>
          <w:tcPr>
            <w:tcW w:w="4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(80,510)</w:t>
            </w:r>
          </w:p>
        </w:tc>
      </w:tr>
      <w:tr>
        <w:trPr>
          <w:trHeight w:val="203"/>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(11,851)</w:t>
            </w:r>
          </w:p>
        </w:tc>
      </w:tr>
      <w:tr>
        <w:trPr>
          <w:trHeight w:val="251"/>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183"/>
        </w:trPr>
        <w:tc>
          <w:tcPr>
            <w:tcW w:w="4040" w:type="dxa"/>
            <w:vAlign w:val="bottom"/>
          </w:tcPr>
          <w:p>
            <w:pPr>
              <w:ind w:left="64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404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(11,794)</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(92,304)</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4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nine months ended September 30,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(72,142)</w:t>
            </w:r>
          </w:p>
        </w:tc>
      </w:tr>
      <w:tr>
        <w:trPr>
          <w:trHeight w:val="203"/>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12,769</w:t>
            </w:r>
          </w:p>
        </w:tc>
      </w:tr>
      <w:tr>
        <w:trPr>
          <w:trHeight w:val="251"/>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w:t>
            </w:r>
          </w:p>
        </w:tc>
      </w:tr>
      <w:tr>
        <w:trPr>
          <w:trHeight w:val="183"/>
        </w:trPr>
        <w:tc>
          <w:tcPr>
            <w:tcW w:w="4040" w:type="dxa"/>
            <w:vAlign w:val="bottom"/>
          </w:tcPr>
          <w:p>
            <w:pPr>
              <w:ind w:left="480"/>
              <w:spacing w:after="0" w:line="183"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r>
      <w:tr>
        <w:trPr>
          <w:trHeight w:val="229"/>
        </w:trPr>
        <w:tc>
          <w:tcPr>
            <w:tcW w:w="404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13,890</w:t>
            </w:r>
          </w:p>
        </w:tc>
      </w:tr>
      <w:tr>
        <w:trPr>
          <w:trHeight w:val="263"/>
        </w:trPr>
        <w:tc>
          <w:tcPr>
            <w:tcW w:w="4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(58,252)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4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9"/>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(68,742)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(92,763)</w:t>
            </w:r>
          </w:p>
        </w:tc>
      </w:tr>
      <w:tr>
        <w:trPr>
          <w:trHeight w:val="209"/>
        </w:trPr>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reclassifications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39"/>
        </w:trPr>
        <w:tc>
          <w:tcPr>
            <w:tcW w:w="4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Amounts reclassified from AOCL</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4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189"/>
        </w:trPr>
        <w:tc>
          <w:tcPr>
            <w:tcW w:w="4040" w:type="dxa"/>
            <w:vAlign w:val="bottom"/>
            <w:tcBorders>
              <w:top w:val="single" w:sz="8" w:color="CCEEFF"/>
            </w:tcBorders>
            <w:shd w:val="clear" w:color="auto" w:fill="CCEEFF"/>
          </w:tcPr>
          <w:p>
            <w:pPr>
              <w:ind w:left="480"/>
              <w:spacing w:after="0" w:line="189" w:lineRule="exact"/>
              <w:rPr>
                <w:sz w:val="20"/>
                <w:szCs w:val="20"/>
                <w:color w:val="auto"/>
              </w:rPr>
            </w:pPr>
            <w:r>
              <w:rPr>
                <w:rFonts w:ascii="Times New Roman" w:cs="Times New Roman" w:eastAsia="Times New Roman" w:hAnsi="Times New Roman"/>
                <w:sz w:val="17"/>
                <w:szCs w:val="17"/>
                <w:color w:val="auto"/>
              </w:rPr>
              <w:t>Net current period other comprehensive income</w:t>
            </w: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36"/>
        </w:trPr>
        <w:tc>
          <w:tcPr>
            <w:tcW w:w="4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(loss)</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r>
      <w:tr>
        <w:trPr>
          <w:trHeight w:val="232"/>
        </w:trPr>
        <w:tc>
          <w:tcPr>
            <w:tcW w:w="4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(69,825)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(16,115)</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(5,798)</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(92,304)</w:t>
            </w:r>
          </w:p>
        </w:tc>
      </w:tr>
      <w:tr>
        <w:trPr>
          <w:trHeight w:val="25"/>
        </w:trPr>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41" w:lineRule="exact"/>
        <w:rPr>
          <w:sz w:val="20"/>
          <w:szCs w:val="20"/>
          <w:color w:val="auto"/>
        </w:rPr>
      </w:pPr>
    </w:p>
    <w:p>
      <w:pPr>
        <w:ind w:left="5700" w:right="1720" w:hanging="5697"/>
        <w:spacing w:after="0" w:line="983" w:lineRule="auto"/>
        <w:tabs>
          <w:tab w:leader="none" w:pos="31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remaining unrealized loss to be accreted on securities that were transferred from AFS to HTM on April 1, 2022.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-330835</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320" w:top="119" w:right="8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AOCL as long as we carry a more than inconsequential portfolio of securities AFS.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three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(145)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60" w:hanging="1079"/>
        <w:spacing w:after="0"/>
        <w:tabs>
          <w:tab w:leader="none" w:pos="59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  Interest income</w:t>
      </w:r>
    </w:p>
    <w:p>
      <w:pPr>
        <w:spacing w:after="0" w:line="4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82</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(422)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Net losses on securities available for sale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6080" w:val="left"/>
          <w:tab w:leader="none" w:pos="64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tab/>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100" w:hanging="1219"/>
        <w:spacing w:after="0"/>
        <w:tabs>
          <w:tab w:leader="none" w:pos="61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  Interest income</w:t>
      </w:r>
    </w:p>
    <w:p>
      <w:pPr>
        <w:spacing w:after="0" w:line="49" w:lineRule="exact"/>
        <w:rPr>
          <w:rFonts w:ascii="Times New Roman" w:cs="Times New Roman" w:eastAsia="Times New Roman" w:hAnsi="Times New Roman"/>
          <w:sz w:val="17"/>
          <w:szCs w:val="17"/>
          <w:color w:val="auto"/>
        </w:rPr>
      </w:pPr>
    </w:p>
    <w:p>
      <w:pPr>
        <w:ind w:left="6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100" w:hanging="1219"/>
        <w:spacing w:after="0"/>
        <w:tabs>
          <w:tab w:leader="none" w:pos="61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60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(57)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reclassifications out of each component of AOCL for the nine months ended September 30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Amount</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Reclassified</w:t>
            </w:r>
          </w:p>
        </w:tc>
        <w:tc>
          <w:tcPr>
            <w:tcW w:w="4780" w:type="dxa"/>
            <w:vAlign w:val="bottom"/>
          </w:tcPr>
          <w:p>
            <w:pPr>
              <w:spacing w:after="0"/>
              <w:rPr>
                <w:sz w:val="17"/>
                <w:szCs w:val="17"/>
                <w:color w:val="auto"/>
              </w:rPr>
            </w:pPr>
          </w:p>
        </w:tc>
      </w:tr>
      <w:tr>
        <w:trPr>
          <w:trHeight w:val="206"/>
        </w:trPr>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From</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Affected Line Item in Condensed</w:t>
            </w:r>
          </w:p>
        </w:tc>
      </w:tr>
      <w:tr>
        <w:trPr>
          <w:trHeight w:val="242"/>
        </w:trPr>
        <w:tc>
          <w:tcPr>
            <w:tcW w:w="4860" w:type="dxa"/>
            <w:vAlign w:val="bottom"/>
            <w:gridSpan w:val="2"/>
          </w:tcPr>
          <w:p>
            <w:pPr>
              <w:ind w:left="1680"/>
              <w:spacing w:after="0"/>
              <w:rPr>
                <w:sz w:val="20"/>
                <w:szCs w:val="20"/>
                <w:color w:val="auto"/>
              </w:rPr>
            </w:pPr>
            <w:r>
              <w:rPr>
                <w:rFonts w:ascii="Times New Roman" w:cs="Times New Roman" w:eastAsia="Times New Roman" w:hAnsi="Times New Roman"/>
                <w:sz w:val="17"/>
                <w:szCs w:val="17"/>
                <w:color w:val="auto"/>
              </w:rPr>
              <w:t>AOCL Component</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AOCL</w:t>
            </w:r>
          </w:p>
        </w:tc>
        <w:tc>
          <w:tcPr>
            <w:tcW w:w="4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w:t>
            </w:r>
          </w:p>
        </w:tc>
      </w:tr>
      <w:tr>
        <w:trPr>
          <w:trHeight w:val="222"/>
        </w:trPr>
        <w:tc>
          <w:tcPr>
            <w:tcW w:w="4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(In thousands)</w:t>
            </w:r>
          </w:p>
        </w:tc>
        <w:tc>
          <w:tcPr>
            <w:tcW w:w="100" w:type="dxa"/>
            <w:vAlign w:val="bottom"/>
          </w:tcPr>
          <w:p>
            <w:pPr>
              <w:spacing w:after="0"/>
              <w:rPr>
                <w:sz w:val="19"/>
                <w:szCs w:val="19"/>
                <w:color w:val="auto"/>
              </w:rPr>
            </w:pPr>
          </w:p>
        </w:tc>
        <w:tc>
          <w:tcPr>
            <w:tcW w:w="4780" w:type="dxa"/>
            <w:vAlign w:val="bottom"/>
            <w:tcBorders>
              <w:top w:val="single" w:sz="8" w:color="auto"/>
            </w:tcBorders>
          </w:tcPr>
          <w:p>
            <w:pPr>
              <w:spacing w:after="0"/>
              <w:rPr>
                <w:sz w:val="19"/>
                <w:szCs w:val="19"/>
                <w:color w:val="auto"/>
              </w:rPr>
            </w:pP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62" w:lineRule="exact"/>
        <w:rPr>
          <w:sz w:val="20"/>
          <w:szCs w:val="20"/>
          <w:color w:val="auto"/>
        </w:rPr>
      </w:pPr>
    </w:p>
    <w:p>
      <w:pPr>
        <w:ind w:left="5940" w:hanging="1059"/>
        <w:spacing w:after="0"/>
        <w:tabs>
          <w:tab w:leader="none" w:pos="59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(414)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22160" cy="163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00" w:hanging="1019"/>
        <w:spacing w:after="0"/>
        <w:tabs>
          <w:tab w:leader="none" w:pos="5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1,005  Interest income</w:t>
      </w:r>
    </w:p>
    <w:p>
      <w:pPr>
        <w:spacing w:after="0" w:line="49" w:lineRule="exact"/>
        <w:rPr>
          <w:rFonts w:ascii="Times New Roman" w:cs="Times New Roman" w:eastAsia="Times New Roman" w:hAnsi="Times New Roman"/>
          <w:sz w:val="17"/>
          <w:szCs w:val="17"/>
          <w:color w:val="auto"/>
        </w:rPr>
      </w:pPr>
    </w:p>
    <w:p>
      <w:pPr>
        <w:ind w:left="6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794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2160" cy="18034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8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(1,121)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7122160" cy="1555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22160" cy="15557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2023</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122160" cy="1555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(222)  Net losses on securities available for sale</w:t>
      </w:r>
    </w:p>
    <w:p>
      <w:pPr>
        <w:spacing w:after="0" w:line="49" w:lineRule="exact"/>
        <w:rPr>
          <w:rFonts w:ascii="Times New Roman" w:cs="Times New Roman" w:eastAsia="Times New Roman" w:hAnsi="Times New Roman"/>
          <w:sz w:val="17"/>
          <w:szCs w:val="17"/>
          <w:color w:val="auto"/>
        </w:rPr>
      </w:pPr>
    </w:p>
    <w:p>
      <w:pPr>
        <w:ind w:left="6460" w:hanging="426"/>
        <w:spacing w:after="0"/>
        <w:tabs>
          <w:tab w:leader="none" w:pos="646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63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42" w:lineRule="exact"/>
        <w:rPr>
          <w:sz w:val="20"/>
          <w:szCs w:val="20"/>
          <w:color w:val="auto"/>
        </w:rPr>
      </w:pPr>
    </w:p>
    <w:p>
      <w:pPr>
        <w:ind w:left="5940" w:hanging="1059"/>
        <w:spacing w:after="0"/>
        <w:tabs>
          <w:tab w:leader="none" w:pos="5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(175)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189230</wp:posOffset>
            </wp:positionV>
            <wp:extent cx="7122160" cy="163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Unrealized gains (losses) on derivative instruments</w:t>
      </w:r>
    </w:p>
    <w:p>
      <w:pPr>
        <w:spacing w:after="0" w:line="62" w:lineRule="exact"/>
        <w:rPr>
          <w:sz w:val="20"/>
          <w:szCs w:val="20"/>
          <w:color w:val="auto"/>
        </w:rPr>
      </w:pPr>
    </w:p>
    <w:p>
      <w:pPr>
        <w:ind w:left="6020" w:hanging="1139"/>
        <w:spacing w:after="0"/>
        <w:tabs>
          <w:tab w:leader="none" w:pos="60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224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55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22160" cy="155575"/>
                    </a:xfrm>
                    <a:prstGeom prst="rect">
                      <a:avLst/>
                    </a:prstGeom>
                    <a:noFill/>
                  </pic:spPr>
                </pic:pic>
              </a:graphicData>
            </a:graphic>
          </wp:anchor>
        </w:drawing>
      </w:r>
    </w:p>
    <w:p>
      <w:pPr>
        <w:spacing w:after="0" w:line="29" w:lineRule="exact"/>
        <w:rPr>
          <w:sz w:val="20"/>
          <w:szCs w:val="20"/>
          <w:color w:val="auto"/>
        </w:rPr>
      </w:pPr>
    </w:p>
    <w:p>
      <w:pPr>
        <w:ind w:left="6100"/>
        <w:spacing w:after="0"/>
        <w:tabs>
          <w:tab w:leader="none" w:pos="6440" w:val="left"/>
        </w:tabs>
        <w:rPr>
          <w:sz w:val="20"/>
          <w:szCs w:val="20"/>
          <w:color w:val="auto"/>
        </w:rPr>
      </w:pPr>
      <w:r>
        <w:rPr>
          <w:rFonts w:ascii="Times New Roman" w:cs="Times New Roman" w:eastAsia="Times New Roman" w:hAnsi="Times New Roman"/>
          <w:sz w:val="17"/>
          <w:szCs w:val="17"/>
          <w:color w:val="auto"/>
        </w:rPr>
        <w:t>47</w:t>
        <w:tab/>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42" w:lineRule="exact"/>
        <w:rPr>
          <w:sz w:val="20"/>
          <w:szCs w:val="20"/>
          <w:color w:val="auto"/>
        </w:rPr>
      </w:pPr>
    </w:p>
    <w:p>
      <w:pPr>
        <w:ind w:left="6020" w:hanging="1139"/>
        <w:spacing w:after="0"/>
        <w:tabs>
          <w:tab w:leader="none" w:pos="60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177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wp:posOffset>
            </wp:positionV>
            <wp:extent cx="7122160" cy="1720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22160" cy="172085"/>
                    </a:xfrm>
                    <a:prstGeom prst="rect">
                      <a:avLst/>
                    </a:prstGeom>
                    <a:noFill/>
                  </pic:spPr>
                </pic:pic>
              </a:graphicData>
            </a:graphic>
          </wp:anchor>
        </w:drawing>
      </w:r>
    </w:p>
    <w:p>
      <w:pPr>
        <w:spacing w:after="0" w:line="300" w:lineRule="exact"/>
        <w:rPr>
          <w:sz w:val="20"/>
          <w:szCs w:val="20"/>
          <w:color w:val="auto"/>
        </w:rPr>
      </w:pPr>
    </w:p>
    <w:p>
      <w:pPr>
        <w:ind w:left="4880"/>
        <w:spacing w:after="0"/>
        <w:tabs>
          <w:tab w:leader="none" w:pos="59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(352)  Total reclassifications for the period,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25400</wp:posOffset>
            </wp:positionV>
            <wp:extent cx="9417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1705" cy="825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50165</wp:posOffset>
            </wp:positionV>
            <wp:extent cx="9417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0" w:hanging="377"/>
        <w:spacing w:after="0"/>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Revenue from Contracts with Customers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87.1% and 86.6% of total revenues for the nine month periods ending September 30, 2024 and 2023, respectively.</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September 30, 2024 and December 31, 2023.</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u w:val="single" w:color="auto"/>
          <w:color w:val="auto"/>
        </w:rPr>
        <w:t>Service charges on deposit accounts and other deposit related income</w:t>
      </w:r>
      <w:r>
        <w:rPr>
          <w:rFonts w:ascii="Times New Roman" w:cs="Times New Roman" w:eastAsia="Times New Roman" w:hAnsi="Times New Roman"/>
          <w:sz w:val="17"/>
          <w:szCs w:val="17"/>
          <w:b w:val="1"/>
          <w:bCs w:val="1"/>
          <w:color w:val="auto"/>
          <w:highlight w:val="white"/>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Revenues are earned on depository accounts for commercial and retail customers and</w:t>
      </w:r>
      <w:r>
        <w:rPr>
          <w:rFonts w:ascii="Times New Roman" w:cs="Times New Roman" w:eastAsia="Times New Roman" w:hAnsi="Times New Roman"/>
          <w:sz w:val="17"/>
          <w:szCs w:val="17"/>
          <w:color w:val="auto"/>
        </w:rPr>
        <w:t xml:space="preserve">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Interchange income</w:t>
      </w:r>
      <w:r>
        <w:rPr>
          <w:rFonts w:ascii="Times New Roman" w:cs="Times New Roman" w:eastAsia="Times New Roman" w:hAnsi="Times New Roman"/>
          <w:sz w:val="17"/>
          <w:szCs w:val="17"/>
          <w:color w:val="auto"/>
          <w:highlight w:val="white"/>
        </w:rPr>
        <w:t>: Interchange income primarily includes debit card interchange and network revenues. Debit card interchange and network revenues are earned</w:t>
      </w:r>
      <w:r>
        <w:rPr>
          <w:rFonts w:ascii="Times New Roman" w:cs="Times New Roman" w:eastAsia="Times New Roman" w:hAnsi="Times New Roman"/>
          <w:sz w:val="17"/>
          <w:szCs w:val="17"/>
          <w:color w:val="auto"/>
        </w:rPr>
        <w:t xml:space="preserve">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u w:val="single" w:color="auto"/>
          <w:color w:val="auto"/>
        </w:rPr>
        <w:t>Investment and insurance commissions</w:t>
      </w:r>
      <w:r>
        <w:rPr>
          <w:rFonts w:ascii="Times New Roman" w:cs="Times New Roman" w:eastAsia="Times New Roman" w:hAnsi="Times New Roman"/>
          <w:sz w:val="17"/>
          <w:szCs w:val="17"/>
          <w:color w:val="auto"/>
          <w:highlight w:val="white"/>
        </w:rPr>
        <w:t>: Investment and insurance commissions include fees and commissions from asset management, custody, recordkeeping,</w:t>
      </w:r>
      <w:r>
        <w:rPr>
          <w:rFonts w:ascii="Times New Roman" w:cs="Times New Roman" w:eastAsia="Times New Roman" w:hAnsi="Times New Roman"/>
          <w:sz w:val="17"/>
          <w:szCs w:val="17"/>
          <w:color w:val="auto"/>
        </w:rPr>
        <w:t xml:space="preserve">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u w:val="single" w:color="auto"/>
          <w:color w:val="auto"/>
        </w:rPr>
        <w:t>Net (gains) losses on other real estate and repossessed assets</w:t>
      </w:r>
      <w:r>
        <w:rPr>
          <w:rFonts w:ascii="Times New Roman" w:cs="Times New Roman" w:eastAsia="Times New Roman" w:hAnsi="Times New Roman"/>
          <w:sz w:val="17"/>
          <w:szCs w:val="17"/>
          <w:color w:val="auto"/>
          <w:highlight w:val="white"/>
        </w:rPr>
        <w:t>: We record a gain or loss from the sale of other real estate when control of the property transfers to the</w:t>
      </w:r>
      <w:r>
        <w:rPr>
          <w:rFonts w:ascii="Times New Roman" w:cs="Times New Roman" w:eastAsia="Times New Roman" w:hAnsi="Times New Roman"/>
          <w:sz w:val="17"/>
          <w:szCs w:val="17"/>
          <w:color w:val="auto"/>
        </w:rPr>
        <w:t xml:space="preserv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nine month periods ending September 30, 2024 and 2023 that were financed by us.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Disaggregation of our revenue sources by attribute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Service</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w w:val="98"/>
              </w:rPr>
              <w:t>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4"/>
              <w:spacing w:after="0"/>
              <w:rPr>
                <w:sz w:val="20"/>
                <w:szCs w:val="20"/>
                <w:color w:val="auto"/>
              </w:rPr>
            </w:pPr>
            <w:r>
              <w:rPr>
                <w:rFonts w:ascii="Times New Roman" w:cs="Times New Roman" w:eastAsia="Times New Roman" w:hAnsi="Times New Roman"/>
                <w:sz w:val="17"/>
                <w:szCs w:val="17"/>
                <w:color w:val="auto"/>
              </w:rPr>
              <w:t>Charges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Deposit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Related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Accounts</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w w:val="97"/>
              </w:rPr>
              <w:t>Income</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Three months ending September 30, 2024</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8,836</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6"/>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Operations: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39"/>
        </w:trPr>
        <w:tc>
          <w:tcPr>
            <w:tcW w:w="40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64"/>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Service</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w w:val="98"/>
              </w:rPr>
              <w:t>Other</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Investment</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Charges</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Deposit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7"/>
              </w:rPr>
              <w:t>and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on Deposit</w:t>
            </w:r>
          </w:p>
        </w:tc>
        <w:tc>
          <w:tcPr>
            <w:tcW w:w="980" w:type="dxa"/>
            <w:vAlign w:val="bottom"/>
          </w:tcPr>
          <w:p>
            <w:pPr>
              <w:jc w:val="center"/>
              <w:ind w:left="274"/>
              <w:spacing w:after="0"/>
              <w:rPr>
                <w:sz w:val="20"/>
                <w:szCs w:val="20"/>
                <w:color w:val="auto"/>
              </w:rPr>
            </w:pPr>
            <w:r>
              <w:rPr>
                <w:rFonts w:ascii="Times New Roman" w:cs="Times New Roman" w:eastAsia="Times New Roman" w:hAnsi="Times New Roman"/>
                <w:sz w:val="17"/>
                <w:szCs w:val="17"/>
                <w:color w:val="auto"/>
              </w:rPr>
              <w:t>Related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9"/>
              </w:rPr>
              <w:t>Interchange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Insurance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2"/>
        </w:trPr>
        <w:tc>
          <w:tcPr>
            <w:tcW w:w="4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Accounts</w:t>
            </w:r>
          </w:p>
        </w:tc>
        <w:tc>
          <w:tcPr>
            <w:tcW w:w="98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7"/>
                <w:szCs w:val="17"/>
                <w:color w:val="auto"/>
                <w:w w:val="97"/>
              </w:rPr>
              <w:t>Income</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Income</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Three months ending September 30, 2023</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51"/>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r>
      <w:tr>
        <w:trPr>
          <w:trHeight w:val="251"/>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51"/>
        </w:trPr>
        <w:tc>
          <w:tcPr>
            <w:tcW w:w="40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9"/>
        </w:trPr>
        <w:tc>
          <w:tcPr>
            <w:tcW w:w="4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r>
      <w:tr>
        <w:trPr>
          <w:trHeight w:val="23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r>
      <w:tr>
        <w:trPr>
          <w:trHeight w:val="251"/>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51"/>
        </w:trPr>
        <w:tc>
          <w:tcPr>
            <w:tcW w:w="40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w:t>
            </w:r>
          </w:p>
        </w:tc>
      </w:tr>
      <w:tr>
        <w:trPr>
          <w:trHeight w:val="270"/>
        </w:trPr>
        <w:tc>
          <w:tcPr>
            <w:tcW w:w="4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2"/>
        </w:trPr>
        <w:tc>
          <w:tcPr>
            <w:tcW w:w="3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1,448</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w:t>
            </w:r>
          </w:p>
        </w:tc>
      </w:tr>
      <w:tr>
        <w:trPr>
          <w:trHeight w:val="245"/>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63"/>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24,307</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r>
      <w:tr>
        <w:trPr>
          <w:trHeight w:val="264"/>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65"/>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3,537</w:t>
            </w: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Service</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8"/>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Investment</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rPr>
              <w:t>Charges</w:t>
            </w:r>
          </w:p>
        </w:tc>
        <w:tc>
          <w:tcPr>
            <w:tcW w:w="28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Deposit</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9"/>
              </w:rPr>
              <w:t>on Deposit</w:t>
            </w:r>
          </w:p>
        </w:tc>
        <w:tc>
          <w:tcPr>
            <w:tcW w:w="28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color w:val="auto"/>
              </w:rPr>
              <w:t>Related</w:t>
            </w:r>
          </w:p>
        </w:tc>
        <w:tc>
          <w:tcPr>
            <w:tcW w:w="18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Interchange</w:t>
            </w:r>
          </w:p>
        </w:tc>
        <w:tc>
          <w:tcPr>
            <w:tcW w:w="20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9"/>
              </w:rPr>
              <w:t>Insurance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Accounts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7"/>
                <w:szCs w:val="17"/>
                <w:color w:val="auto"/>
                <w:w w:val="97"/>
              </w:rPr>
              <w:t>Income</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Income</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color w:val="auto"/>
              </w:rPr>
              <w:t>Commissions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Total</w:t>
            </w:r>
          </w:p>
        </w:tc>
      </w:tr>
      <w:tr>
        <w:trPr>
          <w:trHeight w:val="232"/>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Nine months ending September 30, 2023</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(In thousands)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Retail</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6,770</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 service charges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756</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Business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Overdraft fees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251"/>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ATM fees</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Interchange income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10,660</w:t>
            </w:r>
          </w:p>
        </w:tc>
      </w:tr>
      <w:tr>
        <w:trPr>
          <w:trHeight w:val="239"/>
        </w:trPr>
        <w:tc>
          <w:tcPr>
            <w:tcW w:w="35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 management revenue</w:t>
            </w:r>
          </w:p>
        </w:tc>
        <w:tc>
          <w:tcPr>
            <w:tcW w:w="2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w:t>
            </w:r>
          </w:p>
        </w:tc>
      </w:tr>
      <w:tr>
        <w:trPr>
          <w:trHeight w:val="251"/>
        </w:trPr>
        <w:tc>
          <w:tcPr>
            <w:tcW w:w="3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51"/>
        </w:trPr>
        <w:tc>
          <w:tcPr>
            <w:tcW w:w="35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7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10,660</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24,744</w:t>
            </w:r>
          </w:p>
        </w:tc>
      </w:tr>
      <w:tr>
        <w:trPr>
          <w:trHeight w:val="20"/>
        </w:trPr>
        <w:tc>
          <w:tcPr>
            <w:tcW w:w="496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5060" w:type="dxa"/>
            <w:vAlign w:val="bottom"/>
            <w:tcBorders>
              <w:bottom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Reconciliation to Condensed Consolidated Statement of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3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Non-interest income - other: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w:t>
            </w:r>
          </w:p>
        </w:tc>
      </w:tr>
      <w:tr>
        <w:trPr>
          <w:trHeight w:val="252"/>
        </w:trPr>
        <w:tc>
          <w:tcPr>
            <w:tcW w:w="35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w:t>
            </w:r>
          </w:p>
        </w:tc>
      </w:tr>
      <w:tr>
        <w:trPr>
          <w:trHeight w:val="251"/>
        </w:trPr>
        <w:tc>
          <w:tcPr>
            <w:tcW w:w="3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64"/>
        </w:trPr>
        <w:tc>
          <w:tcPr>
            <w:tcW w:w="35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Other (1)</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4,181</w:t>
            </w:r>
          </w:p>
        </w:tc>
      </w:tr>
      <w:tr>
        <w:trPr>
          <w:trHeight w:val="270"/>
        </w:trPr>
        <w:tc>
          <w:tcPr>
            <w:tcW w:w="35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9,298</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Leases</w:t>
      </w:r>
    </w:p>
    <w:p>
      <w:pPr>
        <w:spacing w:after="0" w:line="1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Leases are classified as operating or finance leases at the lease commencement date (we did not have any finance leases as of September 30, 2024).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INTERIM CONDENSED CONSOLIDATED FINANCIAL STATEMENTS (continued)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cost components of our operating leases follows: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09"/>
        </w:trPr>
        <w:tc>
          <w:tcPr>
            <w:tcW w:w="5040" w:type="dxa"/>
            <w:vAlign w:val="bottom"/>
          </w:tcPr>
          <w:p>
            <w:pPr>
              <w:spacing w:after="0"/>
              <w:rPr>
                <w:sz w:val="24"/>
                <w:szCs w:val="24"/>
                <w:color w:val="auto"/>
              </w:rPr>
            </w:pPr>
          </w:p>
        </w:tc>
        <w:tc>
          <w:tcPr>
            <w:tcW w:w="2580" w:type="dxa"/>
            <w:vAlign w:val="bottom"/>
            <w:gridSpan w:val="4"/>
          </w:tcPr>
          <w:p>
            <w:pPr>
              <w:jc w:val="center"/>
              <w:ind w:left="354"/>
              <w:spacing w:after="0"/>
              <w:rPr>
                <w:sz w:val="20"/>
                <w:szCs w:val="20"/>
                <w:color w:val="auto"/>
              </w:rPr>
            </w:pPr>
            <w:r>
              <w:rPr>
                <w:rFonts w:ascii="Times New Roman" w:cs="Times New Roman" w:eastAsia="Times New Roman" w:hAnsi="Times New Roman"/>
                <w:sz w:val="17"/>
                <w:szCs w:val="17"/>
                <w:color w:val="auto"/>
              </w:rPr>
              <w:t>Three Months Ended</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4"/>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23"/>
        </w:trPr>
        <w:tc>
          <w:tcPr>
            <w:tcW w:w="5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w w:val="99"/>
              </w:rPr>
              <w:t>September 30,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w w:val="99"/>
              </w:rPr>
              <w:t>September 30,</w:t>
            </w:r>
          </w:p>
        </w:tc>
        <w:tc>
          <w:tcPr>
            <w:tcW w:w="980" w:type="dxa"/>
            <w:vAlign w:val="bottom"/>
          </w:tcPr>
          <w:p>
            <w:pPr>
              <w:spacing w:after="0"/>
              <w:rPr>
                <w:sz w:val="19"/>
                <w:szCs w:val="19"/>
                <w:color w:val="auto"/>
              </w:rPr>
            </w:pPr>
          </w:p>
        </w:tc>
      </w:tr>
      <w:tr>
        <w:trPr>
          <w:trHeight w:val="264"/>
        </w:trPr>
        <w:tc>
          <w:tcPr>
            <w:tcW w:w="50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20" w:type="dxa"/>
            <w:vAlign w:val="bottom"/>
            <w:gridSpan w:val="3"/>
          </w:tcPr>
          <w:p>
            <w:pPr>
              <w:jc w:val="center"/>
              <w:ind w:right="434"/>
              <w:spacing w:after="0"/>
              <w:rPr>
                <w:sz w:val="20"/>
                <w:szCs w:val="20"/>
                <w:color w:val="auto"/>
              </w:rPr>
            </w:pPr>
            <w:r>
              <w:rPr>
                <w:rFonts w:ascii="Times New Roman" w:cs="Times New Roman" w:eastAsia="Times New Roman" w:hAnsi="Times New Roman"/>
                <w:sz w:val="17"/>
                <w:szCs w:val="17"/>
                <w:color w:val="auto"/>
              </w:rPr>
              <w:t>(In thousands)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554"/>
              <w:spacing w:after="0"/>
              <w:rPr>
                <w:sz w:val="20"/>
                <w:szCs w:val="20"/>
                <w:color w:val="auto"/>
              </w:rPr>
            </w:pPr>
            <w:r>
              <w:rPr>
                <w:rFonts w:ascii="Times New Roman" w:cs="Times New Roman" w:eastAsia="Times New Roman" w:hAnsi="Times New Roman"/>
                <w:sz w:val="17"/>
                <w:szCs w:val="17"/>
                <w:color w:val="auto"/>
              </w:rPr>
              <w:t>(In thousands)</w:t>
            </w:r>
          </w:p>
        </w:tc>
        <w:tc>
          <w:tcPr>
            <w:tcW w:w="980" w:type="dxa"/>
            <w:vAlign w:val="bottom"/>
          </w:tcPr>
          <w:p>
            <w:pPr>
              <w:spacing w:after="0"/>
              <w:rPr>
                <w:sz w:val="20"/>
                <w:szCs w:val="20"/>
                <w:color w:val="auto"/>
              </w:rPr>
            </w:pPr>
          </w:p>
        </w:tc>
      </w:tr>
      <w:tr>
        <w:trPr>
          <w:trHeight w:val="25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r>
      <w:tr>
        <w:trPr>
          <w:trHeight w:val="239"/>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4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44"/>
        </w:trPr>
        <w:tc>
          <w:tcPr>
            <w:tcW w:w="50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0"/>
        </w:trPr>
        <w:tc>
          <w:tcPr>
            <w:tcW w:w="5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balance sheet information related to our operating leases follows: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73"/>
        </w:trPr>
        <w:tc>
          <w:tcPr>
            <w:tcW w:w="7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38"/>
        </w:trPr>
        <w:tc>
          <w:tcPr>
            <w:tcW w:w="7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9"/>
        </w:trPr>
        <w:tc>
          <w:tcPr>
            <w:tcW w:w="7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right of use asset (1)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6,403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4,911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(2)</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6,620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5,114</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5"/>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income and other assets in our Condensed Consolidated Statements of Financial Condition.</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expenses and other liabilities in our Condensed Consolidated Statements of Financial Condition.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Maturity analysis of our lease liabilities at September 30, 2024 based on required contractual payments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8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ending December 31, 2024</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w:t>
            </w:r>
          </w:p>
        </w:tc>
        <w:tc>
          <w:tcPr>
            <w:tcW w:w="0" w:type="dxa"/>
            <w:vAlign w:val="bottom"/>
          </w:tcPr>
          <w:p>
            <w:pPr>
              <w:spacing w:after="0"/>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51"/>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 and thereafter</w:t>
            </w:r>
          </w:p>
        </w:tc>
        <w:tc>
          <w:tcPr>
            <w:tcW w:w="5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2,874</w:t>
            </w:r>
          </w:p>
        </w:tc>
        <w:tc>
          <w:tcPr>
            <w:tcW w:w="0" w:type="dxa"/>
            <w:vAlign w:val="bottom"/>
          </w:tcPr>
          <w:p>
            <w:pPr>
              <w:spacing w:after="0"/>
              <w:rPr>
                <w:sz w:val="1"/>
                <w:szCs w:val="1"/>
                <w:color w:val="auto"/>
              </w:rPr>
            </w:pPr>
          </w:p>
        </w:tc>
      </w:tr>
      <w:tr>
        <w:trPr>
          <w:trHeight w:val="244"/>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lease payments</w:t>
            </w:r>
          </w:p>
        </w:tc>
        <w:tc>
          <w:tcPr>
            <w:tcW w:w="5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7,694</w:t>
            </w:r>
          </w:p>
        </w:tc>
        <w:tc>
          <w:tcPr>
            <w:tcW w:w="0" w:type="dxa"/>
            <w:vAlign w:val="bottom"/>
          </w:tcPr>
          <w:p>
            <w:pPr>
              <w:spacing w:after="0"/>
              <w:rPr>
                <w:sz w:val="1"/>
                <w:szCs w:val="1"/>
                <w:color w:val="auto"/>
              </w:rPr>
            </w:pPr>
          </w:p>
        </w:tc>
      </w:tr>
      <w:tr>
        <w:trPr>
          <w:trHeight w:val="251"/>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4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0" w:type="dxa"/>
            <w:vAlign w:val="bottom"/>
          </w:tcPr>
          <w:p>
            <w:pPr>
              <w:spacing w:after="0"/>
              <w:rPr>
                <w:sz w:val="1"/>
                <w:szCs w:val="1"/>
                <w:color w:val="auto"/>
              </w:rPr>
            </w:pPr>
          </w:p>
        </w:tc>
      </w:tr>
      <w:tr>
        <w:trPr>
          <w:trHeight w:val="265"/>
        </w:trPr>
        <w:tc>
          <w:tcPr>
            <w:tcW w:w="4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5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bottom w:val="single" w:sz="8" w:color="CCEEFF"/>
            </w:tcBorders>
            <w:vMerge w:val="restart"/>
          </w:tcPr>
          <w:p>
            <w:pPr>
              <w:jc w:val="right"/>
              <w:ind w:right="3814"/>
              <w:spacing w:after="0"/>
              <w:rPr>
                <w:sz w:val="20"/>
                <w:szCs w:val="20"/>
                <w:color w:val="auto"/>
              </w:rPr>
            </w:pPr>
            <w:r>
              <w:rPr>
                <w:rFonts w:ascii="Times New Roman" w:cs="Times New Roman" w:eastAsia="Times New Roman" w:hAnsi="Times New Roman"/>
                <w:sz w:val="17"/>
                <w:szCs w:val="17"/>
                <w:color w:val="auto"/>
              </w:rPr>
              <w:t>65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428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80" w:type="dxa"/>
            <w:vAlign w:val="bottom"/>
            <w:tcBorders>
              <w:bottom w:val="single" w:sz="8" w:color="9A9A9A"/>
            </w:tcBorders>
          </w:tcPr>
          <w:p>
            <w:pPr>
              <w:spacing w:after="0"/>
              <w:rPr>
                <w:sz w:val="9"/>
                <w:szCs w:val="9"/>
                <w:color w:val="auto"/>
              </w:rPr>
            </w:pPr>
          </w:p>
        </w:tc>
        <w:tc>
          <w:tcPr>
            <w:tcW w:w="54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3"/>
          <w:szCs w:val="13"/>
          <w:b w:val="1"/>
          <w:bCs w:val="1"/>
          <w:color w:val="auto"/>
        </w:rPr>
        <w:t>TEM</w:t>
      </w:r>
      <w:r>
        <w:rPr>
          <w:rFonts w:ascii="Times New Roman" w:cs="Times New Roman" w:eastAsia="Times New Roman" w:hAnsi="Times New Roman"/>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3"/>
          <w:szCs w:val="13"/>
          <w:b w:val="1"/>
          <w:bCs w:val="1"/>
          <w:color w:val="auto"/>
        </w:rPr>
        <w:t>ANAGEMENT’S</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ISCUSSION AND</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NALYSIS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4"/>
          <w:szCs w:val="14"/>
          <w:b w:val="1"/>
          <w:bCs w:val="1"/>
          <w:color w:val="auto"/>
        </w:rPr>
        <w:t xml:space="preserve">INANCIAL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4"/>
          <w:szCs w:val="14"/>
          <w:b w:val="1"/>
          <w:bCs w:val="1"/>
          <w:color w:val="auto"/>
        </w:rPr>
        <w:t xml:space="preserve">ONDITION AND </w:t>
      </w: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4"/>
          <w:szCs w:val="14"/>
          <w:b w:val="1"/>
          <w:bCs w:val="1"/>
          <w:color w:val="auto"/>
        </w:rPr>
        <w:t xml:space="preserve">ESULTS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4"/>
          <w:szCs w:val="14"/>
          <w:b w:val="1"/>
          <w:bCs w:val="1"/>
          <w:color w:val="auto"/>
        </w:rPr>
        <w:t>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Introduction</w:t>
      </w:r>
      <w:r>
        <w:rPr>
          <w:rFonts w:ascii="Times New Roman" w:cs="Times New Roman" w:eastAsia="Times New Roman" w:hAnsi="Times New Roman"/>
          <w:sz w:val="17"/>
          <w:szCs w:val="17"/>
          <w:color w:val="auto"/>
        </w:rPr>
        <w:t>. The following section presents additional information to assess the financial condition and results of operations of Independent Bank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(“IBCP”), its wholly-owned bank, Independent Bank (the “Bank”), and their subsidiaries. This section should be read in conjunction with the Condensed Consolidated Financial Statements. We also encourage you to read our 2023 Annual Report on Form 10-K filed with the U.S. Securities and Exchange Commission (“SEC”). That report includes a list of risk factors that you should consider in connection with any decision to buy or sell our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r>
        <w:rPr>
          <w:rFonts w:ascii="Times New Roman" w:cs="Times New Roman" w:eastAsia="Times New Roman" w:hAnsi="Times New Roman"/>
          <w:sz w:val="17"/>
          <w:szCs w:val="17"/>
          <w:color w:val="auto"/>
        </w:rPr>
        <w:t>. We provide banking services to customers located primarily in Michigan’s Lower Peninsula. We also have a loan production office in Fairlawn, 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our success depends to a great extent upon the economic conditions in Michigan’s Lower Peninsula.</w:t>
      </w:r>
    </w:p>
    <w:p>
      <w:pPr>
        <w:spacing w:after="0" w:line="3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Recent Developments. </w:t>
      </w:r>
      <w:r>
        <w:rPr>
          <w:rFonts w:ascii="Times New Roman" w:cs="Times New Roman" w:eastAsia="Times New Roman" w:hAnsi="Times New Roman"/>
          <w:sz w:val="17"/>
          <w:szCs w:val="17"/>
          <w:color w:val="auto"/>
        </w:rPr>
        <w:t>Pressures from various global and national macroeconomic conditions, including heightened inflation, uncertainty regarding future interest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rates, foreign currency exchange rate fluctuations, recent adverse weather conditions, the continuation of the Russia-Ukraine and Middle East wars, the pending Presidential and Congressional elections, and potential governmental responses to these events,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 is against this backdrop that we discuss our results of operations and financial condition for the third quarter of 2024 as compared to earlier periods.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w:t>
      </w:r>
      <w:r>
        <w:rPr>
          <w:rFonts w:ascii="Times New Roman" w:cs="Times New Roman" w:eastAsia="Times New Roman" w:hAnsi="Times New Roman"/>
          <w:sz w:val="13"/>
          <w:szCs w:val="13"/>
          <w:b w:val="1"/>
          <w:bCs w:val="1"/>
          <w:color w:val="auto"/>
        </w:rPr>
        <w:t>ESULTS OF</w:t>
      </w:r>
      <w:r>
        <w:rPr>
          <w:rFonts w:ascii="Times New Roman" w:cs="Times New Roman" w:eastAsia="Times New Roman" w:hAnsi="Times New Roman"/>
          <w:sz w:val="17"/>
          <w:szCs w:val="17"/>
          <w:b w:val="1"/>
          <w:bCs w:val="1"/>
          <w:color w:val="auto"/>
        </w:rPr>
        <w:t xml:space="preserve"> O</w:t>
      </w:r>
      <w:r>
        <w:rPr>
          <w:rFonts w:ascii="Times New Roman" w:cs="Times New Roman" w:eastAsia="Times New Roman" w:hAnsi="Times New Roman"/>
          <w:sz w:val="13"/>
          <w:szCs w:val="13"/>
          <w:b w:val="1"/>
          <w:bCs w:val="1"/>
          <w:color w:val="auto"/>
        </w:rPr>
        <w:t>PERATIONS</w:t>
      </w:r>
    </w:p>
    <w:p>
      <w:pPr>
        <w:spacing w:after="0" w:line="19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We recorded net income of $13.8 million and $17.5 million during the three months ended September 30, 2024 and 2023, respectively. The decrease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2024 third quarter results as compared to 2023 is due primarily to a $5.7 unfavorable change in the fair value due to price of capitalized mortgage loan servicing rights that was partially offset by a $2.4 million increase in net interest income.</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recorded net income of $48.3 million and $45.3 million during the nine months ended September 30, 2024 and 2023, respectively. The increase in 2024 year-to-date results as compared to 2023 is primarily due to an increase in net-interest income and a decrease in the provision for credit losses that were partially offset by increases in non-interest expense and income tax expense and a decrease in non-interest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Key performance ratios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5"/>
        </w:trPr>
        <w:tc>
          <w:tcPr>
            <w:tcW w:w="4000" w:type="dxa"/>
            <w:vAlign w:val="bottom"/>
          </w:tcPr>
          <w:p>
            <w:pPr>
              <w:spacing w:after="0"/>
              <w:rPr>
                <w:sz w:val="21"/>
                <w:szCs w:val="21"/>
                <w:color w:val="auto"/>
              </w:rPr>
            </w:pPr>
          </w:p>
        </w:tc>
        <w:tc>
          <w:tcPr>
            <w:tcW w:w="3640" w:type="dxa"/>
            <w:vAlign w:val="bottom"/>
            <w:gridSpan w:val="6"/>
          </w:tcPr>
          <w:p>
            <w:pPr>
              <w:ind w:left="56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360" w:type="dxa"/>
            <w:vAlign w:val="bottom"/>
          </w:tcPr>
          <w:p>
            <w:pPr>
              <w:spacing w:after="0"/>
              <w:rPr>
                <w:sz w:val="21"/>
                <w:szCs w:val="21"/>
                <w:color w:val="auto"/>
              </w:rPr>
            </w:pPr>
          </w:p>
        </w:tc>
        <w:tc>
          <w:tcPr>
            <w:tcW w:w="3220" w:type="dxa"/>
            <w:vAlign w:val="bottom"/>
            <w:gridSpan w:val="4"/>
          </w:tcPr>
          <w:p>
            <w:pPr>
              <w:jc w:val="right"/>
              <w:ind w:right="5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37"/>
        </w:trPr>
        <w:tc>
          <w:tcPr>
            <w:tcW w:w="40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rPr>
              <w:t>2023</w:t>
            </w:r>
          </w:p>
        </w:tc>
      </w:tr>
      <w:tr>
        <w:trPr>
          <w:trHeight w:val="226"/>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(annualized) to</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1"/>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assets</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1.19 %</w:t>
            </w:r>
          </w:p>
        </w:tc>
      </w:tr>
      <w:tr>
        <w:trPr>
          <w:trHeight w:val="239"/>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Average shareholders’ equity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16.62 %</w:t>
            </w:r>
          </w:p>
        </w:tc>
      </w:tr>
      <w:tr>
        <w:trPr>
          <w:trHeight w:val="264"/>
        </w:trPr>
        <w:tc>
          <w:tcPr>
            <w:tcW w:w="40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common share</w:t>
            </w:r>
          </w:p>
        </w:tc>
        <w:tc>
          <w:tcPr>
            <w:tcW w:w="10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1"/>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0.66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2.16</w:t>
            </w:r>
          </w:p>
        </w:tc>
      </w:tr>
      <w:tr>
        <w:trPr>
          <w:trHeight w:val="232"/>
        </w:trPr>
        <w:tc>
          <w:tcPr>
            <w:tcW w:w="4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080" w:type="dxa"/>
            <w:vAlign w:val="bottom"/>
          </w:tcPr>
          <w:p>
            <w:pPr>
              <w:spacing w:after="0"/>
              <w:rPr>
                <w:sz w:val="20"/>
                <w:szCs w:val="20"/>
                <w:color w:val="auto"/>
              </w:rPr>
            </w:pPr>
          </w:p>
        </w:tc>
        <w:tc>
          <w:tcPr>
            <w:tcW w:w="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0.65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Net interest income is the most important source of our earnings and thus is critical in evaluating our results of operations. Changes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interest income are primarily influenced by our level of interest-earning assets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interest income totaled $41.9 million during the third quarter of 2024, an increase of $2.4 million, or 6.2% from the year-ago period. This increase primarily reflects a $93.6 million increase in average interest-earning assets and a 14 basis point increase in our tax equivalent net interest income as a percent of average interest-earning assets (the “net interest margin”).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the first nine months of 2024, net interest income totaled $123.4 million, an increase of $7.2 million, or 6.2% from 2023. This increase primarily reflects a $145.3 million, or 3.0% increase in average interest-earning assets and a nine basis point increase in our net interest margin.</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increase in average interest-earning assets in both the three and nine month periods in 2024 as compared to the same periods in 2023 primarily reflects growth in commercial and mortgage loans funded from a decrease in securities available for sale and an increase in deposits.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increases in our net interest margin during the three and nine month periods in 2024 is attributed to increases in interest income as a percent of average interest-earning assets ("Asset Yield") that were only partially offset by increases in interest expense as a percent of average interest-earning assets ("Cost of Funds"). These increases are primarily attributed to the increases in the federal funds rate since January of 2023. Our Asset Yield has been positively impacted by new loans being originated at higher rates than existing loans being paid off as well as a shift in earning asset mix from generally lower rate investment securities to higher rate loans while our Cost of Funds has been negatively impacted by changes in funding mix (such as shifting from non-interest bearing deposits to interest-bearing deposits and an increase in time deposits) as well as higher deposit pricing sensitivity to the increases in interest rates discussed above. This change in funding mix and pricing is expected to continue to impact our Cost of Funds during the fourth quarter of 2024. See Asset/liability management.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net interest income is also impacted by our level of non-accrual loans. In the third quarter and first nine months of 2024, non-accrual loans averaged $4.5 million and $4.1 million, respectively. In the third quarter and first nine months of 2023, non-accrual loans averaged $4.4 million and $4.0 million, respectively. In addition, in the third quarter and first nine months of 2024 we had net recoveries of $0.12 million and $0.51 million, respectively of unpaid interest on loans placed on or taken off non-accrual or on loans previously charged-off compared to net recoveries of $0.09 million and $0.47 million, respectively, during the same periods in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260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40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6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line="167" w:lineRule="exact"/>
              <w:rPr>
                <w:sz w:val="20"/>
                <w:szCs w:val="20"/>
                <w:color w:val="auto"/>
              </w:rPr>
            </w:pPr>
            <w:r>
              <w:rPr>
                <w:rFonts w:ascii="Times New Roman" w:cs="Times New Roman" w:eastAsia="Times New Roman" w:hAnsi="Times New Roman"/>
                <w:sz w:val="17"/>
                <w:szCs w:val="17"/>
                <w:color w:val="auto"/>
              </w:rPr>
              <w:t>Average</w:t>
            </w:r>
          </w:p>
        </w:tc>
        <w:tc>
          <w:tcPr>
            <w:tcW w:w="240" w:type="dxa"/>
            <w:vAlign w:val="bottom"/>
          </w:tcPr>
          <w:p>
            <w:pPr>
              <w:spacing w:after="0"/>
              <w:rPr>
                <w:sz w:val="14"/>
                <w:szCs w:val="1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auto"/>
              </w:rPr>
              <w:t>Interest</w:t>
            </w:r>
          </w:p>
        </w:tc>
        <w:tc>
          <w:tcPr>
            <w:tcW w:w="144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auto"/>
              </w:rPr>
              <w:t>Rate (2)</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5"/>
          </w:tcPr>
          <w:p>
            <w:pPr>
              <w:ind w:left="7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3,901,370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58,322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5.96 %</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3,687,637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51,352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5.54 %</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64"/>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665,974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800,524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5,865</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52"/>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securities (1)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267,776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100" w:type="dxa"/>
            <w:vAlign w:val="bottom"/>
          </w:tcPr>
          <w:p>
            <w:pPr>
              <w:spacing w:after="0"/>
              <w:rPr>
                <w:sz w:val="21"/>
                <w:szCs w:val="21"/>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5.29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3,593</w:t>
            </w:r>
          </w:p>
        </w:tc>
        <w:tc>
          <w:tcPr>
            <w:tcW w:w="80" w:type="dxa"/>
            <w:vAlign w:val="bottom"/>
          </w:tcPr>
          <w:p>
            <w:pPr>
              <w:spacing w:after="0"/>
              <w:rPr>
                <w:sz w:val="21"/>
                <w:szCs w:val="21"/>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5.42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39"/>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16,099</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44"/>
        </w:trPr>
        <w:tc>
          <w:tcPr>
            <w:tcW w:w="2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4,985,842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68,492</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4,892,208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62,634</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 banks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232,570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5,275,623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5,192,114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checking</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2,763,558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15,621</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2.25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2,598,170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8,841</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816,810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8,471</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4.11</w:t>
            </w: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121,182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139,199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6.45</w:t>
            </w:r>
          </w:p>
        </w:tc>
        <w:tc>
          <w:tcPr>
            <w:tcW w:w="0" w:type="dxa"/>
            <w:vAlign w:val="bottom"/>
          </w:tcPr>
          <w:p>
            <w:pPr>
              <w:spacing w:after="0"/>
              <w:rPr>
                <w:sz w:val="1"/>
                <w:szCs w:val="1"/>
                <w:color w:val="auto"/>
              </w:rPr>
            </w:pPr>
          </w:p>
        </w:tc>
      </w:tr>
      <w:tr>
        <w:trPr>
          <w:trHeight w:val="238"/>
        </w:trPr>
        <w:tc>
          <w:tcPr>
            <w:tcW w:w="26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 Bearing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3,689,684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26,480</w:t>
            </w:r>
          </w:p>
        </w:tc>
        <w:tc>
          <w:tcPr>
            <w:tcW w:w="100" w:type="dxa"/>
            <w:vAlign w:val="bottom"/>
          </w:tcPr>
          <w:p>
            <w:pPr>
              <w:spacing w:after="0"/>
              <w:rPr>
                <w:sz w:val="20"/>
                <w:szCs w:val="20"/>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2.86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3,554,179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23,005</w:t>
            </w:r>
          </w:p>
        </w:tc>
        <w:tc>
          <w:tcPr>
            <w:tcW w:w="80" w:type="dxa"/>
            <w:vAlign w:val="bottom"/>
          </w:tcPr>
          <w:p>
            <w:pPr>
              <w:spacing w:after="0"/>
              <w:rPr>
                <w:sz w:val="20"/>
                <w:szCs w:val="20"/>
                <w:color w:val="auto"/>
              </w:rPr>
            </w:pPr>
          </w:p>
        </w:tc>
        <w:tc>
          <w:tcPr>
            <w:tcW w:w="14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51"/>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1,047,617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1,162,816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100,245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438,077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372,667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and</w:t>
            </w:r>
          </w:p>
        </w:tc>
        <w:tc>
          <w:tcPr>
            <w:tcW w:w="24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5,275,623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2220" w:type="dxa"/>
            <w:vAlign w:val="bottom"/>
            <w:shd w:val="clear" w:color="auto" w:fill="CCEEFF"/>
          </w:tcPr>
          <w:p>
            <w:pPr>
              <w:jc w:val="center"/>
              <w:ind w:right="374"/>
              <w:spacing w:after="0"/>
              <w:rPr>
                <w:sz w:val="20"/>
                <w:szCs w:val="20"/>
                <w:color w:val="auto"/>
              </w:rPr>
            </w:pPr>
            <w:r>
              <w:rPr>
                <w:rFonts w:ascii="Times New Roman" w:cs="Times New Roman" w:eastAsia="Times New Roman" w:hAnsi="Times New Roman"/>
                <w:sz w:val="17"/>
                <w:szCs w:val="17"/>
                <w:color w:val="auto"/>
              </w:rPr>
              <w:t>shareholders’ equity</w:t>
            </w:r>
          </w:p>
        </w:tc>
        <w:tc>
          <w:tcPr>
            <w:tcW w:w="2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Interest Income</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42,012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39,629</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 as a Percent of</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3.37 %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vMerge w:val="restart"/>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w w:val="99"/>
              </w:rPr>
              <w:t>3.23 %</w:t>
            </w:r>
          </w:p>
        </w:tc>
        <w:tc>
          <w:tcPr>
            <w:tcW w:w="0" w:type="dxa"/>
            <w:vAlign w:val="bottom"/>
          </w:tcPr>
          <w:p>
            <w:pPr>
              <w:spacing w:after="0"/>
              <w:rPr>
                <w:sz w:val="1"/>
                <w:szCs w:val="1"/>
                <w:color w:val="auto"/>
              </w:rPr>
            </w:pPr>
          </w:p>
        </w:tc>
      </w:tr>
      <w:tr>
        <w:trPr>
          <w:trHeight w:val="243"/>
        </w:trPr>
        <w:tc>
          <w:tcPr>
            <w:tcW w:w="26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Average Interest Earning Assets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326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Average Balances and Tax Equivalent Rates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8"/>
          </w:tcPr>
          <w:p>
            <w:pPr>
              <w:jc w:val="center"/>
              <w:ind w:right="40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Average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Average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Rate</w:t>
            </w:r>
          </w:p>
        </w:tc>
        <w:tc>
          <w:tcPr>
            <w:tcW w:w="0" w:type="dxa"/>
            <w:vAlign w:val="bottom"/>
          </w:tcPr>
          <w:p>
            <w:pPr>
              <w:spacing w:after="0"/>
              <w:rPr>
                <w:sz w:val="1"/>
                <w:szCs w:val="1"/>
                <w:color w:val="auto"/>
              </w:rPr>
            </w:pPr>
          </w:p>
        </w:tc>
      </w:tr>
      <w:tr>
        <w:trPr>
          <w:trHeight w:val="242"/>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Balance</w:t>
            </w:r>
          </w:p>
        </w:tc>
        <w:tc>
          <w:tcPr>
            <w:tcW w:w="8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Interest</w:t>
            </w:r>
          </w:p>
        </w:tc>
        <w:tc>
          <w:tcPr>
            <w:tcW w:w="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Rate</w:t>
            </w: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Balance</w:t>
            </w:r>
          </w:p>
        </w:tc>
        <w:tc>
          <w:tcPr>
            <w:tcW w:w="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Interest</w:t>
            </w:r>
          </w:p>
        </w:tc>
        <w:tc>
          <w:tcPr>
            <w:tcW w:w="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6"/>
          </w:tcPr>
          <w:p>
            <w:pPr>
              <w:jc w:val="center"/>
              <w:ind w:left="334"/>
              <w:spacing w:after="0"/>
              <w:rPr>
                <w:sz w:val="20"/>
                <w:szCs w:val="20"/>
                <w:color w:val="auto"/>
              </w:rPr>
            </w:pPr>
            <w:r>
              <w:rPr>
                <w:rFonts w:ascii="Times New Roman" w:cs="Times New Roman" w:eastAsia="Times New Roman" w:hAnsi="Times New Roman"/>
                <w:sz w:val="17"/>
                <w:szCs w:val="17"/>
                <w:color w:val="auto"/>
              </w:rPr>
              <w:t>(Dollars in thousands)</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loans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$3,848,092</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9"/>
              </w:rPr>
              <w:t>5.90 %</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$3,579,569</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$143,203</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5.34 %</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 loans (1)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5.17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6,705</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Taxable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691,327</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14,466</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834,924</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2.82</w:t>
            </w:r>
          </w:p>
        </w:tc>
        <w:tc>
          <w:tcPr>
            <w:tcW w:w="0" w:type="dxa"/>
            <w:vAlign w:val="bottom"/>
          </w:tcPr>
          <w:p>
            <w:pPr>
              <w:spacing w:after="0"/>
              <w:rPr>
                <w:sz w:val="1"/>
                <w:szCs w:val="1"/>
                <w:color w:val="auto"/>
              </w:rPr>
            </w:pPr>
          </w:p>
        </w:tc>
      </w:tr>
      <w:tr>
        <w:trPr>
          <w:trHeight w:val="216"/>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Tax-exempt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securities (1)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267,689</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10,638</w:t>
            </w:r>
          </w:p>
        </w:tc>
        <w:tc>
          <w:tcPr>
            <w:tcW w:w="8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274,454</w:t>
            </w: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10,447</w:t>
            </w:r>
          </w:p>
        </w:tc>
        <w:tc>
          <w:tcPr>
            <w:tcW w:w="8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5.08</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bearing cash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97,941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5.45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71,355</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2,769</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16,452</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7.33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17,805</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189"/>
        </w:trPr>
        <w:tc>
          <w:tcPr>
            <w:tcW w:w="152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Times New Roman" w:cs="Times New Roman" w:eastAsia="Times New Roman" w:hAnsi="Times New Roman"/>
                <w:sz w:val="17"/>
                <w:szCs w:val="17"/>
                <w:color w:val="auto"/>
              </w:rPr>
              <w:t>Interest Earning</w:t>
            </w: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Assets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4,930,161</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200,311</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5.42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4,784,812</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175,038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203"/>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Cash and due from</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banks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54,481</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59,163</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235,026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231,872</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$5,219,668</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$5,075,847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Savings and interest-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bearing checking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$2,690,359</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43,178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2.14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$2,550,973</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31,644</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825,984</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8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4.37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745,983</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20,320</w:t>
            </w:r>
          </w:p>
        </w:tc>
        <w:tc>
          <w:tcPr>
            <w:tcW w:w="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3.64</w:t>
            </w:r>
          </w:p>
        </w:tc>
        <w:tc>
          <w:tcPr>
            <w:tcW w:w="0" w:type="dxa"/>
            <w:vAlign w:val="bottom"/>
          </w:tcPr>
          <w:p>
            <w:pPr>
              <w:spacing w:after="0"/>
              <w:rPr>
                <w:sz w:val="1"/>
                <w:szCs w:val="1"/>
                <w:color w:val="auto"/>
              </w:rPr>
            </w:pPr>
          </w:p>
        </w:tc>
      </w:tr>
      <w:tr>
        <w:trPr>
          <w:trHeight w:val="251"/>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borrowings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126,861</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6.58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128,846</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6,134</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6.37</w:t>
            </w:r>
          </w:p>
        </w:tc>
        <w:tc>
          <w:tcPr>
            <w:tcW w:w="0" w:type="dxa"/>
            <w:vAlign w:val="bottom"/>
          </w:tcPr>
          <w:p>
            <w:pPr>
              <w:spacing w:after="0"/>
              <w:rPr>
                <w:sz w:val="1"/>
                <w:szCs w:val="1"/>
                <w:color w:val="auto"/>
              </w:rPr>
            </w:pPr>
          </w:p>
        </w:tc>
      </w:tr>
      <w:tr>
        <w:trPr>
          <w:trHeight w:val="183"/>
        </w:trPr>
        <w:tc>
          <w:tcPr>
            <w:tcW w:w="1520" w:type="dxa"/>
            <w:vAlign w:val="bottom"/>
            <w:gridSpan w:val="2"/>
          </w:tcPr>
          <w:p>
            <w:pPr>
              <w:ind w:left="320"/>
              <w:spacing w:after="0" w:line="183" w:lineRule="exact"/>
              <w:rPr>
                <w:sz w:val="20"/>
                <w:szCs w:val="20"/>
                <w:color w:val="auto"/>
              </w:rPr>
            </w:pPr>
            <w:r>
              <w:rPr>
                <w:rFonts w:ascii="Times New Roman" w:cs="Times New Roman" w:eastAsia="Times New Roman" w:hAnsi="Times New Roman"/>
                <w:sz w:val="17"/>
                <w:szCs w:val="17"/>
                <w:color w:val="auto"/>
              </w:rPr>
              <w:t>Interest Bearing</w:t>
            </w: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3,643,204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76,401</w:t>
            </w:r>
          </w:p>
        </w:tc>
        <w:tc>
          <w:tcPr>
            <w:tcW w:w="8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2.80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3,425,802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58,098</w:t>
            </w:r>
          </w:p>
        </w:tc>
        <w:tc>
          <w:tcPr>
            <w:tcW w:w="8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09"/>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bearing</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deposits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1,053,719</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1,184,548</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104,057</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100,929</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418,688</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364,568</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liabilities and</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shareholders’</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$5,219,668</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$5,075,847</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w:t>
            </w: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$116,940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Income</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Interest Income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as a Percent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Average Interest</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9"/>
              </w:rPr>
              <w:t>3.35 %</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3.26 %</w:t>
            </w:r>
          </w:p>
        </w:tc>
        <w:tc>
          <w:tcPr>
            <w:tcW w:w="0" w:type="dxa"/>
            <w:vAlign w:val="bottom"/>
          </w:tcPr>
          <w:p>
            <w:pPr>
              <w:spacing w:after="0"/>
              <w:rPr>
                <w:sz w:val="1"/>
                <w:szCs w:val="1"/>
                <w:color w:val="auto"/>
              </w:rPr>
            </w:pPr>
          </w:p>
        </w:tc>
      </w:tr>
      <w:tr>
        <w:trPr>
          <w:trHeight w:val="243"/>
        </w:trPr>
        <w:tc>
          <w:tcPr>
            <w:tcW w:w="1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 Assets</w:t>
            </w: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on tax-exempt loans and securities available for sale is presented on a fully tax equivalent basis assuming a marginal tax rate of 21%.</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Annualized</w:t>
      </w:r>
    </w:p>
    <w:p>
      <w:pPr>
        <w:sectPr>
          <w:pgSz w:w="11900" w:h="16838" w:orient="portrait"/>
          <w:cols w:equalWidth="0" w:num="1">
            <w:col w:w="10139"/>
          </w:cols>
          <w:pgMar w:left="320" w:top="112"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60"/>
        </w:trPr>
        <w:tc>
          <w:tcPr>
            <w:tcW w:w="4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2960" w:type="dxa"/>
            <w:vAlign w:val="bottom"/>
            <w:gridSpan w:val="4"/>
          </w:tcPr>
          <w:p>
            <w:pPr>
              <w:jc w:val="right"/>
              <w:ind w:right="31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50"/>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rPr>
              <w:t>2023</w:t>
            </w:r>
          </w:p>
        </w:tc>
      </w:tr>
      <w:tr>
        <w:trPr>
          <w:trHeight w:val="232"/>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(Dollars in thousands)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Interest Margin, Fully Taxable Equivalent ("FTE")</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0"/>
        </w:trPr>
        <w:tc>
          <w:tcPr>
            <w:tcW w:w="47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41,854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39,427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123,397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116,218</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Add: taxable equivalent adjustment</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513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722</w:t>
            </w:r>
          </w:p>
        </w:tc>
      </w:tr>
      <w:tr>
        <w:trPr>
          <w:trHeight w:val="270"/>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 taxable equivalent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42,012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39,629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123,910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116,940</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interest margin (GAAP) (1)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margin (FTE) (1)</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Annualized.</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Provision for credit losses. </w:t>
      </w:r>
      <w:r>
        <w:rPr>
          <w:rFonts w:ascii="Times New Roman" w:cs="Times New Roman" w:eastAsia="Times New Roman" w:hAnsi="Times New Roman"/>
          <w:sz w:val="17"/>
          <w:szCs w:val="17"/>
          <w:color w:val="auto"/>
        </w:rPr>
        <w:t>The provision for credit losses was an expense of $1.49 million and an expense of $1.35 million for the three months 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2024 and 2023, respectively. During the nine-month periods ended September 30, 2024 and 2023, the provision for credit losses was an expense of $2.25 million and a expense of $6.83 million, respectively. The provision reflects our assessment of the allowance for credit losses (the “ACL”)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and their impact on the provision for credit losses in 2024.</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year-to-date provision for credit losses on loans in 2024 compared to 2023, decreased $0.44 million. The provision for credit losses on securities HTM in 2024 and 2023 was an expense (credit) of $(1.15) million and $2.99 million, respectively. The change in provision for credit losses on securities HTM reflects a charge-off in the first quarter of 2023 and a subsequent partial recovery during the first quarter of 2024 of one corporate security (Signature Bank). See “Securities” below and note #3 to the Condensed Consolidated Financial Statements.</w:t>
      </w:r>
    </w:p>
    <w:p>
      <w:pPr>
        <w:spacing w:after="0" w:line="14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Non-interest income. </w:t>
      </w:r>
      <w:r>
        <w:rPr>
          <w:rFonts w:ascii="Times New Roman" w:cs="Times New Roman" w:eastAsia="Times New Roman" w:hAnsi="Times New Roman"/>
          <w:sz w:val="17"/>
          <w:szCs w:val="17"/>
          <w:color w:val="auto"/>
        </w:rPr>
        <w:t>Non-interest income is a significant element in assessing our results of operations. Non-interest income totaled $9.5 million during the third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quarter of 2024 compared to $15.6 million in the third quarter of 2023. For the first nine months of 2024, non-interest income totaled $37.2 million compared to $41.6 million for the first nine months of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60"/>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components of non-interest income are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5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14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20" w:type="dxa"/>
            <w:vAlign w:val="bottom"/>
          </w:tcPr>
          <w:p>
            <w:pPr>
              <w:spacing w:after="0"/>
              <w:rPr>
                <w:sz w:val="24"/>
                <w:szCs w:val="24"/>
                <w:color w:val="auto"/>
              </w:rPr>
            </w:pPr>
          </w:p>
        </w:tc>
        <w:tc>
          <w:tcPr>
            <w:tcW w:w="2840" w:type="dxa"/>
            <w:vAlign w:val="bottom"/>
            <w:gridSpan w:val="4"/>
          </w:tcPr>
          <w:p>
            <w:pPr>
              <w:jc w:val="right"/>
              <w:ind w:right="23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38"/>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0" w:type="dxa"/>
            <w:vAlign w:val="bottom"/>
            <w:gridSpan w:val="5"/>
          </w:tcPr>
          <w:p>
            <w:pPr>
              <w:ind w:left="70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income</w:t>
            </w: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10,660</w:t>
            </w:r>
          </w:p>
        </w:tc>
      </w:tr>
      <w:tr>
        <w:trPr>
          <w:trHeight w:val="23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assets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Mortgage loans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5,475</w:t>
            </w:r>
          </w:p>
        </w:tc>
      </w:tr>
      <w:tr>
        <w:trPr>
          <w:trHeight w:val="251"/>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w:t>
            </w:r>
          </w:p>
        </w:tc>
      </w:tr>
      <w:tr>
        <w:trPr>
          <w:trHeight w:val="23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 and insurance commissions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2,446</w:t>
            </w: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owned life insurance</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r>
      <w:tr>
        <w:trPr>
          <w:trHeight w:val="23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2,436</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6,519</w:t>
            </w:r>
          </w:p>
        </w:tc>
      </w:tr>
      <w:tr>
        <w:trPr>
          <w:trHeight w:val="263"/>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income</w:t>
            </w: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41,579</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Service charges on deposit accounts decreased by $0.2 million and $0.4 million in the third quarter and first nine months of 2024, respectively, compared to the same periods in 2023 due primarily to decreases in non-sufficient funds occurrences (and related fees).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Mortgage loan activity is summarized as follows: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87"/>
        </w:trPr>
        <w:tc>
          <w:tcPr>
            <w:tcW w:w="4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Loan Activity</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5"/>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3"/>
          </w:tcPr>
          <w:p>
            <w:pPr>
              <w:jc w:val="right"/>
              <w:ind w:right="314"/>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60" w:type="dxa"/>
            <w:vAlign w:val="bottom"/>
          </w:tcPr>
          <w:p>
            <w:pPr>
              <w:spacing w:after="0"/>
              <w:rPr>
                <w:sz w:val="24"/>
                <w:szCs w:val="24"/>
                <w:color w:val="auto"/>
              </w:rPr>
            </w:pPr>
          </w:p>
        </w:tc>
        <w:tc>
          <w:tcPr>
            <w:tcW w:w="2900" w:type="dxa"/>
            <w:vAlign w:val="bottom"/>
            <w:gridSpan w:val="3"/>
          </w:tcPr>
          <w:p>
            <w:pPr>
              <w:jc w:val="right"/>
              <w:ind w:right="27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4"/>
        </w:trPr>
        <w:tc>
          <w:tcPr>
            <w:tcW w:w="4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2024</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2024</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40" w:type="dxa"/>
            <w:vAlign w:val="bottom"/>
            <w:gridSpan w:val="3"/>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Mortgage loans originated</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147,516</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172,914</w:t>
            </w:r>
          </w:p>
        </w:tc>
        <w:tc>
          <w:tcPr>
            <w:tcW w:w="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384,112</w:t>
            </w:r>
          </w:p>
        </w:tc>
        <w:tc>
          <w:tcPr>
            <w:tcW w:w="3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446,450</w:t>
            </w: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loans sold (1)</w:t>
            </w:r>
          </w:p>
        </w:tc>
        <w:tc>
          <w:tcPr>
            <w:tcW w:w="240" w:type="dxa"/>
            <w:vAlign w:val="bottom"/>
          </w:tcPr>
          <w:p>
            <w:pPr>
              <w:spacing w:after="0"/>
              <w:rPr>
                <w:sz w:val="20"/>
                <w:szCs w:val="20"/>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117,037</w:t>
            </w:r>
          </w:p>
        </w:tc>
        <w:tc>
          <w:tcPr>
            <w:tcW w:w="400" w:type="dxa"/>
            <w:vAlign w:val="bottom"/>
          </w:tcPr>
          <w:p>
            <w:pPr>
              <w:spacing w:after="0"/>
              <w:rPr>
                <w:sz w:val="20"/>
                <w:szCs w:val="20"/>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115,269</w:t>
            </w:r>
          </w:p>
        </w:tc>
        <w:tc>
          <w:tcPr>
            <w:tcW w:w="260" w:type="dxa"/>
            <w:vAlign w:val="bottom"/>
          </w:tcPr>
          <w:p>
            <w:pPr>
              <w:spacing w:after="0"/>
              <w:rPr>
                <w:sz w:val="20"/>
                <w:szCs w:val="20"/>
                <w:color w:val="auto"/>
              </w:rPr>
            </w:pP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289,395</w:t>
            </w:r>
          </w:p>
        </w:tc>
        <w:tc>
          <w:tcPr>
            <w:tcW w:w="3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321,140</w:t>
            </w:r>
          </w:p>
        </w:tc>
      </w:tr>
      <w:tr>
        <w:trPr>
          <w:trHeight w:val="25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gains on mortgage loans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2,177</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2,099</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4,874</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5,475</w:t>
            </w: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as a percent of mortgage loans sold ("Loan Sales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2"/>
        </w:trPr>
        <w:tc>
          <w:tcPr>
            <w:tcW w:w="4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Margin")</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1.86 %</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1.82 %</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1.68 %</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1.70 %</w:t>
            </w:r>
          </w:p>
        </w:tc>
      </w:tr>
      <w:tr>
        <w:trPr>
          <w:trHeight w:val="26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included in the Loan Sales Margin</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0.46</w:t>
            </w:r>
          </w:p>
        </w:tc>
        <w:tc>
          <w:tcPr>
            <w:tcW w:w="4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(0.32)</w:t>
            </w: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0.30</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0.60</w:t>
            </w:r>
          </w:p>
        </w:tc>
      </w:tr>
    </w:tbl>
    <w:p>
      <w:pPr>
        <w:spacing w:after="0" w:line="246" w:lineRule="exact"/>
        <w:rPr>
          <w:sz w:val="20"/>
          <w:szCs w:val="20"/>
          <w:color w:val="auto"/>
        </w:rPr>
      </w:pPr>
    </w:p>
    <w:p>
      <w:pPr>
        <w:jc w:val="right"/>
        <w:ind w:left="320" w:hanging="317"/>
        <w:spacing w:after="0" w:line="289" w:lineRule="auto"/>
        <w:tabs>
          <w:tab w:leader="none" w:pos="22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Mortgage loan sales in the third quarters of 2024 and 2023 include $6.6 million and zero, respectively, of portfolio loan transactions. Mortgage loan sales during the first nine months of 2024 and 2023 include $14.7 million and $41.2 million, respectively, of portfolio loan transactions. These transactions were performed for interest rate risk purposes.</w:t>
      </w:r>
    </w:p>
    <w:p>
      <w:pPr>
        <w:spacing w:after="0" w:line="12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Mortgage loans originated decreased in 2024 as compared to 2023 due primarily to higher mortgage loan interest rates in 2024 reducing this activity. Mortgage loans sold, excluding portfolio loan sales, were relative unchanged in 2024 as compared to 2023.</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gains on mortgage loans totaled $2.2 million and $2.1 million during the third quarters of 2024 and 2023, respectively. For the first nine months of 2024 and 2023, net gains on mortgage loans totaled $4.9 million and $5.5 million, respectively. The decrease from the prior year to date period was primarily due to a decrease in mortgage loans sold.</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Loan Sales Margin is impacted by several factors including competition and the manner in which the loan is sold. Net gains on mortgage loans are also impacted by recording fair value accounting adjustments. Excluding these fair value accounting adjustments, the Loan Sales Margin would have been 1.40% and 2.14% in the third quarters of 2024 and 2023, respectively, and 1.38% and 1.10% for the comparative 2024 and 2023 year-to-date periods, respectively. The decline in the Loan Sales Margin (excluding fair value adjustments) in the third quarter of 2024 was generally due to lower primary-to-secondary market pricing spreads as market interest rates rose in 2024 (relative to 2023) which were impacted by the decrease in salable mortgage loan volumes.</w:t>
      </w:r>
    </w:p>
    <w:p>
      <w:pPr>
        <w:spacing w:after="0" w:line="7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Gain on equity securities at fair value totaled $2.7 million during the first nine months of 2024. This gain is the consequence of the exchange of our shares of Visa Class B-1 common stock on May 6, 2024 into a combination of Visa Class C common stock and Visa Class B-2 common stock. With the completion of this exchange, we were able to sell our Visa Class C common stock (as it was convertible into publicly traded Visa Class A common stock) while the Visa Class B-2 common stock continues to be held and carried at zero. See note #13 to the Condensed Consolidated Financial Statements.</w:t>
      </w:r>
    </w:p>
    <w:p>
      <w:pPr>
        <w:spacing w:after="0" w:line="1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recorded a net loss of $0.4 million and a net loss of $0.2 million on securities AFS for the first nine months of 2024 and 2023, respectively. We recorded no credit related charges in either 2024 or 2023 on securities AFS. See “Securities” below and note #3 to the Condensed Consolidated Financial Statements.</w:t>
      </w:r>
    </w:p>
    <w:p>
      <w:pPr>
        <w:spacing w:after="0" w:line="11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Mortgage loan servicing, net, generated income (expense) of $(3.1) million and $2.7 million in the third quarters of 2024 and 2023, respectively. For the first nine months of 2024 and 2023, mortgage loan servicing, net, generated income of $1.7 million and $7.1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Mortgage loan servicing, net activity is summarized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Mortgage Servicing Revenue</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25"/>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160" w:type="dxa"/>
            <w:vAlign w:val="bottom"/>
          </w:tcPr>
          <w:p>
            <w:pPr>
              <w:spacing w:after="0"/>
              <w:rPr>
                <w:sz w:val="24"/>
                <w:szCs w:val="24"/>
                <w:color w:val="auto"/>
              </w:rPr>
            </w:pPr>
          </w:p>
        </w:tc>
        <w:tc>
          <w:tcPr>
            <w:tcW w:w="268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3"/>
        </w:trPr>
        <w:tc>
          <w:tcPr>
            <w:tcW w:w="49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2023</w:t>
            </w: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Mortgage loan servicing, net:</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5"/>
          </w:tcPr>
          <w:p>
            <w:pPr>
              <w:ind w:left="600"/>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1"/>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Revenue, net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center"/>
              <w:ind w:left="654"/>
              <w:spacing w:after="0"/>
              <w:rPr>
                <w:sz w:val="20"/>
                <w:szCs w:val="20"/>
                <w:color w:val="auto"/>
              </w:rPr>
            </w:pPr>
            <w:r>
              <w:rPr>
                <w:rFonts w:ascii="Times New Roman" w:cs="Times New Roman" w:eastAsia="Times New Roman" w:hAnsi="Times New Roman"/>
                <w:sz w:val="17"/>
                <w:szCs w:val="17"/>
                <w:color w:val="auto"/>
                <w:w w:val="99"/>
              </w:rPr>
              <w:t>2,248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center"/>
              <w:ind w:left="534"/>
              <w:spacing w:after="0"/>
              <w:rPr>
                <w:sz w:val="20"/>
                <w:szCs w:val="20"/>
                <w:color w:val="auto"/>
              </w:rPr>
            </w:pPr>
            <w:r>
              <w:rPr>
                <w:rFonts w:ascii="Times New Roman" w:cs="Times New Roman" w:eastAsia="Times New Roman" w:hAnsi="Times New Roman"/>
                <w:sz w:val="17"/>
                <w:szCs w:val="17"/>
                <w:color w:val="auto"/>
              </w:rPr>
              <w:t>2,197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w w:val="99"/>
              </w:rPr>
              <w:t>6,681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7"/>
                <w:szCs w:val="17"/>
                <w:color w:val="auto"/>
              </w:rPr>
              <w:t>6,612</w:t>
            </w: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Fair value change due to price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(4,155)</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center"/>
              <w:ind w:left="534"/>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center"/>
              <w:ind w:left="454"/>
              <w:spacing w:after="0"/>
              <w:rPr>
                <w:sz w:val="20"/>
                <w:szCs w:val="20"/>
                <w:color w:val="auto"/>
              </w:rPr>
            </w:pPr>
            <w:r>
              <w:rPr>
                <w:rFonts w:ascii="Times New Roman" w:cs="Times New Roman" w:eastAsia="Times New Roman" w:hAnsi="Times New Roman"/>
                <w:sz w:val="17"/>
                <w:szCs w:val="17"/>
                <w:color w:val="auto"/>
              </w:rPr>
              <w:t>3,364</w:t>
            </w:r>
          </w:p>
        </w:tc>
      </w:tr>
      <w:tr>
        <w:trPr>
          <w:trHeight w:val="24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Fair value change due to pay-downs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(3,016)</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7"/>
                <w:szCs w:val="17"/>
                <w:color w:val="auto"/>
              </w:rPr>
              <w:t>(2,908)</w:t>
            </w:r>
          </w:p>
        </w:tc>
      </w:tr>
      <w:tr>
        <w:trPr>
          <w:trHeight w:val="244"/>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(3,130)</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7"/>
                <w:szCs w:val="17"/>
                <w:color w:val="auto"/>
              </w:rPr>
              <w:t>2,668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center"/>
              <w:ind w:left="594"/>
              <w:spacing w:after="0"/>
              <w:rPr>
                <w:sz w:val="20"/>
                <w:szCs w:val="20"/>
                <w:color w:val="auto"/>
              </w:rPr>
            </w:pPr>
            <w:r>
              <w:rPr>
                <w:rFonts w:ascii="Times New Roman" w:cs="Times New Roman" w:eastAsia="Times New Roman" w:hAnsi="Times New Roman"/>
                <w:sz w:val="17"/>
                <w:szCs w:val="17"/>
                <w:color w:val="auto"/>
                <w:w w:val="99"/>
              </w:rPr>
              <w:t>1,686</w:t>
            </w:r>
          </w:p>
        </w:tc>
        <w:tc>
          <w:tcPr>
            <w:tcW w:w="80" w:type="dxa"/>
            <w:vAlign w:val="bottom"/>
          </w:tcPr>
          <w:p>
            <w:pPr>
              <w:spacing w:after="0"/>
              <w:rPr>
                <w:sz w:val="21"/>
                <w:szCs w:val="21"/>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center"/>
              <w:ind w:left="454"/>
              <w:spacing w:after="0"/>
              <w:rPr>
                <w:sz w:val="20"/>
                <w:szCs w:val="20"/>
                <w:color w:val="auto"/>
              </w:rPr>
            </w:pPr>
            <w:r>
              <w:rPr>
                <w:rFonts w:ascii="Times New Roman" w:cs="Times New Roman" w:eastAsia="Times New Roman" w:hAnsi="Times New Roman"/>
                <w:sz w:val="17"/>
                <w:szCs w:val="17"/>
                <w:color w:val="auto"/>
              </w:rPr>
              <w:t>7,068</w:t>
            </w: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capitalized mortgage loan servicing rights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Capitalized Mortgage Loan Servicing Rights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25"/>
        </w:trPr>
        <w:tc>
          <w:tcPr>
            <w:tcW w:w="4860" w:type="dxa"/>
            <w:vAlign w:val="bottom"/>
          </w:tcPr>
          <w:p>
            <w:pPr>
              <w:spacing w:after="0"/>
              <w:rPr>
                <w:sz w:val="24"/>
                <w:szCs w:val="24"/>
                <w:color w:val="auto"/>
              </w:rPr>
            </w:pPr>
          </w:p>
        </w:tc>
        <w:tc>
          <w:tcPr>
            <w:tcW w:w="3080" w:type="dxa"/>
            <w:vAlign w:val="bottom"/>
            <w:gridSpan w:val="6"/>
          </w:tcPr>
          <w:p>
            <w:pPr>
              <w:ind w:left="28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180" w:type="dxa"/>
            <w:vAlign w:val="bottom"/>
          </w:tcPr>
          <w:p>
            <w:pPr>
              <w:spacing w:after="0"/>
              <w:rPr>
                <w:sz w:val="24"/>
                <w:szCs w:val="24"/>
                <w:color w:val="auto"/>
              </w:rPr>
            </w:pPr>
          </w:p>
        </w:tc>
        <w:tc>
          <w:tcPr>
            <w:tcW w:w="3120" w:type="dxa"/>
            <w:vAlign w:val="bottom"/>
            <w:gridSpan w:val="5"/>
          </w:tcPr>
          <w:p>
            <w:pPr>
              <w:ind w:left="80"/>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4"/>
        </w:trPr>
        <w:tc>
          <w:tcPr>
            <w:tcW w:w="48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2023</w:t>
            </w:r>
          </w:p>
        </w:tc>
        <w:tc>
          <w:tcPr>
            <w:tcW w:w="380" w:type="dxa"/>
            <w:vAlign w:val="bottom"/>
          </w:tcPr>
          <w:p>
            <w:pPr>
              <w:spacing w:after="0"/>
              <w:rPr>
                <w:sz w:val="22"/>
                <w:szCs w:val="22"/>
                <w:color w:val="auto"/>
              </w:rPr>
            </w:pPr>
          </w:p>
        </w:tc>
      </w:tr>
      <w:tr>
        <w:trPr>
          <w:trHeight w:val="238"/>
        </w:trPr>
        <w:tc>
          <w:tcPr>
            <w:tcW w:w="4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1"/>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44,406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42,489</w:t>
            </w:r>
          </w:p>
        </w:tc>
        <w:tc>
          <w:tcPr>
            <w:tcW w:w="380" w:type="dxa"/>
            <w:vAlign w:val="bottom"/>
          </w:tcPr>
          <w:p>
            <w:pPr>
              <w:spacing w:after="0"/>
              <w:rPr>
                <w:sz w:val="21"/>
                <w:szCs w:val="21"/>
                <w:color w:val="auto"/>
              </w:rPr>
            </w:pP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Originated servicing rights capitalized</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w:t>
            </w:r>
          </w:p>
        </w:tc>
        <w:tc>
          <w:tcPr>
            <w:tcW w:w="380" w:type="dxa"/>
            <w:vAlign w:val="bottom"/>
          </w:tcPr>
          <w:p>
            <w:pPr>
              <w:spacing w:after="0"/>
              <w:rPr>
                <w:sz w:val="20"/>
                <w:szCs w:val="20"/>
                <w:color w:val="auto"/>
              </w:rPr>
            </w:pPr>
          </w:p>
        </w:tc>
      </w:tr>
      <w:tr>
        <w:trPr>
          <w:trHeight w:val="251"/>
        </w:trPr>
        <w:tc>
          <w:tcPr>
            <w:tcW w:w="4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Change in fair value</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380" w:type="dxa"/>
            <w:vAlign w:val="bottom"/>
          </w:tcPr>
          <w:p>
            <w:pPr>
              <w:spacing w:after="0"/>
              <w:rPr>
                <w:sz w:val="21"/>
                <w:szCs w:val="21"/>
                <w:color w:val="auto"/>
              </w:rPr>
            </w:pPr>
          </w:p>
        </w:tc>
      </w:tr>
      <w:tr>
        <w:trPr>
          <w:trHeight w:val="232"/>
        </w:trPr>
        <w:tc>
          <w:tcPr>
            <w:tcW w:w="4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40,204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46,057</w:t>
            </w:r>
          </w:p>
        </w:tc>
        <w:tc>
          <w:tcPr>
            <w:tcW w:w="380" w:type="dxa"/>
            <w:vAlign w:val="bottom"/>
          </w:tcPr>
          <w:p>
            <w:pPr>
              <w:spacing w:after="0"/>
              <w:rPr>
                <w:sz w:val="20"/>
                <w:szCs w:val="20"/>
                <w:color w:val="auto"/>
              </w:rPr>
            </w:pPr>
          </w:p>
        </w:tc>
      </w:tr>
      <w:tr>
        <w:trPr>
          <w:trHeight w:val="25"/>
        </w:trPr>
        <w:tc>
          <w:tcPr>
            <w:tcW w:w="4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857"/>
        </w:trPr>
        <w:tc>
          <w:tcPr>
            <w:tcW w:w="48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08"/>
        </w:trPr>
        <w:tc>
          <w:tcPr>
            <w:tcW w:w="48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At September 30, 2024 we were servicing approximately $3.55 billion in mortgage loans for others on which servicing rights have been capitalized. This servicing portfolio had a weighted average coupon rate of 4.08% and a weighted average service fee of approximately 25.5 basis points. Capitalized mortgage loan servicing rights at September 30, 2024 totaled $40.2 million, representing approximately 113.2 basis points on the related amount of mortgage loans serviced for others.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Other income in the table above decreased by $0.1 million and $0.8 million in the third quarter and first nine months of 2024, respectively, compared to the same prior year periods. The decrease in the third quarter of 2024 was primarily due to the prior year including a one time gain on the sale of an office building and a decrease in certain internet banking fees no longer being charged that were partially offset by higher commercial loan swap fees. The decrease from the prior year to date period was primarily due to the prior year including one time gains on the sale of an office building and a purchase credit impaired loan as well as a decrease in certain internet banking fees no longer being charged.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Non-interest expense. </w:t>
      </w:r>
      <w:r>
        <w:rPr>
          <w:rFonts w:ascii="Times New Roman" w:cs="Times New Roman" w:eastAsia="Times New Roman" w:hAnsi="Times New Roman"/>
          <w:sz w:val="17"/>
          <w:szCs w:val="17"/>
          <w:color w:val="auto"/>
        </w:rPr>
        <w:t>Non-interest expense is an important component of our results of operations. We strive to efficiently manage our cost structure.</w:t>
      </w:r>
    </w:p>
    <w:p>
      <w:pPr>
        <w:spacing w:after="0" w:line="19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Non-interest expense increased by $0.5 million to $32.6 million and increased by $2.9 million to $98.1 million during the three- and nine-month periods ended September 30, 2024, respectively, compared to the same periods in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non-interest expense are as follows: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74"/>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25"/>
        </w:trPr>
        <w:tc>
          <w:tcPr>
            <w:tcW w:w="5000" w:type="dxa"/>
            <w:vAlign w:val="bottom"/>
          </w:tcPr>
          <w:p>
            <w:pPr>
              <w:spacing w:after="0"/>
              <w:rPr>
                <w:sz w:val="24"/>
                <w:szCs w:val="24"/>
                <w:color w:val="auto"/>
              </w:rPr>
            </w:pPr>
          </w:p>
        </w:tc>
        <w:tc>
          <w:tcPr>
            <w:tcW w:w="30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00" w:type="dxa"/>
            <w:vAlign w:val="bottom"/>
          </w:tcPr>
          <w:p>
            <w:pPr>
              <w:spacing w:after="0"/>
              <w:rPr>
                <w:sz w:val="24"/>
                <w:szCs w:val="24"/>
                <w:color w:val="auto"/>
              </w:rPr>
            </w:pPr>
          </w:p>
        </w:tc>
        <w:tc>
          <w:tcPr>
            <w:tcW w:w="27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64"/>
        </w:trPr>
        <w:tc>
          <w:tcPr>
            <w:tcW w:w="50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38"/>
        </w:trPr>
        <w:tc>
          <w:tcPr>
            <w:tcW w:w="5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5"/>
          </w:tcPr>
          <w:p>
            <w:pPr>
              <w:ind w:left="660"/>
              <w:spacing w:after="0"/>
              <w:rPr>
                <w:sz w:val="20"/>
                <w:szCs w:val="20"/>
                <w:color w:val="auto"/>
              </w:rPr>
            </w:pPr>
            <w:r>
              <w:rPr>
                <w:rFonts w:ascii="Times New Roman" w:cs="Times New Roman" w:eastAsia="Times New Roman" w:hAnsi="Times New Roman"/>
                <w:sz w:val="17"/>
                <w:szCs w:val="17"/>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13,264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39,846</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Performance-based compensation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8,420</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Payroll taxes and employee benefits</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11,650</w:t>
            </w:r>
          </w:p>
        </w:tc>
      </w:tr>
      <w:tr>
        <w:trPr>
          <w:trHeight w:val="232"/>
        </w:trPr>
        <w:tc>
          <w:tcPr>
            <w:tcW w:w="50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Compensation and employee benefits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20,048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59,916</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Data processing</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8,953</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Occupancy, net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5,975</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Interchange expense</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3,222</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fixtures and equipment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FDIC deposit insurance</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and collection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Legal and professional</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1,871</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licenses and fees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Director fees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w:t>
            </w:r>
          </w:p>
        </w:tc>
      </w:tr>
      <w:tr>
        <w:trPr>
          <w:trHeight w:val="251"/>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loss reimbursement on sold loans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39"/>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 on other real estate and repossessed assets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6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related to unfunded lending commitments</w:t>
            </w:r>
          </w:p>
        </w:tc>
        <w:tc>
          <w:tcPr>
            <w:tcW w:w="9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39"/>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3,796</w:t>
            </w:r>
          </w:p>
        </w:tc>
      </w:tr>
      <w:tr>
        <w:trPr>
          <w:trHeight w:val="263"/>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90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32,583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32,036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95,241</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Compensation and employee benefits expenses, in total, increased $0.1 million on a quarterly comparative basis and increased $2.2 million for the first nine months of 2024 compared to the same periods in 2023.</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Compensation expense increased by $0.2 million and $0.1 million in the third quarter and first nine months of 2024, respectively, compared to the same periods in 2023. These comparative increases in 2024 were primarily due to salary increases that were predominantly effective on January 1, 2024 that were only partially offset by a decrease in mortgage lending and other retail personnel.</w:t>
      </w:r>
    </w:p>
    <w:p>
      <w:pPr>
        <w:spacing w:after="0" w:line="1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Performance-based compensation increased by $0.5 million and $2.4 million in the third quarter and first nine months of 2024, respectively, compared to the same periods in 2023. The increases were primarily due to higher expected incentive compensation payout for salaried and hourly employees.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Payroll taxes and employee benefits decreased by $0.6 million and $0.3 million in the third quarter and first nine months of 2024, respectively, compared to the same periods in 2023. The decreases were primarily due to decreases in employee medical insurance costs and a mortgage loan origination related incentive due to lower loan volumes.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Data processing expense increased by $0.3 million and $0.9 million in the third quarter and first nine months of 2024, respectively, compared to the same prior year periods due in part to core data processor annual asset growth and CPI related cost increases as well as new solutions implemented during this time frame.</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increased by $0.2 million and $0.6 million in the third quarter and first nine months of 2024, respectively, compared to the same prior year periods due primarily to modifications in strategic marketing spend as well as costs related to certain website redesign initiatives.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Taxes licenses and fees increased by $0.1 million and $0.2 m</w:t>
      </w:r>
      <w:r>
        <w:rPr>
          <w:rFonts w:ascii="Times New Roman" w:cs="Times New Roman" w:eastAsia="Times New Roman" w:hAnsi="Times New Roman"/>
          <w:sz w:val="20"/>
          <w:szCs w:val="20"/>
          <w:color w:val="auto"/>
        </w:rPr>
        <w:t>illio</w:t>
      </w:r>
      <w:r>
        <w:rPr>
          <w:rFonts w:ascii="Times New Roman" w:cs="Times New Roman" w:eastAsia="Times New Roman" w:hAnsi="Times New Roman"/>
          <w:sz w:val="17"/>
          <w:szCs w:val="17"/>
          <w:color w:val="auto"/>
        </w:rPr>
        <w:t>n in the third quarter and first nine months of 2024, respectively, compared to the same periods in 2023 due primarily to higher Michigan Corporate Income Tax expense as the result of an increase in tax base.</w:t>
      </w:r>
    </w:p>
    <w:p>
      <w:pPr>
        <w:spacing w:after="0" w:line="10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Costs (recoveries) related to unfunded lending commitments decreased by $0.3 million and $0.8 million in the third quarter and first nine months of 2024, respectively compared to the same prior year periods. These decreases are due to decreases in the changes to both the balance of lending commitments and the loss rates applied to those lending commitments.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Income tax expense. </w:t>
      </w:r>
      <w:r>
        <w:rPr>
          <w:rFonts w:ascii="Times New Roman" w:cs="Times New Roman" w:eastAsia="Times New Roman" w:hAnsi="Times New Roman"/>
          <w:sz w:val="17"/>
          <w:szCs w:val="17"/>
          <w:color w:val="auto"/>
        </w:rPr>
        <w:t>We recorded an income tax expense of $3.5 million and $11.9 million in the third quarter and the first nine months of 2024, 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compares to an income tax expense of $4.1 million and $10.4 million in the third quarter and the first nine months of 2023, respectively. The changes in expense in the third quarter and first nine months of 2024 compared to the same periods in 2023 are primarily due to changes in pretax income.</w:t>
      </w:r>
    </w:p>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September 30, 2024 and 2023 and at December 31, 2023, that the realization of substantially all of our deferred tax assets continues to be more likely than not.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3"/>
          <w:szCs w:val="13"/>
          <w:b w:val="1"/>
          <w:bCs w:val="1"/>
          <w:color w:val="auto"/>
        </w:rPr>
        <w:t>INANCIAL</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3"/>
          <w:szCs w:val="13"/>
          <w:b w:val="1"/>
          <w:bCs w:val="1"/>
          <w:color w:val="auto"/>
        </w:rPr>
        <w:t>ONDITION</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Summary. </w:t>
      </w:r>
      <w:r>
        <w:rPr>
          <w:rFonts w:ascii="Times New Roman" w:cs="Times New Roman" w:eastAsia="Times New Roman" w:hAnsi="Times New Roman"/>
          <w:sz w:val="17"/>
          <w:szCs w:val="17"/>
          <w:color w:val="auto"/>
        </w:rPr>
        <w:t>Our total assets decreased by $4.5 million during the first nine months of 2024. Loans, excluding loans held for sale, were $3.94 billion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September 30, 2024, compared to $3.79 billion at December 31, 2023. Commercial loans and mortgage loans each increased while installment loans decreased during the first nine months of 2024. (See “Portfolio Loans and asset quality.”) Securities available for sale and securities held to maturity together totaled $932.3 million at September 30, 2024, a decline of $101.1 million since December 31, 2023.</w:t>
      </w:r>
    </w:p>
    <w:p>
      <w:pPr>
        <w:spacing w:after="0" w:line="1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Deposits totaled $4.63 billion at September 30, 2024, an increase of $4.0 million from December 31, 2023. The increase in deposits from December 31, 2023, is due to increases in savings and interest-bearing checking, reciprocal and time deposits that were partially off set by a decrease in non-interest bearing deposits as well as scheduled maturities of brokered time deposits.</w:t>
      </w:r>
    </w:p>
    <w:p>
      <w:pPr>
        <w:spacing w:after="0" w:line="13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We maintain diversified securities portfolios, which include obligations of U.S. government-sponsored agencies, securities issued by states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political subdivisions, residential and commercial mortgage-backed securities, asset-backed securities, corporate securities, trust preferred securities and foreign government securities (that are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denominated in U.S. dollars). We regularly evaluate asset/liability management needs and attempt to maintain a portfolio structure that provides sufficient liquidity and cash flow.</w:t>
      </w:r>
    </w:p>
    <w:p>
      <w:pPr>
        <w:spacing w:after="0" w:line="1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and intent to hold securities with unrealized losses to maturity or until such time as the unrealized losses reverse.(See “Asset/liability management.”)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Available for Sale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Amortized</w:t>
            </w:r>
          </w:p>
        </w:tc>
        <w:tc>
          <w:tcPr>
            <w:tcW w:w="1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Unrealized</w:t>
            </w: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Fair</w:t>
            </w: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7"/>
                <w:szCs w:val="17"/>
                <w:color w:val="auto"/>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212"/>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Securities available for sale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 thousands)</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639,618</w:t>
            </w:r>
          </w:p>
        </w:tc>
        <w:tc>
          <w:tcPr>
            <w:tcW w:w="880" w:type="dxa"/>
            <w:vAlign w:val="bottom"/>
            <w:gridSpan w:val="2"/>
            <w:shd w:val="clear" w:color="auto" w:fill="CCEEFF"/>
          </w:tcPr>
          <w:p>
            <w:pPr>
              <w:jc w:val="center"/>
              <w:ind w:right="39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shd w:val="clear" w:color="auto" w:fill="CCEEFF"/>
          </w:tcPr>
          <w:p>
            <w:pPr>
              <w:spacing w:after="0"/>
              <w:rPr>
                <w:sz w:val="19"/>
                <w:szCs w:val="19"/>
                <w:color w:val="auto"/>
              </w:rPr>
            </w:pP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359</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51,027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588,950</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744,050</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464</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679,350</w:t>
            </w:r>
          </w:p>
        </w:tc>
        <w:tc>
          <w:tcPr>
            <w:tcW w:w="0" w:type="dxa"/>
            <w:vAlign w:val="bottom"/>
          </w:tcPr>
          <w:p>
            <w:pPr>
              <w:spacing w:after="0"/>
              <w:rPr>
                <w:sz w:val="1"/>
                <w:szCs w:val="1"/>
                <w:color w:val="auto"/>
              </w:rPr>
            </w:pPr>
          </w:p>
        </w:tc>
      </w:tr>
      <w:tr>
        <w:trPr>
          <w:trHeight w:val="461"/>
        </w:trPr>
        <w:tc>
          <w:tcPr>
            <w:tcW w:w="2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Securities Held to Maturity</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94"/>
              <w:spacing w:after="0"/>
              <w:rPr>
                <w:sz w:val="20"/>
                <w:szCs w:val="20"/>
                <w:color w:val="auto"/>
              </w:rPr>
            </w:pPr>
            <w:r>
              <w:rPr>
                <w:rFonts w:ascii="Times New Roman" w:cs="Times New Roman" w:eastAsia="Times New Roman" w:hAnsi="Times New Roman"/>
                <w:sz w:val="17"/>
                <w:szCs w:val="17"/>
                <w:color w:val="auto"/>
              </w:rPr>
              <w:t>Transferred</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6"/>
                <w:szCs w:val="16"/>
                <w:color w:val="auto"/>
              </w:rPr>
            </w:pPr>
          </w:p>
        </w:tc>
        <w:tc>
          <w:tcPr>
            <w:tcW w:w="1100" w:type="dxa"/>
            <w:vAlign w:val="bottom"/>
          </w:tcPr>
          <w:p>
            <w:pPr>
              <w:jc w:val="center"/>
              <w:ind w:right="114"/>
              <w:spacing w:after="0" w:line="186" w:lineRule="exact"/>
              <w:rPr>
                <w:sz w:val="20"/>
                <w:szCs w:val="20"/>
                <w:color w:val="auto"/>
              </w:rPr>
            </w:pPr>
            <w:r>
              <w:rPr>
                <w:rFonts w:ascii="Times New Roman" w:cs="Times New Roman" w:eastAsia="Times New Roman" w:hAnsi="Times New Roman"/>
                <w:sz w:val="17"/>
                <w:szCs w:val="17"/>
                <w:color w:val="auto"/>
                <w:w w:val="99"/>
              </w:rPr>
              <w:t>Unrealized</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80" w:type="dxa"/>
            <w:vAlign w:val="bottom"/>
            <w:gridSpan w:val="3"/>
          </w:tcPr>
          <w:p>
            <w:pPr>
              <w:jc w:val="center"/>
              <w:spacing w:after="0" w:line="186" w:lineRule="exact"/>
              <w:rPr>
                <w:sz w:val="20"/>
                <w:szCs w:val="20"/>
                <w:color w:val="auto"/>
              </w:rPr>
            </w:pPr>
            <w:r>
              <w:rPr>
                <w:rFonts w:ascii="Times New Roman" w:cs="Times New Roman" w:eastAsia="Times New Roman" w:hAnsi="Times New Roman"/>
                <w:sz w:val="17"/>
                <w:szCs w:val="17"/>
                <w:color w:val="auto"/>
              </w:rPr>
              <w:t>Amortized</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color w:val="auto"/>
              </w:rPr>
              <w:t>Loss (1)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ACL</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center"/>
              <w:ind w:right="434"/>
              <w:spacing w:after="0"/>
              <w:rPr>
                <w:sz w:val="20"/>
                <w:szCs w:val="20"/>
                <w:color w:val="auto"/>
              </w:rPr>
            </w:pPr>
            <w:r>
              <w:rPr>
                <w:rFonts w:ascii="Times New Roman" w:cs="Times New Roman" w:eastAsia="Times New Roman" w:hAnsi="Times New Roman"/>
                <w:sz w:val="17"/>
                <w:szCs w:val="17"/>
                <w:color w:val="auto"/>
              </w:rPr>
              <w:t>Cost</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Gains</w:t>
            </w:r>
          </w:p>
        </w:tc>
        <w:tc>
          <w:tcPr>
            <w:tcW w:w="4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16"/>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Securities held to maturity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September 30,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17,010</w:t>
            </w:r>
          </w:p>
        </w:tc>
        <w:tc>
          <w:tcPr>
            <w:tcW w:w="3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133</w:t>
            </w:r>
          </w:p>
        </w:tc>
        <w:tc>
          <w:tcPr>
            <w:tcW w:w="60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360,505</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129</w:t>
            </w:r>
          </w:p>
        </w:tc>
        <w:tc>
          <w:tcPr>
            <w:tcW w:w="3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45,996</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7"/>
                <w:szCs w:val="17"/>
                <w:color w:val="auto"/>
              </w:rPr>
              <w:t>314,638</w:t>
            </w: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2023</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353,988</w:t>
            </w:r>
          </w:p>
        </w:tc>
        <w:tc>
          <w:tcPr>
            <w:tcW w:w="2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19,503</w:t>
            </w:r>
          </w:p>
        </w:tc>
        <w:tc>
          <w:tcPr>
            <w:tcW w:w="38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w w:val="93"/>
              </w:rPr>
              <w:t>157</w:t>
            </w:r>
          </w:p>
        </w:tc>
        <w:tc>
          <w:tcPr>
            <w:tcW w:w="600" w:type="dxa"/>
            <w:vAlign w:val="bottom"/>
          </w:tcPr>
          <w:p>
            <w:pPr>
              <w:spacing w:after="0"/>
              <w:rPr>
                <w:sz w:val="19"/>
                <w:szCs w:val="19"/>
                <w:color w:val="auto"/>
              </w:rPr>
            </w:pPr>
          </w:p>
        </w:tc>
        <w:tc>
          <w:tcPr>
            <w:tcW w:w="8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373,648</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868</w:t>
            </w:r>
          </w:p>
        </w:tc>
        <w:tc>
          <w:tcPr>
            <w:tcW w:w="3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318,606</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Represents the remaining unrealized loss to be accreted on securities that were transferred from AFS to HTM on April 1, 2022.</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September 30, 2024. The decrease in unrealized losses during the first nine months of 2024 is primarily attributed to lower interest rates, pay downs of security balances, par reversion and the narrowing of certain interest rate spreads. See note #3 to the Condensed Consolidated Financial Statements included within this report for further discussion.</w:t>
      </w:r>
    </w:p>
    <w:p>
      <w:pPr>
        <w:spacing w:after="0" w:line="1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securities HTM an ACL is maintained at a level which represents our best estimate of expected credit losses. This ACL is a contra asset valuation account that is deducted from the carrying amount of securities HTM to present the net amount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Subsequent to this security's charge-off, a portion of its fair value had recovered and was subsequently sold during the first quarter of 2024 for $1.1 million during which period we recorded that amount as a recovery to the ACL. See note #3 to the Condensed Consolidated Financial Statements included within this report for further discussion.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Sales of securities available for sale were as follows (See “Non-interest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Sales of Securities Available for Sale</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25"/>
        </w:trPr>
        <w:tc>
          <w:tcPr>
            <w:tcW w:w="488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Three Months Ended September 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color w:val="auto"/>
              </w:rPr>
              <w:t>Nine Months Ended September 30,</w:t>
            </w:r>
          </w:p>
        </w:tc>
      </w:tr>
      <w:tr>
        <w:trPr>
          <w:trHeight w:val="245"/>
        </w:trPr>
        <w:tc>
          <w:tcPr>
            <w:tcW w:w="48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4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80" w:type="dxa"/>
            <w:vAlign w:val="bottom"/>
            <w:gridSpan w:val="3"/>
          </w:tcPr>
          <w:p>
            <w:pPr>
              <w:jc w:val="right"/>
              <w:ind w:right="674"/>
              <w:spacing w:after="0"/>
              <w:rPr>
                <w:sz w:val="20"/>
                <w:szCs w:val="20"/>
                <w:color w:val="auto"/>
              </w:rPr>
            </w:pPr>
            <w:r>
              <w:rPr>
                <w:rFonts w:ascii="Times New Roman" w:cs="Times New Roman" w:eastAsia="Times New Roman" w:hAnsi="Times New Roman"/>
                <w:sz w:val="17"/>
                <w:szCs w:val="17"/>
                <w:color w:val="auto"/>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(In thousands)</w:t>
            </w:r>
          </w:p>
        </w:tc>
        <w:tc>
          <w:tcPr>
            <w:tcW w:w="94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w:t>
            </w:r>
          </w:p>
        </w:tc>
        <w:tc>
          <w:tcPr>
            <w:tcW w:w="96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19"/>
        </w:trPr>
        <w:tc>
          <w:tcPr>
            <w:tcW w:w="48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Gross gains</w:t>
            </w:r>
          </w:p>
        </w:tc>
        <w:tc>
          <w:tcPr>
            <w:tcW w:w="9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Gross losses</w:t>
            </w: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gains (losses)</w:t>
            </w:r>
          </w:p>
        </w:tc>
        <w:tc>
          <w:tcPr>
            <w:tcW w:w="960" w:type="dxa"/>
            <w:vAlign w:val="bottom"/>
            <w:tcBorders>
              <w:top w:val="single" w:sz="8" w:color="auto"/>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14"/>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w:t>
            </w:r>
          </w:p>
        </w:tc>
      </w:tr>
      <w:tr>
        <w:trPr>
          <w:trHeight w:val="20"/>
        </w:trPr>
        <w:tc>
          <w:tcPr>
            <w:tcW w:w="4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Securities at Fair Value</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6, 2024, we exchanged 12,566 shares of Visa Inc. Class B-1 common stock (all of the Class B-1 shares we owned) for 2,493 shares of Visa Inc. Class C common stock and 6,283 shares of Visa Inc. Class B-2 common stock pursuant to an exchange offer conducted by Visa. With the completion of the exchange, we recorded a gain related to the Class C shares of $2.677 million based on the conversion privilege of those shares and the closing price of the Class A shares on May 3, 2024 (the exchange expiration date) of $268.49 per share. Subsequent to the exchange, we sold all of our Class C shares for net proceeds of $2.685 million. See note #13 to the Condensed Consolidated Financial Statements included within this report for further discussion.</w:t>
      </w:r>
    </w:p>
    <w:p>
      <w:pPr>
        <w:spacing w:after="0" w:line="13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Portfolio Loans and asset quality. </w:t>
      </w:r>
      <w:r>
        <w:rPr>
          <w:rFonts w:ascii="Times New Roman" w:cs="Times New Roman" w:eastAsia="Times New Roman" w:hAnsi="Times New Roman"/>
          <w:sz w:val="17"/>
          <w:szCs w:val="17"/>
          <w:color w:val="auto"/>
        </w:rPr>
        <w:t>In addition to the communities served by our Bank branch and loan production office network, our principal lending markets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2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generally retain loans that may be profitably funded within established risk parameters. (See “Asset/liability management.”) As a result, we may hold adjustable-rate and fixed rate jumbo mortgage loans as Portfolio Loans, while 15- and 30-year fixed-rate conforming mortgage loans are generally sold to mitigate exposure to changes in interest rates. (See “Non-interest income.”) The growth in mortgage loans during the first nine months of 2024 has primarily been attributed to the origination of adjustable-rate mortgage loans and advances on adjustable rate construction mortgage loans and home equity lines of credit. (See “Asset/liability management.”).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8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 summary of our Portfolio Loans follows: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8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78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2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Real estate(1)</w:t>
            </w:r>
          </w:p>
        </w:tc>
        <w:tc>
          <w:tcPr>
            <w:tcW w:w="180" w:type="dxa"/>
            <w:vAlign w:val="bottom"/>
          </w:tcPr>
          <w:p>
            <w:pPr>
              <w:spacing w:after="0"/>
              <w:rPr>
                <w:sz w:val="19"/>
                <w:szCs w:val="19"/>
                <w:color w:val="auto"/>
              </w:rPr>
            </w:pPr>
          </w:p>
        </w:tc>
        <w:tc>
          <w:tcPr>
            <w:tcW w:w="28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5"/>
        </w:trPr>
        <w:tc>
          <w:tcPr>
            <w:tcW w:w="8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Residential first mortgages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1,282,066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1,248,911</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Residential home equity and other junior mortgages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157,006</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Construction and land development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241,715</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Other(2)</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1,066,823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1,036,590</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599,732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619,374</w:t>
            </w:r>
          </w:p>
        </w:tc>
        <w:tc>
          <w:tcPr>
            <w:tcW w:w="0" w:type="dxa"/>
            <w:vAlign w:val="bottom"/>
          </w:tcPr>
          <w:p>
            <w:pPr>
              <w:spacing w:after="0"/>
              <w:rPr>
                <w:sz w:val="1"/>
                <w:szCs w:val="1"/>
                <w:color w:val="auto"/>
              </w:rPr>
            </w:pPr>
          </w:p>
        </w:tc>
      </w:tr>
      <w:tr>
        <w:trPr>
          <w:trHeight w:val="21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525,195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483,129</w:t>
            </w:r>
          </w:p>
        </w:tc>
        <w:tc>
          <w:tcPr>
            <w:tcW w:w="0" w:type="dxa"/>
            <w:vAlign w:val="bottom"/>
          </w:tcPr>
          <w:p>
            <w:pPr>
              <w:spacing w:after="0"/>
              <w:rPr>
                <w:sz w:val="1"/>
                <w:szCs w:val="1"/>
                <w:color w:val="auto"/>
              </w:rPr>
            </w:pPr>
          </w:p>
        </w:tc>
      </w:tr>
      <w:tr>
        <w:trPr>
          <w:trHeight w:val="21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Agricultural</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w:t>
            </w:r>
          </w:p>
        </w:tc>
        <w:tc>
          <w:tcPr>
            <w:tcW w:w="0" w:type="dxa"/>
            <w:vAlign w:val="bottom"/>
          </w:tcPr>
          <w:p>
            <w:pPr>
              <w:spacing w:after="0"/>
              <w:rPr>
                <w:sz w:val="1"/>
                <w:szCs w:val="1"/>
                <w:color w:val="auto"/>
              </w:rPr>
            </w:pPr>
          </w:p>
        </w:tc>
      </w:tr>
      <w:tr>
        <w:trPr>
          <w:trHeight w:val="212"/>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3,942,287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3,790,901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91" w:lineRule="exact"/>
        <w:rPr>
          <w:sz w:val="20"/>
          <w:szCs w:val="20"/>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both residential and non-residential commercial loans secured by real estate.</w:t>
      </w:r>
    </w:p>
    <w:p>
      <w:pPr>
        <w:spacing w:after="0" w:line="27"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loans secured by multi-family residential and non-farm, non-residential property.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Non-performing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70"/>
        </w:trPr>
        <w:tc>
          <w:tcPr>
            <w:tcW w:w="7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September 30,</w:t>
            </w: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9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gridSpan w:val="4"/>
          </w:tcPr>
          <w:p>
            <w:pPr>
              <w:jc w:val="right"/>
              <w:ind w:right="79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Non-accrual loans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6,991</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90 days or more past due and still accruing interest</w:t>
            </w:r>
          </w:p>
        </w:tc>
        <w:tc>
          <w:tcPr>
            <w:tcW w:w="2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432</w:t>
            </w:r>
          </w:p>
        </w:tc>
      </w:tr>
      <w:tr>
        <w:trPr>
          <w:trHeight w:val="212"/>
        </w:trPr>
        <w:tc>
          <w:tcPr>
            <w:tcW w:w="79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7,250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7,423</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Government guaranteed loans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2,102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2,191</w:t>
            </w:r>
          </w:p>
        </w:tc>
      </w:tr>
      <w:tr>
        <w:trPr>
          <w:trHeight w:val="212"/>
        </w:trPr>
        <w:tc>
          <w:tcPr>
            <w:tcW w:w="7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loans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5,148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5,232</w:t>
            </w:r>
          </w:p>
        </w:tc>
      </w:tr>
      <w:tr>
        <w:trPr>
          <w:trHeight w:val="21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real estate and repossessed assets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781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569</w:t>
            </w:r>
          </w:p>
        </w:tc>
      </w:tr>
      <w:tr>
        <w:trPr>
          <w:trHeight w:val="237"/>
        </w:trPr>
        <w:tc>
          <w:tcPr>
            <w:tcW w:w="79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non-performing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5,801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 a percent of Portfolio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9"/>
        </w:trPr>
        <w:tc>
          <w:tcPr>
            <w:tcW w:w="7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Non-performing loans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0.14 %</w:t>
            </w:r>
          </w:p>
        </w:tc>
      </w:tr>
      <w:tr>
        <w:trPr>
          <w:trHeight w:val="219"/>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1.44</w:t>
            </w:r>
          </w:p>
        </w:tc>
      </w:tr>
      <w:tr>
        <w:trPr>
          <w:trHeight w:val="219"/>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Non-performing assets to total assets</w:t>
            </w:r>
          </w:p>
        </w:tc>
        <w:tc>
          <w:tcPr>
            <w:tcW w:w="200" w:type="dxa"/>
            <w:vAlign w:val="bottom"/>
          </w:tcPr>
          <w:p>
            <w:pPr>
              <w:spacing w:after="0"/>
              <w:rPr>
                <w:sz w:val="19"/>
                <w:szCs w:val="19"/>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0.11</w:t>
            </w:r>
          </w:p>
        </w:tc>
      </w:tr>
      <w:tr>
        <w:trPr>
          <w:trHeight w:val="219"/>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credit losses as a percent of non-performing loans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1115.85 %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1044.69 %</w:t>
            </w:r>
          </w:p>
        </w:tc>
      </w:tr>
    </w:tbl>
    <w:p>
      <w:pPr>
        <w:spacing w:after="0" w:line="2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Non-performing loans have declined modestly as a percent of Portfolio Loans since year-end 2023, reflecting our ongoing collection efforts. Our collection and resolution efforts have generally resulted in a positive trend in non-performing loans.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real estate and repossessed assets totaled $0.78 million and $0.57 million at September 30, 2024, and December 31, 2023, respectively.</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reflect activity in our ACL on loans, securities and unfunded lending commitments as well as the allocation of our ACL on loans.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5"/>
        </w:trPr>
        <w:tc>
          <w:tcPr>
            <w:tcW w:w="34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0000FF"/>
              </w:rPr>
              <w:t>Index</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592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Allowance for credit losses on loans and unfunded lending commitments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160" w:type="dxa"/>
            <w:vAlign w:val="bottom"/>
          </w:tcPr>
          <w:p>
            <w:pPr>
              <w:spacing w:after="0"/>
              <w:rPr>
                <w:sz w:val="24"/>
                <w:szCs w:val="24"/>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rPr>
              <w:t>Unfunded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color w:val="auto"/>
                <w:w w:val="99"/>
              </w:rPr>
              <w:t>Unfunded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Commitments</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color w:val="auto"/>
              </w:rPr>
              <w:t>Loans</w:t>
            </w:r>
          </w:p>
        </w:tc>
        <w:tc>
          <w:tcPr>
            <w:tcW w:w="1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Securities</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w w:val="99"/>
              </w:rPr>
              <w:t>Commitments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rPr>
              <w:t>(Dollars in thousands)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 (deductions)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Recoveries credited to allowance</w:t>
            </w: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2,106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2,082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(3,000)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Additions included in non-interest expense</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57,444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80" w:type="dxa"/>
            <w:vAlign w:val="bottom"/>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loans charged (recovered) against the</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allowance to average Portfolio Loans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48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Allocation of the Allowance for Credit Losses on Loans</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5"/>
          </w:tcPr>
          <w:p>
            <w:pPr>
              <w:jc w:val="right"/>
              <w:ind w:right="320"/>
              <w:spacing w:after="0"/>
              <w:rPr>
                <w:sz w:val="20"/>
                <w:szCs w:val="20"/>
                <w:color w:val="auto"/>
              </w:rPr>
            </w:pPr>
            <w:r>
              <w:rPr>
                <w:rFonts w:ascii="Times New Roman" w:cs="Times New Roman" w:eastAsia="Times New Roman" w:hAnsi="Times New Roman"/>
                <w:sz w:val="17"/>
                <w:szCs w:val="17"/>
                <w:color w:val="auto"/>
              </w:rPr>
              <w:t>September 30,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center"/>
              <w:ind w:right="114"/>
              <w:spacing w:after="0"/>
              <w:rPr>
                <w:sz w:val="20"/>
                <w:szCs w:val="20"/>
                <w:color w:val="auto"/>
              </w:rPr>
            </w:pPr>
            <w:r>
              <w:rPr>
                <w:rFonts w:ascii="Times New Roman" w:cs="Times New Roman" w:eastAsia="Times New Roman" w:hAnsi="Times New Roman"/>
                <w:sz w:val="17"/>
                <w:szCs w:val="17"/>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6"/>
          </w:tcPr>
          <w:p>
            <w:pPr>
              <w:jc w:val="right"/>
              <w:ind w:right="654"/>
              <w:spacing w:after="0"/>
              <w:rPr>
                <w:sz w:val="20"/>
                <w:szCs w:val="20"/>
                <w:color w:val="auto"/>
              </w:rPr>
            </w:pPr>
            <w:r>
              <w:rPr>
                <w:rFonts w:ascii="Times New Roman" w:cs="Times New Roman" w:eastAsia="Times New Roman" w:hAnsi="Times New Roman"/>
                <w:sz w:val="17"/>
                <w:szCs w:val="17"/>
                <w:color w:val="auto"/>
              </w:rPr>
              <w:t>(Dollars 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Specific allocations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Pooled analysis allocations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42,086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allocations based on subjective factors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57,444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54,658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ACL increased $2.8 million to $57.4 million at September 30, 2024 from $54.7 million at December 31, 2023, and was equal to 1.46% and 1.44% of total Portfolio Loans at September 30, 2024, and December 31, 2023,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December 31, 2023, the ACL related to specific loans increased $1.2 million due primarily to one commercial loan addition during the first quarter of 2024.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ACL related to pooled analysis of loans and subjective factors increased $1.1 million and $0.5 million, respectively due primarily to loan growth.</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Deposits and borrowings. </w:t>
      </w:r>
      <w:r>
        <w:rPr>
          <w:rFonts w:ascii="Times New Roman" w:cs="Times New Roman" w:eastAsia="Times New Roman" w:hAnsi="Times New Roman"/>
          <w:sz w:val="17"/>
          <w:szCs w:val="17"/>
          <w:color w:val="auto"/>
        </w:rPr>
        <w:t>Historically, the loyalty of our customer base has allowed us to price deposits competitively, contributing to a net interest margin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Deposits totaled $4.63 billion and $4.62 billion at September 30, 2024, and December 31, 2023, respectively. The increase in deposits is primarily due to increases in savings and interest-bearing checking, reciprocal and time deposits that were partially off set by a decrease in non-interest bearing deposits as well as scheduled maturities of brokered time deposits. Reciprocal deposits totaled $995.5 million and $832.0 million at September 30, 2024 and December 31, 2023,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cannot be sure that we will be able to maintain our current level of core deposits. In particular, those deposits that are uninsured may be susceptible to outflow.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Data relating to our deposit portfolios (excluding brokered time)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September 30,</w:t>
            </w:r>
          </w:p>
        </w:tc>
        <w:tc>
          <w:tcPr>
            <w:tcW w:w="320" w:type="dxa"/>
            <w:vAlign w:val="bottom"/>
          </w:tcPr>
          <w:p>
            <w:pPr>
              <w:spacing w:after="0"/>
              <w:rPr>
                <w:sz w:val="17"/>
                <w:szCs w:val="17"/>
                <w:color w:val="auto"/>
              </w:rPr>
            </w:pPr>
          </w:p>
        </w:tc>
        <w:tc>
          <w:tcPr>
            <w:tcW w:w="158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December 31,</w:t>
            </w:r>
          </w:p>
        </w:tc>
      </w:tr>
      <w:tr>
        <w:trPr>
          <w:trHeight w:val="223"/>
        </w:trPr>
        <w:tc>
          <w:tcPr>
            <w:tcW w:w="7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rPr>
              <w:t>2023</w:t>
            </w:r>
          </w:p>
        </w:tc>
      </w:tr>
      <w:tr>
        <w:trPr>
          <w:trHeight w:val="212"/>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60" w:type="dxa"/>
            <w:vAlign w:val="bottom"/>
            <w:gridSpan w:val="3"/>
          </w:tcPr>
          <w:p>
            <w:pPr>
              <w:jc w:val="right"/>
              <w:ind w:right="1054"/>
              <w:spacing w:after="0"/>
              <w:rPr>
                <w:sz w:val="20"/>
                <w:szCs w:val="20"/>
                <w:color w:val="auto"/>
              </w:rPr>
            </w:pPr>
            <w:r>
              <w:rPr>
                <w:rFonts w:ascii="Times New Roman" w:cs="Times New Roman" w:eastAsia="Times New Roman" w:hAnsi="Times New Roman"/>
                <w:sz w:val="17"/>
                <w:szCs w:val="17"/>
                <w:color w:val="auto"/>
              </w:rPr>
              <w:t>(Dollars in thousands)</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Uninsured deposits (1)</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1,056,791</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961,974</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Uninsured deposits as a percentage of deposits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23.0 %</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Average deposit account size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21.91</w:t>
            </w:r>
          </w:p>
        </w:tc>
        <w:tc>
          <w:tcPr>
            <w:tcW w:w="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20.38</w:t>
            </w:r>
          </w:p>
        </w:tc>
      </w:tr>
      <w:tr>
        <w:trPr>
          <w:trHeight w:val="219"/>
        </w:trPr>
        <w:tc>
          <w:tcPr>
            <w:tcW w:w="73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Balance of top 100 largest depositors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1,144,474</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890,289</w:t>
            </w:r>
          </w:p>
        </w:tc>
      </w:tr>
      <w:tr>
        <w:trPr>
          <w:trHeight w:val="219"/>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Balance of top 100 depositors as a percentage of deposits, excluding brokered time deposits</w:t>
            </w: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20.5 %</w:t>
            </w:r>
          </w:p>
        </w:tc>
      </w:tr>
    </w:tbl>
    <w:p>
      <w:pPr>
        <w:spacing w:after="0" w:line="241" w:lineRule="exact"/>
        <w:rPr>
          <w:sz w:val="20"/>
          <w:szCs w:val="20"/>
          <w:color w:val="auto"/>
        </w:rPr>
      </w:pPr>
    </w:p>
    <w:p>
      <w:pPr>
        <w:ind w:firstLine="3"/>
        <w:spacing w:after="0" w:line="287" w:lineRule="auto"/>
        <w:tabs>
          <w:tab w:leader="none" w:pos="26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amounts exclude intercompany related deposits of $51.8 million and $51.2 million respectively. Uninsured deposits reported in our Call Report at September 30, 2024 and December 31, 2023 totaled $1,108.6 million and $1,013.2 million, respectively.</w:t>
      </w:r>
    </w:p>
    <w:p>
      <w:pPr>
        <w:spacing w:after="0" w:line="12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borrowings, historically comprising primarily of FRB and FHLB borrowings, totaled zero and $50.0 million at September 30, 2024, and December 31, 2023, respectively.</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described above, we have utilized wholesale funding, including federal funds purchased, FHLB and FRB borrowings and Brokered CDs to augment our core deposits and fund a portion of our assets. At September 30, 2024, our use of such wholesale funding sources (including reciprocal deposits) amounted to approximately $1.04 billion, or 22.4%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historically employed derivative financial instruments to manage our exposure to changes in interest rates. During the first nine months of 2024 and 2023, we entered into $136.0 million and $92.9 million (aggregate notional amounts), respectively, of interest rate swaps with commercial loan customers, which were offset with interest rate swaps that the Bank entered into with a broker-dealer. We recorded $1.52 million and $1.46 million of fee income related to these transactions during the first nine months of 2024 and 2023, respectively. See note #6 to the Condensed Consolidated Financial Statements included within this report for more information on our derivative financial instruments.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Liquidity and capital resources. </w:t>
      </w:r>
      <w:r>
        <w:rPr>
          <w:rFonts w:ascii="Times New Roman" w:cs="Times New Roman" w:eastAsia="Times New Roman" w:hAnsi="Times New Roman"/>
          <w:sz w:val="17"/>
          <w:szCs w:val="17"/>
          <w:color w:val="auto"/>
        </w:rPr>
        <w:t>Liquidity risk is the risk of being unable to timely meet obligations as they come due at a reasonable funding cost or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primary sources of funds include our deposit base, secured advances from the FHLB and FRB, federal funds purchased, borrowing facilities with other banks, and access to the capital markets (for Brokered CDs). At September 30, 2024, in addition to liquidity available from our normal operating, funding and investing activities we had unused credit lines with the FHLB and FRB of approximately $1.111 billion and $471.7 million, respectively. We also had approximately $771.3 million in fair value of unpledged securities AFS and HTM at September 30, 2024, which could be pledged for an estimated additional borrowing capacity at the FHLB and FRB of approximately $718.0 million.</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September 30, 2024, we had $698.5 million of time deposits that mature in the next 12 months. Historically, a majority of these maturing time deposits are renewed by our customers. Additionally, $3.85 billion of our deposits at September 30, 2024,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1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also believe that the available cash on hand at the parent company (including time deposits) of approximately $47.0 million as of September 30, 2024,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4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8"/>
        </w:trPr>
        <w:tc>
          <w:tcPr>
            <w:tcW w:w="4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color w:val="auto"/>
              </w:rPr>
              <w:t>2024</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right"/>
              <w:ind w:right="934"/>
              <w:spacing w:after="0"/>
              <w:rPr>
                <w:sz w:val="20"/>
                <w:szCs w:val="20"/>
                <w:color w:val="auto"/>
              </w:rPr>
            </w:pPr>
            <w:r>
              <w:rPr>
                <w:rFonts w:ascii="Times New Roman" w:cs="Times New Roman" w:eastAsia="Times New Roman" w:hAnsi="Times New Roman"/>
                <w:sz w:val="17"/>
                <w:szCs w:val="17"/>
                <w:color w:val="auto"/>
              </w:rPr>
              <w:t>(In thousands)</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Subordinated debt</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39,510</w:t>
            </w:r>
          </w:p>
        </w:tc>
        <w:tc>
          <w:tcPr>
            <w:tcW w:w="0" w:type="dxa"/>
            <w:vAlign w:val="bottom"/>
          </w:tcPr>
          <w:p>
            <w:pPr>
              <w:spacing w:after="0"/>
              <w:rPr>
                <w:sz w:val="1"/>
                <w:szCs w:val="1"/>
                <w:color w:val="auto"/>
              </w:rPr>
            </w:pPr>
          </w:p>
        </w:tc>
      </w:tr>
      <w:tr>
        <w:trPr>
          <w:trHeight w:val="219"/>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Subordinated debentures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39,728</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not qualifying as regulatory capital</w:t>
            </w:r>
          </w:p>
        </w:tc>
        <w:tc>
          <w:tcPr>
            <w:tcW w:w="36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12"/>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Amount qualifying as regulatory capital</w:t>
            </w:r>
          </w:p>
        </w:tc>
        <w:tc>
          <w:tcPr>
            <w:tcW w:w="3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78,555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78,504</w:t>
            </w:r>
          </w:p>
        </w:tc>
        <w:tc>
          <w:tcPr>
            <w:tcW w:w="0" w:type="dxa"/>
            <w:vAlign w:val="bottom"/>
          </w:tcPr>
          <w:p>
            <w:pPr>
              <w:spacing w:after="0"/>
              <w:rPr>
                <w:sz w:val="1"/>
                <w:szCs w:val="1"/>
                <w:color w:val="auto"/>
              </w:rPr>
            </w:pPr>
          </w:p>
        </w:tc>
      </w:tr>
      <w:tr>
        <w:trPr>
          <w:trHeight w:val="19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317,483</w:t>
            </w: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159,108</w:t>
            </w:r>
          </w:p>
        </w:tc>
        <w:tc>
          <w:tcPr>
            <w:tcW w:w="0" w:type="dxa"/>
            <w:vAlign w:val="bottom"/>
          </w:tcPr>
          <w:p>
            <w:pPr>
              <w:spacing w:after="0"/>
              <w:rPr>
                <w:sz w:val="1"/>
                <w:szCs w:val="1"/>
                <w:color w:val="auto"/>
              </w:rPr>
            </w:pPr>
          </w:p>
        </w:tc>
      </w:tr>
      <w:tr>
        <w:trPr>
          <w:trHeight w:val="219"/>
        </w:trPr>
        <w:tc>
          <w:tcPr>
            <w:tcW w:w="4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(72,142)</w:t>
            </w:r>
          </w:p>
        </w:tc>
        <w:tc>
          <w:tcPr>
            <w:tcW w:w="0" w:type="dxa"/>
            <w:vAlign w:val="bottom"/>
          </w:tcPr>
          <w:p>
            <w:pPr>
              <w:spacing w:after="0"/>
              <w:rPr>
                <w:sz w:val="1"/>
                <w:szCs w:val="1"/>
                <w:color w:val="auto"/>
              </w:rPr>
            </w:pPr>
          </w:p>
        </w:tc>
      </w:tr>
      <w:tr>
        <w:trPr>
          <w:trHeight w:val="212"/>
        </w:trPr>
        <w:tc>
          <w:tcPr>
            <w:tcW w:w="4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452,369</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404,449</w:t>
            </w:r>
          </w:p>
        </w:tc>
        <w:tc>
          <w:tcPr>
            <w:tcW w:w="0" w:type="dxa"/>
            <w:vAlign w:val="bottom"/>
          </w:tcPr>
          <w:p>
            <w:pPr>
              <w:spacing w:after="0"/>
              <w:rPr>
                <w:sz w:val="1"/>
                <w:szCs w:val="1"/>
                <w:color w:val="auto"/>
              </w:rPr>
            </w:pPr>
          </w:p>
        </w:tc>
      </w:tr>
      <w:tr>
        <w:trPr>
          <w:trHeight w:val="212"/>
        </w:trPr>
        <w:tc>
          <w:tcPr>
            <w:tcW w:w="45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capitalization</w:t>
            </w:r>
          </w:p>
        </w:tc>
        <w:tc>
          <w:tcPr>
            <w:tcW w:w="36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530,924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482,953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620" w:type="dxa"/>
            <w:vAlign w:val="bottom"/>
            <w:vMerge w:val="restart"/>
          </w:tcPr>
          <w:p>
            <w:pPr>
              <w:jc w:val="right"/>
              <w:ind w:right="2394"/>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456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3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September 30, 2024, balance of $39.6 million is net of remaining unamortized deferred issuance costs of approximately $0.4 million that are being amortized through the maturity date into interest expense on other borrowings and subordinated debt and debentures in our Condensed Consolidated Statements of Operations.</w:t>
      </w:r>
    </w:p>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currently have four special purpose entities with $39.8 million of outstanding cumulative trust preferred securities as of September 30, 2024.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September 30, 2024, and December 31, 2023.</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Common shareholders’ equity increased to $452.4 million at September 30, 2024, from $404.4 million at December 31, 2023. The increase is primarily due to earnings retention and a decrease in accumulated other comprehensive loss. Our tangible common equity (“TCE”) totaled $422.5 million and $374.1 million, respectively, at those same dates. Our ratio of TCE to tangible assets was 8.08% and 7.15% at September 30, 2024, and December 31, 2023, respectively. TCE and the ratio of TCE to tangible assets are non-GAAP measures. TCE represents total common equity less goodwill and other intangible assets.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December 2023, our Board of Directors authorized a 2024 share repurchase plan. Under the terms of the 2024 share repurchase plan, we are authorized to buy back up to 1,100,000, or approximately 5% of our outstanding common stock. There were no shares repurchased during the first nine months of 2024. During the first nine months of 2023, we repurchased 288,401 shares of common stock, for an aggregate purchase price of $5.0 million.</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currently pay a quarterly cash dividend on our common stock. These dividends totaled $0.72 per share and $0.69 per share in the first nine months of 2024 and 2023, respectively. We generally favor a dividend payout ratio between 30% and 50% of net income.</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September 30, 2024 and December 31, 2023, our Bank (and holding company) continued to meet the requirements to be considered “well-capitalized” under federal regulatory standards (also see note #10 to the Condensed Consolidated Financial Statements included within this report).</w:t>
      </w:r>
    </w:p>
    <w:p>
      <w:pPr>
        <w:spacing w:after="0" w:line="12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Asset/liability management. </w:t>
      </w:r>
      <w:r>
        <w:rPr>
          <w:rFonts w:ascii="Times New Roman" w:cs="Times New Roman" w:eastAsia="Times New Roman" w:hAnsi="Times New Roman"/>
          <w:sz w:val="17"/>
          <w:szCs w:val="17"/>
          <w:color w:val="auto"/>
        </w:rPr>
        <w:t>Interest-rate risk is created by differences in the cash flow characteristics of our assets and liabilities. Options embedded in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instruments, including caps on adjustable-rate loans as well as borrowers’ rights to prepay fixed-rate loans, also create interest-rate risk.</w:t>
      </w:r>
    </w:p>
    <w:p>
      <w:pPr>
        <w:spacing w:after="0" w:line="1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3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September 30, 2024, our interest rate risk profile as measured by our longer term interest rate risk measure based on changes in economic value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indicates exposure to rising rates. This measure has decreased modestly from December 31, 2023 due to a decline in asset duration, an increase in liability duration and a higher base value. Asset duration declined given a shift in the asset mix to shorter duration loans. The increase in liability duration is due to modestly lower betas on some non-maturity deposit accounts and a favorable shift in deposit mix with a decline in low duration brokered time deposits combined with growth in higher duration deposits. In addition, at September 30, 2024 our simulation base-rate scenario for market value of portfolio equity increased from December 31, 2023 due primarily to an increase in the Bank’s tangible equity and an improvement in asset values given a decline in interest rates.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interest rate caps and interest rate floors) and may continue to sell some fixed rate jumbo and other portfolio mortgage loans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MARKET VALUE OF PORTFOLIO EQUITY, NET INTEREST INCOME AND NET INTEREST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Net</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Portfolio</w:t>
            </w:r>
          </w:p>
        </w:tc>
        <w:tc>
          <w:tcPr>
            <w:tcW w:w="13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40" w:type="dxa"/>
            <w:vAlign w:val="bottom"/>
          </w:tcPr>
          <w:p>
            <w:pPr>
              <w:spacing w:after="0"/>
              <w:rPr>
                <w:sz w:val="17"/>
                <w:szCs w:val="17"/>
                <w:color w:val="auto"/>
              </w:rPr>
            </w:pPr>
          </w:p>
        </w:tc>
        <w:tc>
          <w:tcPr>
            <w:tcW w:w="1320" w:type="dxa"/>
            <w:vAlign w:val="bottom"/>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Net Interest</w:t>
            </w:r>
          </w:p>
        </w:tc>
        <w:tc>
          <w:tcPr>
            <w:tcW w:w="142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252"/>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Interest Rates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Equity(1)</w:t>
            </w: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334"/>
              <w:spacing w:after="0"/>
              <w:rPr>
                <w:sz w:val="20"/>
                <w:szCs w:val="20"/>
                <w:color w:val="auto"/>
              </w:rPr>
            </w:pPr>
            <w:r>
              <w:rPr>
                <w:rFonts w:ascii="Times New Roman" w:cs="Times New Roman" w:eastAsia="Times New Roman" w:hAnsi="Times New Roman"/>
                <w:sz w:val="17"/>
                <w:szCs w:val="17"/>
                <w:b w:val="1"/>
                <w:bCs w:val="1"/>
                <w:color w:val="auto"/>
              </w:rPr>
              <w:t>Income(2)</w:t>
            </w:r>
          </w:p>
        </w:tc>
        <w:tc>
          <w:tcPr>
            <w:tcW w:w="1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 w:type="dxa"/>
            <w:vAlign w:val="bottom"/>
          </w:tcPr>
          <w:p>
            <w:pPr>
              <w:spacing w:after="0"/>
              <w:rPr>
                <w:sz w:val="21"/>
                <w:szCs w:val="21"/>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Margin(3)</w:t>
            </w:r>
          </w:p>
        </w:tc>
        <w:tc>
          <w:tcPr>
            <w:tcW w:w="80" w:type="dxa"/>
            <w:vAlign w:val="bottom"/>
          </w:tcPr>
          <w:p>
            <w:pPr>
              <w:spacing w:after="0"/>
              <w:rPr>
                <w:sz w:val="21"/>
                <w:szCs w:val="21"/>
                <w:color w:val="auto"/>
              </w:rPr>
            </w:pPr>
          </w:p>
        </w:tc>
        <w:tc>
          <w:tcPr>
            <w:tcW w:w="14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20"/>
        </w:trPr>
        <w:tc>
          <w:tcPr>
            <w:tcW w:w="2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60" w:type="dxa"/>
            <w:vAlign w:val="bottom"/>
            <w:gridSpan w:val="3"/>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550,600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179,300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3.58 %</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585,800</w:t>
            </w: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(5.73)</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178,500</w:t>
            </w:r>
          </w:p>
        </w:tc>
        <w:tc>
          <w:tcPr>
            <w:tcW w:w="12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0.90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0.85</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621,400</w:t>
            </w:r>
          </w:p>
        </w:tc>
        <w:tc>
          <w:tcPr>
            <w:tcW w:w="1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176,900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3.54</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644,300</w:t>
            </w: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3.69</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174,000</w:t>
            </w:r>
          </w:p>
        </w:tc>
        <w:tc>
          <w:tcPr>
            <w:tcW w:w="1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Pr>
          <w:p>
            <w:pPr>
              <w:spacing w:after="0"/>
              <w:rPr>
                <w:sz w:val="19"/>
                <w:szCs w:val="19"/>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648,500</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4.36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173,600</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(1.87)</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3.47</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(1.98)</w:t>
            </w:r>
          </w:p>
        </w:tc>
        <w:tc>
          <w:tcPr>
            <w:tcW w:w="0" w:type="dxa"/>
            <w:vAlign w:val="bottom"/>
          </w:tcPr>
          <w:p>
            <w:pPr>
              <w:spacing w:after="0"/>
              <w:rPr>
                <w:sz w:val="1"/>
                <w:szCs w:val="1"/>
                <w:color w:val="auto"/>
              </w:rPr>
            </w:pPr>
          </w:p>
        </w:tc>
      </w:tr>
      <w:tr>
        <w:trPr>
          <w:trHeight w:val="258"/>
        </w:trPr>
        <w:tc>
          <w:tcPr>
            <w:tcW w:w="2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rise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447,600</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166,000</w:t>
            </w:r>
          </w:p>
        </w:tc>
        <w:tc>
          <w:tcPr>
            <w:tcW w:w="1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(2.06)%</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3.30 %</w:t>
            </w:r>
          </w:p>
        </w:tc>
        <w:tc>
          <w:tcPr>
            <w:tcW w:w="80" w:type="dxa"/>
            <w:vAlign w:val="bottom"/>
          </w:tcPr>
          <w:p>
            <w:pPr>
              <w:spacing w:after="0"/>
              <w:rPr>
                <w:sz w:val="19"/>
                <w:szCs w:val="19"/>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rise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494,500</w:t>
            </w:r>
          </w:p>
        </w:tc>
        <w:tc>
          <w:tcPr>
            <w:tcW w:w="1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(8.63)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168,300</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(0.71)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3.35</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(0.89)</w:t>
            </w:r>
          </w:p>
        </w:tc>
        <w:tc>
          <w:tcPr>
            <w:tcW w:w="0" w:type="dxa"/>
            <w:vAlign w:val="bottom"/>
          </w:tcPr>
          <w:p>
            <w:pPr>
              <w:spacing w:after="0"/>
              <w:rPr>
                <w:sz w:val="1"/>
                <w:szCs w:val="1"/>
                <w:color w:val="auto"/>
              </w:rPr>
            </w:pPr>
          </w:p>
        </w:tc>
      </w:tr>
      <w:tr>
        <w:trPr>
          <w:trHeight w:val="219"/>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Base-rate scenario</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541,200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169,500</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100 basis point decline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582,800</w:t>
            </w:r>
          </w:p>
        </w:tc>
        <w:tc>
          <w:tcPr>
            <w:tcW w:w="13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7.69</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169,000</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(0.29)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3.36</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(0.59)</w:t>
            </w:r>
          </w:p>
        </w:tc>
        <w:tc>
          <w:tcPr>
            <w:tcW w:w="0" w:type="dxa"/>
            <w:vAlign w:val="bottom"/>
          </w:tcPr>
          <w:p>
            <w:pPr>
              <w:spacing w:after="0"/>
              <w:rPr>
                <w:sz w:val="1"/>
                <w:szCs w:val="1"/>
                <w:color w:val="auto"/>
              </w:rPr>
            </w:pPr>
          </w:p>
        </w:tc>
      </w:tr>
      <w:tr>
        <w:trPr>
          <w:trHeight w:val="223"/>
        </w:trPr>
        <w:tc>
          <w:tcPr>
            <w:tcW w:w="2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 basis point decline</w:t>
            </w:r>
          </w:p>
        </w:tc>
        <w:tc>
          <w:tcPr>
            <w:tcW w:w="180" w:type="dxa"/>
            <w:vAlign w:val="bottom"/>
          </w:tcPr>
          <w:p>
            <w:pPr>
              <w:spacing w:after="0"/>
              <w:rPr>
                <w:sz w:val="19"/>
                <w:szCs w:val="19"/>
                <w:color w:val="auto"/>
              </w:rPr>
            </w:pPr>
          </w:p>
        </w:tc>
        <w:tc>
          <w:tcPr>
            <w:tcW w:w="13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603,200</w:t>
            </w: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11.46</w:t>
            </w:r>
          </w:p>
        </w:tc>
        <w:tc>
          <w:tcPr>
            <w:tcW w:w="240" w:type="dxa"/>
            <w:vAlign w:val="bottom"/>
          </w:tcPr>
          <w:p>
            <w:pPr>
              <w:spacing w:after="0"/>
              <w:rPr>
                <w:sz w:val="19"/>
                <w:szCs w:val="19"/>
                <w:color w:val="auto"/>
              </w:rPr>
            </w:pPr>
          </w:p>
        </w:tc>
        <w:tc>
          <w:tcPr>
            <w:tcW w:w="132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167,800</w:t>
            </w:r>
          </w:p>
        </w:tc>
        <w:tc>
          <w:tcPr>
            <w:tcW w:w="1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1440" w:type="dxa"/>
            <w:vAlign w:val="bottom"/>
          </w:tcPr>
          <w:p>
            <w:pPr>
              <w:ind w:left="920"/>
              <w:spacing w:after="0"/>
              <w:rPr>
                <w:sz w:val="20"/>
                <w:szCs w:val="20"/>
                <w:color w:val="auto"/>
              </w:rPr>
            </w:pPr>
            <w:r>
              <w:rPr>
                <w:rFonts w:ascii="Times New Roman" w:cs="Times New Roman" w:eastAsia="Times New Roman" w:hAnsi="Times New Roman"/>
                <w:sz w:val="17"/>
                <w:szCs w:val="17"/>
                <w:color w:val="auto"/>
              </w:rPr>
              <w:t>3.34</w:t>
            </w:r>
          </w:p>
        </w:tc>
        <w:tc>
          <w:tcPr>
            <w:tcW w:w="80" w:type="dxa"/>
            <w:vAlign w:val="bottom"/>
          </w:tcPr>
          <w:p>
            <w:pPr>
              <w:spacing w:after="0"/>
              <w:rPr>
                <w:sz w:val="19"/>
                <w:szCs w:val="19"/>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178" w:lineRule="exact"/>
        <w:rPr>
          <w:sz w:val="20"/>
          <w:szCs w:val="20"/>
          <w:color w:val="auto"/>
        </w:rPr>
      </w:pPr>
    </w:p>
    <w:p>
      <w:pPr>
        <w:jc w:val="both"/>
        <w:ind w:left="320" w:hanging="317"/>
        <w:spacing w:after="0" w:line="260"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jc w:val="both"/>
        <w:ind w:left="320" w:hanging="317"/>
        <w:spacing w:after="0" w:line="253"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 or loan origination costs.</w:t>
      </w:r>
    </w:p>
    <w:p>
      <w:pPr>
        <w:jc w:val="both"/>
        <w:ind w:left="320" w:hanging="317"/>
        <w:spacing w:after="0" w:line="259" w:lineRule="auto"/>
        <w:tabs>
          <w:tab w:leader="none" w:pos="31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Simulation analyses calculate the change in tax equivalent net interest income as a percent of average interest-earning assets (the “net interest margin”) under immediate parallel shifts in interest rates over the next twelve months, based upon a static statement of financial condition, which includes debt and related financial derivative instruments, and do not consider loan fees or loan origination costs.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3"/>
          <w:szCs w:val="13"/>
          <w:b w:val="1"/>
          <w:bCs w:val="1"/>
          <w:color w:val="auto"/>
        </w:rPr>
        <w:t>ITIGATION</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ATTERS</w:t>
      </w:r>
    </w:p>
    <w:p>
      <w:pPr>
        <w:spacing w:after="0" w:line="1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4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Accounting standards update. </w:t>
      </w:r>
      <w:r>
        <w:rPr>
          <w:rFonts w:ascii="Times New Roman" w:cs="Times New Roman" w:eastAsia="Times New Roman" w:hAnsi="Times New Roman"/>
          <w:sz w:val="17"/>
          <w:szCs w:val="17"/>
          <w:color w:val="auto"/>
        </w:rPr>
        <w:t>See note #2 to the Condensed Consolidated Financial Statements included elsewhere in this report for details on recently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pronouncements and their impact on our interim condensed consolidated financial statements.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Fair valuation of financial instruments. </w:t>
      </w:r>
      <w:r>
        <w:rPr>
          <w:rFonts w:ascii="Times New Roman" w:cs="Times New Roman" w:eastAsia="Times New Roman" w:hAnsi="Times New Roman"/>
          <w:sz w:val="17"/>
          <w:szCs w:val="17"/>
          <w:color w:val="auto"/>
        </w:rPr>
        <w:t>Financial Accounting Standards Board (“FASB”) Accounting Standards Codification (“ASC”) Topic 820 - “Fair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Equity securities at fair value,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RITICAL</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3"/>
          <w:szCs w:val="13"/>
          <w:b w:val="1"/>
          <w:bCs w:val="1"/>
          <w:color w:val="auto"/>
        </w:rPr>
        <w:t>CCOUNTING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OLICIES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2023.</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w:t>
      </w:r>
      <w:r>
        <w:rPr>
          <w:rFonts w:ascii="Times New Roman" w:cs="Times New Roman" w:eastAsia="Times New Roman" w:hAnsi="Times New Roman"/>
          <w:sz w:val="13"/>
          <w:szCs w:val="13"/>
          <w:b w:val="1"/>
          <w:bCs w:val="1"/>
          <w:color w:val="auto"/>
        </w:rPr>
        <w:t>UANTITATIVE AND</w:t>
      </w:r>
      <w:r>
        <w:rPr>
          <w:rFonts w:ascii="Times New Roman" w:cs="Times New Roman" w:eastAsia="Times New Roman" w:hAnsi="Times New Roman"/>
          <w:sz w:val="17"/>
          <w:szCs w:val="17"/>
          <w:b w:val="1"/>
          <w:bCs w:val="1"/>
          <w:color w:val="auto"/>
        </w:rPr>
        <w:t xml:space="preserve"> Q</w:t>
      </w:r>
      <w:r>
        <w:rPr>
          <w:rFonts w:ascii="Times New Roman" w:cs="Times New Roman" w:eastAsia="Times New Roman" w:hAnsi="Times New Roman"/>
          <w:sz w:val="13"/>
          <w:szCs w:val="13"/>
          <w:b w:val="1"/>
          <w:bCs w:val="1"/>
          <w:color w:val="auto"/>
        </w:rPr>
        <w:t>UALITATIVE</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ISCLOSURES ABOUT</w:t>
      </w:r>
      <w:r>
        <w:rPr>
          <w:rFonts w:ascii="Times New Roman" w:cs="Times New Roman" w:eastAsia="Times New Roman" w:hAnsi="Times New Roman"/>
          <w:sz w:val="17"/>
          <w:szCs w:val="17"/>
          <w:b w:val="1"/>
          <w:bCs w:val="1"/>
          <w:color w:val="auto"/>
        </w:rPr>
        <w:t xml:space="preserve"> M</w:t>
      </w:r>
      <w:r>
        <w:rPr>
          <w:rFonts w:ascii="Times New Roman" w:cs="Times New Roman" w:eastAsia="Times New Roman" w:hAnsi="Times New Roman"/>
          <w:sz w:val="13"/>
          <w:szCs w:val="13"/>
          <w:b w:val="1"/>
          <w:bCs w:val="1"/>
          <w:color w:val="auto"/>
        </w:rPr>
        <w:t>ARKET</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3"/>
          <w:szCs w:val="13"/>
          <w:b w:val="1"/>
          <w:bCs w:val="1"/>
          <w:color w:val="auto"/>
        </w:rPr>
        <w:t>ISK</w:t>
      </w:r>
    </w:p>
    <w:p>
      <w:pPr>
        <w:spacing w:after="0" w:line="18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See applicable disclosures set forth in “Management’s Discussion and Analysis of Financial Condition and Results of Operations” in Item 2 under the caption “Asset/liability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3"/>
          <w:szCs w:val="13"/>
          <w:b w:val="1"/>
          <w:bCs w:val="1"/>
          <w:color w:val="auto"/>
        </w:rPr>
        <w:t>ONTROLS AND</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ROCEDURES</w:t>
      </w:r>
    </w:p>
    <w:p>
      <w:pPr>
        <w:spacing w:after="0" w:line="182" w:lineRule="exact"/>
        <w:rPr>
          <w:sz w:val="20"/>
          <w:szCs w:val="20"/>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Evaluation of Disclosure Controls and Procedures.</w:t>
      </w:r>
    </w:p>
    <w:p>
      <w:pPr>
        <w:spacing w:after="0" w:line="178" w:lineRule="exact"/>
        <w:rPr>
          <w:rFonts w:ascii="Times New Roman" w:cs="Times New Roman" w:eastAsia="Times New Roman" w:hAnsi="Times New Roman"/>
          <w:sz w:val="17"/>
          <w:szCs w:val="17"/>
          <w:color w:val="auto"/>
        </w:rPr>
      </w:pPr>
    </w:p>
    <w:p>
      <w:pPr>
        <w:jc w:val="both"/>
        <w:ind w:left="320"/>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September 30, 2024, have concluded that, as of such date, our disclosure controls and procedures were effective.</w:t>
      </w:r>
    </w:p>
    <w:p>
      <w:pPr>
        <w:spacing w:after="0" w:line="139" w:lineRule="exact"/>
        <w:rPr>
          <w:rFonts w:ascii="Times New Roman" w:cs="Times New Roman" w:eastAsia="Times New Roman" w:hAnsi="Times New Roman"/>
          <w:sz w:val="17"/>
          <w:szCs w:val="17"/>
          <w:color w:val="auto"/>
        </w:rPr>
      </w:pPr>
    </w:p>
    <w:p>
      <w:pPr>
        <w:ind w:left="300" w:hanging="297"/>
        <w:spacing w:after="0"/>
        <w:tabs>
          <w:tab w:leader="none" w:pos="3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Internal Controls.</w:t>
      </w:r>
    </w:p>
    <w:p>
      <w:pPr>
        <w:spacing w:after="0" w:line="178" w:lineRule="exact"/>
        <w:rPr>
          <w:rFonts w:ascii="Times New Roman" w:cs="Times New Roman" w:eastAsia="Times New Roman" w:hAnsi="Times New Roman"/>
          <w:sz w:val="17"/>
          <w:szCs w:val="17"/>
          <w:color w:val="auto"/>
        </w:rPr>
      </w:pPr>
    </w:p>
    <w:p>
      <w:pPr>
        <w:ind w:left="32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quarter ended September 30, 2024,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 II</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-113030</wp:posOffset>
            </wp:positionV>
            <wp:extent cx="581025" cy="1225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spacing w:after="0" w:line="1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 have been no material changes to the risk factors disclosed in Item 1A. Risk Factors of our Annual Report on Form 10-K for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third quarter of 2024, the Company issued 343 shares of common stock to non-employee directors on a current basis and 1,802 shares of common stock to the trust for distribution to directors on a deferred basis. These shares were issued on July 1, 2024 representing aggregate fees of $0.05 million. The shares on a current basis were issued at a price of $27.00 per share and the shares on a deferred basis were issued at a price of $24.30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certain information relating to repurchases of common stock for the three-months ended September 30,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Number of</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Total Number of</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as Part of a</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Shares Authorized</w:t>
            </w:r>
          </w:p>
        </w:tc>
      </w:tr>
      <w:tr>
        <w:trPr>
          <w:trHeight w:val="206"/>
        </w:trPr>
        <w:tc>
          <w:tcPr>
            <w:tcW w:w="514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Shares Purchased</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Average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Publicly</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for Purchase</w:t>
            </w:r>
          </w:p>
        </w:tc>
      </w:tr>
      <w:tr>
        <w:trPr>
          <w:trHeight w:val="248"/>
        </w:trPr>
        <w:tc>
          <w:tcPr>
            <w:tcW w:w="514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Period</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9"/>
              </w:rPr>
              <w:t>Paid Per Share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Announced Plan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Under the Plan</w:t>
            </w:r>
          </w:p>
        </w:tc>
      </w:tr>
      <w:tr>
        <w:trPr>
          <w:trHeight w:val="212"/>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2024</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2024</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33.88</w:t>
            </w:r>
          </w:p>
        </w:tc>
        <w:tc>
          <w:tcPr>
            <w:tcW w:w="80" w:type="dxa"/>
            <w:vAlign w:val="bottom"/>
          </w:tcPr>
          <w:p>
            <w:pPr>
              <w:spacing w:after="0"/>
              <w:rPr>
                <w:sz w:val="19"/>
                <w:szCs w:val="19"/>
                <w:color w:val="auto"/>
              </w:rPr>
            </w:pPr>
          </w:p>
        </w:tc>
        <w:tc>
          <w:tcPr>
            <w:tcW w:w="154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2024</w:t>
            </w: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32.10</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hanging="317"/>
        <w:spacing w:after="0" w:line="271" w:lineRule="auto"/>
        <w:tabs>
          <w:tab w:leader="none" w:pos="27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July and August represent shares withheld from the shares that would otherwise have been issued to certain officers in order to satisfy the tax withholding obligations resulting from the vesting of restricted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5"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Trading Arrangement," as each term is defined in Item 408(a) of Regulation S-K.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Exhibits</w:t>
      </w:r>
    </w:p>
    <w:p>
      <w:pPr>
        <w:spacing w:after="0" w:line="230" w:lineRule="exact"/>
        <w:rPr>
          <w:sz w:val="20"/>
          <w:szCs w:val="20"/>
          <w:color w:val="auto"/>
        </w:rPr>
      </w:pPr>
    </w:p>
    <w:p>
      <w:pPr>
        <w:ind w:left="920" w:hanging="561"/>
        <w:spacing w:after="0"/>
        <w:tabs>
          <w:tab w:leader="none" w:pos="9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exhibits (listed by number corresponding to the Exhibit Table as Item 601 in Regulation S-K) are filed with this report:</w:t>
      </w:r>
    </w:p>
    <w:p>
      <w:pPr>
        <w:spacing w:after="0" w:line="27" w:lineRule="exact"/>
        <w:rPr>
          <w:rFonts w:ascii="Times New Roman" w:cs="Times New Roman" w:eastAsia="Times New Roman" w:hAnsi="Times New Roman"/>
          <w:sz w:val="17"/>
          <w:szCs w:val="17"/>
          <w:color w:val="auto"/>
        </w:rPr>
      </w:pPr>
    </w:p>
    <w:p>
      <w:pPr>
        <w:ind w:left="1600" w:hanging="683"/>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31.1</w:t>
      </w:r>
      <w:r>
        <w:rPr>
          <w:rFonts w:ascii="Times New Roman" w:cs="Times New Roman" w:eastAsia="Times New Roman" w:hAnsi="Times New Roman"/>
          <w:sz w:val="17"/>
          <w:szCs w:val="17"/>
          <w:color w:val="auto"/>
        </w:rPr>
        <w:t>Certificate of the Chief Executive Officer of Independent Bank Corporation pursuant to Section 302 of the Sarbanes-Oxley Act of 2002 (18 U.S.C. 1350).</w:t>
      </w:r>
    </w:p>
    <w:p>
      <w:pPr>
        <w:spacing w:after="0" w:line="9"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31.2</w:t>
      </w:r>
      <w:r>
        <w:rPr>
          <w:rFonts w:ascii="Times New Roman" w:cs="Times New Roman" w:eastAsia="Times New Roman" w:hAnsi="Times New Roman"/>
          <w:sz w:val="17"/>
          <w:szCs w:val="17"/>
          <w:color w:val="auto"/>
        </w:rPr>
        <w:t>Certificate of the Chief Financial Officer of Independent Bank Corporation pursuant to Section 302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32.1</w:t>
      </w:r>
      <w:r>
        <w:rPr>
          <w:rFonts w:ascii="Times New Roman" w:cs="Times New Roman" w:eastAsia="Times New Roman" w:hAnsi="Times New Roman"/>
          <w:sz w:val="17"/>
          <w:szCs w:val="17"/>
          <w:color w:val="auto"/>
        </w:rPr>
        <w:t>Certificate of the Chief Executive Officer of Independent Bank Corporation pursuant to Section 906 of the Sarbanes-Oxley Act of 2002 (18 U.S.C. 1350).</w:t>
      </w:r>
    </w:p>
    <w:p>
      <w:pPr>
        <w:spacing w:after="0" w:line="10" w:lineRule="exact"/>
        <w:rPr>
          <w:rFonts w:ascii="Times New Roman" w:cs="Times New Roman" w:eastAsia="Times New Roman" w:hAnsi="Times New Roman"/>
          <w:sz w:val="17"/>
          <w:szCs w:val="17"/>
          <w:color w:val="auto"/>
        </w:rPr>
      </w:pPr>
    </w:p>
    <w:p>
      <w:pPr>
        <w:ind w:left="1600" w:hanging="683"/>
        <w:spacing w:after="0" w:line="23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FF"/>
        </w:rPr>
        <w:t>32.2</w:t>
      </w:r>
      <w:r>
        <w:rPr>
          <w:rFonts w:ascii="Times New Roman" w:cs="Times New Roman" w:eastAsia="Times New Roman" w:hAnsi="Times New Roman"/>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-1005840</wp:posOffset>
            </wp:positionV>
            <wp:extent cx="7138670" cy="2540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line="239" w:lineRule="auto"/>
        <w:tabs>
          <w:tab w:leader="none" w:pos="16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 Inline XBRL Instance Document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7138670" cy="2540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670" cy="254000"/>
                    </a:xfrm>
                    <a:prstGeom prst="rect">
                      <a:avLst/>
                    </a:prstGeom>
                    <a:noFill/>
                  </pic:spPr>
                </pic:pic>
              </a:graphicData>
            </a:graphic>
          </wp:anchor>
        </w:drawing>
      </w:r>
    </w:p>
    <w:p>
      <w:pPr>
        <w:ind w:left="1600" w:hanging="677"/>
        <w:spacing w:after="0"/>
        <w:tabs>
          <w:tab w:leader="none" w:pos="16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1600" w:hanging="677"/>
        <w:spacing w:after="0"/>
        <w:tabs>
          <w:tab w:leader="none" w:pos="16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 Inline XBRL Taxonomy Extension Calculation Linkbase Document</w:t>
      </w:r>
    </w:p>
    <w:p>
      <w:pPr>
        <w:spacing w:after="0" w:line="24" w:lineRule="exact"/>
        <w:rPr>
          <w:sz w:val="20"/>
          <w:szCs w:val="20"/>
          <w:color w:val="auto"/>
        </w:rPr>
      </w:pPr>
    </w:p>
    <w:p>
      <w:pPr>
        <w:ind w:left="1600" w:hanging="677"/>
        <w:spacing w:after="0"/>
        <w:tabs>
          <w:tab w:leader="none" w:pos="1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Inline XBRL Taxonomy Extension Label Linkbase Document</w:t>
      </w:r>
    </w:p>
    <w:p>
      <w:pPr>
        <w:spacing w:after="0" w:line="24" w:lineRule="exact"/>
        <w:rPr>
          <w:sz w:val="20"/>
          <w:szCs w:val="20"/>
          <w:color w:val="auto"/>
        </w:rPr>
      </w:pPr>
    </w:p>
    <w:p>
      <w:pPr>
        <w:ind w:left="1600" w:hanging="677"/>
        <w:spacing w:after="0"/>
        <w:tabs>
          <w:tab w:leader="none" w:pos="16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00" w:hanging="677"/>
        <w:spacing w:after="0"/>
        <w:tabs>
          <w:tab w:leader="none" w:pos="16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9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ind w:left="20"/>
        <w:spacing w:after="0"/>
        <w:tabs>
          <w:tab w:leader="none" w:pos="2280" w:val="left"/>
          <w:tab w:leader="none" w:pos="6000" w:val="left"/>
          <w:tab w:leader="none" w:pos="820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7"/>
          <w:szCs w:val="17"/>
          <w:color w:val="auto"/>
        </w:rPr>
        <w:t>Gavin A. Mohr, Principal Financial Officer</w:t>
      </w:r>
    </w:p>
    <w:p>
      <w:pPr>
        <w:spacing w:after="0" w:line="282" w:lineRule="exact"/>
        <w:rPr>
          <w:sz w:val="20"/>
          <w:szCs w:val="20"/>
          <w:color w:val="auto"/>
        </w:rPr>
      </w:pPr>
    </w:p>
    <w:p>
      <w:pPr>
        <w:ind w:left="20"/>
        <w:spacing w:after="0"/>
        <w:tabs>
          <w:tab w:leader="none" w:pos="2280" w:val="left"/>
          <w:tab w:leader="none" w:pos="6000" w:val="left"/>
          <w:tab w:leader="none" w:pos="79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November 5,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wp:posOffset>
            </wp:positionH>
            <wp:positionV relativeFrom="paragraph">
              <wp:posOffset>17145</wp:posOffset>
            </wp:positionV>
            <wp:extent cx="67862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86245" cy="8255"/>
                    </a:xfrm>
                    <a:prstGeom prst="rect">
                      <a:avLst/>
                    </a:prstGeom>
                    <a:noFill/>
                  </pic:spPr>
                </pic:pic>
              </a:graphicData>
            </a:graphic>
          </wp:anchor>
        </w:drawing>
      </w:r>
    </w:p>
    <w:p>
      <w:pPr>
        <w:spacing w:after="0" w:line="1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19"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Times New Roman" w:cs="Times New Roman" w:eastAsia="Times New Roman" w:hAnsi="Times New Roman"/>
          <w:sz w:val="17"/>
          <w:szCs w:val="17"/>
          <w:color w:val="auto"/>
        </w:rPr>
        <w:t>Date: November 5, 2024</w:t>
      </w:r>
      <w:r>
        <w:rPr>
          <w:sz w:val="20"/>
          <w:szCs w:val="20"/>
          <w:color w:val="auto"/>
        </w:rPr>
        <w:tab/>
      </w:r>
      <w:r>
        <w:rPr>
          <w:rFonts w:ascii="Times New Roman" w:cs="Times New Roman" w:eastAsia="Times New Roman" w:hAnsi="Times New Roman"/>
          <w:sz w:val="17"/>
          <w:szCs w:val="17"/>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33655</wp:posOffset>
            </wp:positionV>
            <wp:extent cx="32251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William B. Kessel</w:t>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ectPr>
          <w:pgSz w:w="11900" w:h="16838" w:orient="portrait"/>
          <w:cols w:equalWidth="0" w:num="1">
            <w:col w:w="11240"/>
          </w:cols>
          <w:pgMar w:left="320" w:top="106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Independent Bank Corporation;</w:t>
      </w:r>
    </w:p>
    <w:p>
      <w:pPr>
        <w:spacing w:after="0" w:line="27" w:lineRule="exact"/>
        <w:rPr>
          <w:rFonts w:ascii="Times New Roman" w:cs="Times New Roman" w:eastAsia="Times New Roman" w:hAnsi="Times New Roman"/>
          <w:sz w:val="17"/>
          <w:szCs w:val="17"/>
          <w:color w:val="auto"/>
        </w:rPr>
      </w:pPr>
    </w:p>
    <w:p>
      <w:pPr>
        <w:ind w:left="620" w:hanging="617"/>
        <w:spacing w:after="0" w:line="253"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20" w:hanging="617"/>
        <w:spacing w:after="0" w:line="253"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620" w:hanging="617"/>
        <w:spacing w:after="0" w:line="253"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3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618"/>
        <w:spacing w:after="0" w:line="253" w:lineRule="auto"/>
        <w:tabs>
          <w:tab w:leader="none" w:pos="122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53" w:lineRule="auto"/>
        <w:tabs>
          <w:tab w:leader="none" w:pos="123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2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3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28"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controls over financial reporting.</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106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William B. Kessel, President and Chief Executive Officer of Independent Bank Corporation, certify, to the best of my knowledge and belief,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906 of the Sarbanes-Oxley Act of 2002 (18 U.S.C. 1350) that:</w:t>
      </w:r>
    </w:p>
    <w:p>
      <w:pPr>
        <w:spacing w:after="0" w:line="174" w:lineRule="exact"/>
        <w:rPr>
          <w:sz w:val="20"/>
          <w:szCs w:val="20"/>
          <w:color w:val="auto"/>
        </w:rPr>
      </w:pPr>
    </w:p>
    <w:p>
      <w:pPr>
        <w:ind w:left="1240" w:hanging="618"/>
        <w:spacing w:after="0" w:line="287" w:lineRule="auto"/>
        <w:tabs>
          <w:tab w:leader="none" w:pos="12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2024</w:t>
            </w:r>
          </w:p>
        </w:tc>
        <w:tc>
          <w:tcPr>
            <w:tcW w:w="5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 William B. Kessel</w:t>
            </w:r>
          </w:p>
        </w:tc>
      </w:tr>
      <w:tr>
        <w:trPr>
          <w:trHeight w:val="209"/>
        </w:trPr>
        <w:tc>
          <w:tcPr>
            <w:tcW w:w="618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William B. Kessel</w:t>
            </w:r>
          </w:p>
        </w:tc>
      </w:tr>
      <w:tr>
        <w:trPr>
          <w:trHeight w:val="223"/>
        </w:trPr>
        <w:tc>
          <w:tcPr>
            <w:tcW w:w="6180" w:type="dxa"/>
            <w:vAlign w:val="bottom"/>
          </w:tcPr>
          <w:p>
            <w:pPr>
              <w:spacing w:after="0"/>
              <w:rPr>
                <w:sz w:val="19"/>
                <w:szCs w:val="19"/>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CERTIFICATE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I, Gavin A. Mohr, Chief Financial Officer of Independent Bank Corporation, certify, to the best of my knowledge and belief, pursuant to Section 906 of the Sarbanes-Oxley Act of 2002 (18 U.S.C. 1350) that:</w:t>
      </w:r>
    </w:p>
    <w:p>
      <w:pPr>
        <w:spacing w:after="0" w:line="125" w:lineRule="exact"/>
        <w:rPr>
          <w:sz w:val="20"/>
          <w:szCs w:val="20"/>
          <w:color w:val="auto"/>
        </w:rPr>
      </w:pPr>
    </w:p>
    <w:p>
      <w:pPr>
        <w:ind w:left="1240" w:hanging="618"/>
        <w:spacing w:after="0" w:line="287" w:lineRule="auto"/>
        <w:tabs>
          <w:tab w:leader="none" w:pos="12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for the quarterly period ended September 30, 2024, which this statement accompanies, fully complies with requirements of Section 13(a) or 15(d) of the Securities Exchange Act of 1934 and;</w:t>
      </w:r>
    </w:p>
    <w:p>
      <w:pPr>
        <w:spacing w:after="0" w:line="112" w:lineRule="exact"/>
        <w:rPr>
          <w:rFonts w:ascii="Times New Roman" w:cs="Times New Roman" w:eastAsia="Times New Roman" w:hAnsi="Times New Roman"/>
          <w:sz w:val="17"/>
          <w:szCs w:val="17"/>
          <w:color w:val="auto"/>
        </w:rPr>
      </w:pPr>
    </w:p>
    <w:p>
      <w:pPr>
        <w:ind w:left="1240" w:hanging="618"/>
        <w:spacing w:after="0" w:line="287" w:lineRule="auto"/>
        <w:tabs>
          <w:tab w:leader="none" w:pos="123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this quarterly report on Form 10-Q for the quarterly period ended September 30, 2024, fairly presents, in all material respects, the financial condition and results of operations of Independent Bank Corporation.</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INDEPENDENT BANK CORPORATION</w:t>
            </w:r>
          </w:p>
        </w:tc>
      </w:tr>
      <w:tr>
        <w:trPr>
          <w:trHeight w:val="477"/>
        </w:trPr>
        <w:tc>
          <w:tcPr>
            <w:tcW w:w="616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5, 2024</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Gavin A. Mohr</w:t>
            </w:r>
          </w:p>
        </w:tc>
      </w:tr>
      <w:tr>
        <w:trPr>
          <w:trHeight w:val="209"/>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Gavin A. Mohr</w:t>
            </w:r>
          </w:p>
        </w:tc>
      </w:tr>
      <w:tr>
        <w:trPr>
          <w:trHeight w:val="223"/>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2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decimal"/>
      <w:start w:val="2"/>
    </w:lvl>
  </w:abstractNum>
  <w:abstractNum w:abstractNumId="3">
    <w:nsid w:val="440BADFC"/>
    <w:multiLevelType w:val="hybridMultilevel"/>
    <w:lvl w:ilvl="0">
      <w:lvlJc w:val="left"/>
      <w:lvlText w:val="%1."/>
      <w:numFmt w:val="decimal"/>
      <w:start w:val="3"/>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3"/>
    </w:lvl>
  </w:abstractNum>
  <w:abstractNum w:abstractNumId="6">
    <w:nsid w:val="77465F01"/>
    <w:multiLevelType w:val="hybridMultilevel"/>
    <w:lvl w:ilvl="0">
      <w:lvlJc w:val="left"/>
      <w:lvlText w:val="%1."/>
      <w:numFmt w:val="decimal"/>
      <w:start w:val="4"/>
    </w:lvl>
  </w:abstractNum>
  <w:abstractNum w:abstractNumId="7">
    <w:nsid w:val="7724C67E"/>
    <w:multiLevelType w:val="hybridMultilevel"/>
    <w:lvl w:ilvl="0">
      <w:lvlJc w:val="left"/>
      <w:lvlText w:val="(%1)"/>
      <w:numFmt w:val="decimal"/>
      <w:start w:val="1"/>
    </w:lvl>
  </w:abstractNum>
  <w:abstractNum w:abstractNumId="8">
    <w:nsid w:val="5C482A97"/>
    <w:multiLevelType w:val="hybridMultilevel"/>
    <w:lvl w:ilvl="0">
      <w:lvlJc w:val="left"/>
      <w:lvlText w:val="%1."/>
      <w:numFmt w:val="decimal"/>
      <w:start w:val="5"/>
    </w:lvl>
  </w:abstractNum>
  <w:abstractNum w:abstractNumId="9">
    <w:nsid w:val="2463B9EA"/>
    <w:multiLevelType w:val="hybridMultilevel"/>
    <w:lvl w:ilvl="0">
      <w:lvlJc w:val="left"/>
      <w:lvlText w:val="%1."/>
      <w:numFmt w:val="decimal"/>
      <w:start w:val="6"/>
    </w:lvl>
  </w:abstractNum>
  <w:abstractNum w:abstractNumId="10">
    <w:nsid w:val="5E884ADC"/>
    <w:multiLevelType w:val="hybridMultilevel"/>
    <w:lvl w:ilvl="0">
      <w:lvlJc w:val="left"/>
      <w:lvlText w:val="\endash "/>
      <w:numFmt w:val="bullet"/>
      <w:start w:val="1"/>
    </w:lvl>
  </w:abstractNum>
  <w:abstractNum w:abstractNumId="11">
    <w:nsid w:val="51EAD36B"/>
    <w:multiLevelType w:val="hybridMultilevel"/>
    <w:lvl w:ilvl="0">
      <w:lvlJc w:val="left"/>
      <w:lvlText w:val="(%1)"/>
      <w:numFmt w:val="decimal"/>
      <w:start w:val="513"/>
    </w:lvl>
  </w:abstractNum>
  <w:abstractNum w:abstractNumId="12">
    <w:nsid w:val="2D517796"/>
    <w:multiLevelType w:val="hybridMultilevel"/>
    <w:lvl w:ilvl="0">
      <w:lvlJc w:val="left"/>
      <w:lvlText w:val="(%1)"/>
      <w:numFmt w:val="decimal"/>
      <w:start w:val="648"/>
    </w:lvl>
  </w:abstractNum>
  <w:abstractNum w:abstractNumId="13">
    <w:nsid w:val="580BD78F"/>
    <w:multiLevelType w:val="hybridMultilevel"/>
    <w:lvl w:ilvl="0">
      <w:lvlJc w:val="left"/>
      <w:lvlText w:val="%1"/>
      <w:numFmt w:val="decimal"/>
      <w:start w:val="304"/>
    </w:lvl>
  </w:abstractNum>
  <w:abstractNum w:abstractNumId="14">
    <w:nsid w:val="153EA438"/>
    <w:multiLevelType w:val="hybridMultilevel"/>
    <w:lvl w:ilvl="0">
      <w:lvlJc w:val="left"/>
      <w:lvlText w:val="\emdash "/>
      <w:numFmt w:val="bullet"/>
      <w:start w:val="1"/>
    </w:lvl>
  </w:abstractNum>
  <w:abstractNum w:abstractNumId="15">
    <w:nsid w:val="3855585C"/>
    <w:multiLevelType w:val="hybridMultilevel"/>
    <w:lvl w:ilvl="0">
      <w:lvlJc w:val="left"/>
      <w:lvlText w:val="%1."/>
      <w:numFmt w:val="decimal"/>
      <w:start w:val="8"/>
    </w:lvl>
  </w:abstractNum>
  <w:abstractNum w:abstractNumId="16">
    <w:nsid w:val="70A64E2A"/>
    <w:multiLevelType w:val="hybridMultilevel"/>
    <w:lvl w:ilvl="0">
      <w:lvlJc w:val="left"/>
      <w:lvlText w:val="%1."/>
      <w:numFmt w:val="decimal"/>
      <w:start w:val="10"/>
    </w:lvl>
  </w:abstractNum>
  <w:abstractNum w:abstractNumId="17">
    <w:nsid w:val="6A2342EC"/>
    <w:multiLevelType w:val="hybridMultilevel"/>
    <w:lvl w:ilvl="0">
      <w:lvlJc w:val="left"/>
      <w:lvlText w:val="(%1)"/>
      <w:numFmt w:val="decimal"/>
      <w:start w:val="1"/>
    </w:lvl>
  </w:abstractNum>
  <w:abstractNum w:abstractNumId="18">
    <w:nsid w:val="2A487CB0"/>
    <w:multiLevelType w:val="hybridMultilevel"/>
    <w:lvl w:ilvl="0">
      <w:lvlJc w:val="left"/>
      <w:lvlText w:val="%1"/>
      <w:numFmt w:val="decimal"/>
      <w:start w:val="1"/>
    </w:lvl>
    <w:lvl w:ilvl="1">
      <w:lvlJc w:val="left"/>
      <w:lvlText w:val="(%2)"/>
      <w:numFmt w:val="decimal"/>
      <w:start w:val="1"/>
    </w:lvl>
  </w:abstractNum>
  <w:abstractNum w:abstractNumId="19">
    <w:nsid w:val="1D4ED43B"/>
    <w:multiLevelType w:val="hybridMultilevel"/>
    <w:lvl w:ilvl="0">
      <w:lvlJc w:val="left"/>
      <w:lvlText w:val="%1."/>
      <w:numFmt w:val="decimal"/>
      <w:start w:val="11"/>
    </w:lvl>
    <w:lvl w:ilvl="1">
      <w:lvlJc w:val="left"/>
      <w:lvlText w:val="%2"/>
      <w:numFmt w:val="decimal"/>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decimal"/>
      <w:start w:val="12"/>
    </w:lvl>
  </w:abstractNum>
  <w:abstractNum w:abstractNumId="25">
    <w:nsid w:val="542289EC"/>
    <w:multiLevelType w:val="hybridMultilevel"/>
    <w:lvl w:ilvl="0">
      <w:lvlJc w:val="left"/>
      <w:lvlText w:val="(%1)"/>
      <w:numFmt w:val="decimal"/>
      <w:start w:val="1"/>
    </w:lvl>
  </w:abstractNum>
  <w:abstractNum w:abstractNumId="26">
    <w:nsid w:val="6DE91B18"/>
    <w:multiLevelType w:val="hybridMultilevel"/>
    <w:lvl w:ilvl="0">
      <w:lvlJc w:val="left"/>
      <w:lvlText w:val="%1."/>
      <w:numFmt w:val="decimal"/>
      <w:start w:val="13"/>
    </w:lvl>
  </w:abstractNum>
  <w:abstractNum w:abstractNumId="27">
    <w:nsid w:val="38437FDB"/>
    <w:multiLevelType w:val="hybridMultilevel"/>
    <w:lvl w:ilvl="0">
      <w:lvlJc w:val="left"/>
      <w:lvlText w:val="%1."/>
      <w:numFmt w:val="decimal"/>
      <w:start w:val="14"/>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
      <w:numFmt w:val="bullet"/>
      <w:start w:val="1"/>
    </w:lvl>
    <w:lvl w:ilvl="1">
      <w:lvlJc w:val="left"/>
      <w:lvlText w:val="(%2)"/>
      <w:numFmt w:val="decimal"/>
      <w:start w:val="3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lvl w:ilvl="1">
      <w:lvlJc w:val="left"/>
      <w:lvlText w:val="(%2)"/>
      <w:numFmt w:val="decimal"/>
      <w:start w:val="87"/>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lvl w:ilvl="1">
      <w:lvlJc w:val="left"/>
      <w:lvlText w:val="(%2)"/>
      <w:numFmt w:val="decimal"/>
      <w:start w:val="47"/>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1."/>
      <w:numFmt w:val="decimal"/>
      <w:start w:val="15"/>
    </w:lvl>
  </w:abstractNum>
  <w:abstractNum w:abstractNumId="45">
    <w:nsid w:val="39386575"/>
    <w:multiLevelType w:val="hybridMultilevel"/>
    <w:lvl w:ilvl="0">
      <w:lvlJc w:val="left"/>
      <w:lvlText w:val="%1."/>
      <w:numFmt w:val="decimal"/>
      <w:start w:val="16"/>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decimal"/>
      <w:start w:val="1"/>
    </w:lvl>
  </w:abstractNum>
  <w:abstractNum w:abstractNumId="49">
    <w:nsid w:val="47398C89"/>
    <w:multiLevelType w:val="hybridMultilevel"/>
    <w:lvl w:ilvl="0">
      <w:lvlJc w:val="left"/>
      <w:lvlText w:val="(%1)"/>
      <w:numFmt w:val="decimal"/>
      <w:start w:val="1"/>
    </w:lvl>
  </w:abstractNum>
  <w:abstractNum w:abstractNumId="50">
    <w:nsid w:val="354FE9F9"/>
    <w:multiLevelType w:val="hybridMultilevel"/>
    <w:lvl w:ilvl="0">
      <w:lvlJc w:val="left"/>
      <w:lvlText w:val="(%1)"/>
      <w:numFmt w:val="decimal"/>
      <w:start w:val="1"/>
    </w:lvl>
  </w:abstractNum>
  <w:abstractNum w:abstractNumId="51">
    <w:nsid w:val="15B5AF5C"/>
    <w:multiLevelType w:val="hybridMultilevel"/>
    <w:lvl w:ilvl="0">
      <w:lvlJc w:val="left"/>
      <w:lvlText w:val="(%1)"/>
      <w:numFmt w:val="decimal"/>
      <w:start w:val="1"/>
    </w:lvl>
  </w:abstractNum>
  <w:abstractNum w:abstractNumId="52">
    <w:nsid w:val="741226BB"/>
    <w:multiLevelType w:val="hybridMultilevel"/>
    <w:lvl w:ilvl="0">
      <w:lvlJc w:val="left"/>
      <w:lvlText w:val="(%1)"/>
      <w:numFmt w:val="decimal"/>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decimal"/>
      <w:start w:val="1"/>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decimal"/>
      <w:start w:val="101"/>
    </w:lvl>
  </w:abstractNum>
  <w:abstractNum w:abstractNumId="57">
    <w:nsid w:val="7E0C57B1"/>
    <w:multiLevelType w:val="hybridMultilevel"/>
    <w:lvl w:ilvl="0">
      <w:lvlJc w:val="left"/>
      <w:lvlText w:val="%1."/>
      <w:numFmt w:val="decimal"/>
      <w:start w:val="101"/>
    </w:lvl>
  </w:abstractNum>
  <w:abstractNum w:abstractNumId="58">
    <w:nsid w:val="77AE35EB"/>
    <w:multiLevelType w:val="hybridMultilevel"/>
    <w:lvl w:ilvl="0">
      <w:lvlJc w:val="left"/>
      <w:lvlText w:val="%1."/>
      <w:numFmt w:val="decimal"/>
      <w:start w:val="101"/>
    </w:lvl>
  </w:abstractNum>
  <w:abstractNum w:abstractNumId="59">
    <w:nsid w:val="579BE4F1"/>
    <w:multiLevelType w:val="hybridMultilevel"/>
    <w:lvl w:ilvl="0">
      <w:lvlJc w:val="left"/>
      <w:lvlText w:val="%1."/>
      <w:numFmt w:val="decimal"/>
      <w:start w:val="101"/>
    </w:lvl>
  </w:abstractNum>
  <w:abstractNum w:abstractNumId="60">
    <w:nsid w:val="310C50B3"/>
    <w:multiLevelType w:val="hybridMultilevel"/>
    <w:lvl w:ilvl="0">
      <w:lvlJc w:val="left"/>
      <w:lvlText w:val="%1."/>
      <w:numFmt w:val="decimal"/>
      <w:start w:val="101"/>
    </w:lvl>
  </w:abstractNum>
  <w:abstractNum w:abstractNumId="61">
    <w:nsid w:val="5FF87E05"/>
    <w:multiLevelType w:val="hybridMultilevel"/>
    <w:lvl w:ilvl="0">
      <w:lvlJc w:val="left"/>
      <w:lvlText w:val="%1."/>
      <w:numFmt w:val="decimal"/>
      <w:start w:val="101"/>
    </w:lvl>
  </w:abstractNum>
  <w:abstractNum w:abstractNumId="62">
    <w:nsid w:val="2F305DEF"/>
    <w:multiLevelType w:val="hybridMultilevel"/>
    <w:lvl w:ilvl="0">
      <w:lvlJc w:val="left"/>
      <w:lvlText w:val="%1"/>
      <w:numFmt w:val="decimal"/>
      <w:start w:val="104"/>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2024-11-05T11:10:39Z</dcterms:created>
  <dcterms:modified xsi:type="dcterms:W3CDTF">2024-11-05T11:10:39Z</dcterms:modified>
</cp:coreProperties>
</file>