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10-Q</w:t>
      </w:r>
    </w:p>
    <w:p>
      <w:pPr>
        <w:spacing w:after="0" w:line="23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March 31, 2022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1141095</wp:posOffset>
            </wp:positionH>
            <wp:positionV relativeFrom="paragraph">
              <wp:posOffset>-7620</wp:posOffset>
            </wp:positionV>
            <wp:extent cx="408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Michigan</w:t>
            </w:r>
          </w:p>
        </w:tc>
        <w:tc>
          <w:tcPr>
            <w:tcW w:w="57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color w:val="auto"/>
              </w:rPr>
              <w:t>38-2032782</w:t>
            </w:r>
          </w:p>
        </w:tc>
      </w:tr>
      <w:tr>
        <w:trPr>
          <w:trHeight w:val="223"/>
        </w:trPr>
        <w:tc>
          <w:tcPr>
            <w:tcW w:w="5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jurisdiction of Incorporation or Organization)</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17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(616) 527-5820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address and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12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which registered</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IBCP</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95"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non-accelerated filer, smaller reporting company or an emerging growth company.</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common stock, no par value, 21,047,519 as of May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 -</w:t>
            </w:r>
          </w:p>
        </w:tc>
        <w:tc>
          <w:tcPr>
            <w:tcW w:w="9540" w:type="dxa"/>
            <w:vAlign w:val="bottom"/>
            <w:gridSpan w:val="15"/>
            <w:vMerge w:val="restart"/>
          </w:tcPr>
          <w:p>
            <w:pPr>
              <w:ind w:left="200"/>
              <w:spacing w:after="0"/>
              <w:rPr>
                <w:sz w:val="20"/>
                <w:szCs w:val="20"/>
                <w:color w:val="auto"/>
              </w:rPr>
            </w:pPr>
            <w:r>
              <w:rPr>
                <w:rFonts w:ascii="Times New Roman" w:cs="Times New Roman" w:eastAsia="Times New Roman" w:hAnsi="Times New Roman"/>
                <w:sz w:val="18"/>
                <w:szCs w:val="18"/>
                <w:color w:val="auto"/>
              </w:rPr>
              <w:t>Financial Information</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Number(s)</w:t>
            </w: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540" w:type="dxa"/>
            <w:vAlign w:val="bottom"/>
            <w:gridSpan w:val="15"/>
            <w:vMerge w:val="continue"/>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00" w:type="dxa"/>
            <w:vAlign w:val="bottom"/>
            <w:shd w:val="clear" w:color="auto" w:fill="CCEEFF"/>
          </w:tcPr>
          <w:p>
            <w:pPr>
              <w:spacing w:after="0"/>
              <w:rPr>
                <w:sz w:val="15"/>
                <w:szCs w:val="15"/>
                <w:color w:val="auto"/>
              </w:rPr>
            </w:pPr>
          </w:p>
        </w:tc>
        <w:tc>
          <w:tcPr>
            <w:tcW w:w="93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Financial Condition March 31, 2022 and December 31, 2021</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3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Three-month periods ended March 31, 2022 and 2021</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3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Three-month periods ended March 31, 2022 and 2021</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52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Three-month periods ended March 31, 2022 and 2021</w:t>
            </w:r>
          </w:p>
        </w:tc>
        <w:tc>
          <w:tcPr>
            <w:tcW w:w="8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3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Three-month periods ended March 31, 2022 and 2021</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30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Notes to Interim Condensed Consolidated Financial Statements</w:t>
            </w:r>
          </w:p>
        </w:tc>
        <w:tc>
          <w:tcPr>
            <w:tcW w:w="1040" w:type="dxa"/>
            <w:vAlign w:val="bottom"/>
            <w:tcBorders>
              <w:top w:val="single" w:sz="8" w:color="CCEEFF"/>
            </w:tcBorders>
            <w:gridSpan w:val="2"/>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200" w:type="dxa"/>
            <w:vAlign w:val="bottom"/>
            <w:shd w:val="clear" w:color="auto" w:fill="CCEEFF"/>
          </w:tcPr>
          <w:p>
            <w:pPr>
              <w:spacing w:after="0"/>
              <w:rPr>
                <w:sz w:val="17"/>
                <w:szCs w:val="17"/>
                <w:color w:val="auto"/>
              </w:rPr>
            </w:pPr>
          </w:p>
        </w:tc>
        <w:tc>
          <w:tcPr>
            <w:tcW w:w="93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200" w:type="dxa"/>
            <w:vAlign w:val="bottom"/>
            <w:tcBorders>
              <w:top w:val="single" w:sz="8" w:color="CCEEFF"/>
            </w:tcBorders>
          </w:tcPr>
          <w:p>
            <w:pPr>
              <w:spacing w:after="0"/>
              <w:rPr>
                <w:sz w:val="15"/>
                <w:szCs w:val="15"/>
                <w:color w:val="auto"/>
              </w:rPr>
            </w:pPr>
          </w:p>
        </w:tc>
        <w:tc>
          <w:tcPr>
            <w:tcW w:w="64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900" w:type="dxa"/>
            <w:vAlign w:val="bottom"/>
            <w:tcBorders>
              <w:top w:val="single" w:sz="8" w:color="CCEEFF"/>
            </w:tcBorders>
            <w:gridSpan w:val="6"/>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15"/>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w:t>
            </w:r>
          </w:p>
        </w:tc>
        <w:tc>
          <w:tcPr>
            <w:tcW w:w="9540" w:type="dxa"/>
            <w:vAlign w:val="bottom"/>
            <w:gridSpan w:val="1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15"/>
          </w:tcPr>
          <w:p>
            <w:pPr>
              <w:ind w:left="20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20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980" w:type="dxa"/>
            <w:vAlign w:val="bottom"/>
            <w:tcBorders>
              <w:bottom w:val="single" w:sz="8" w:color="CCEEFF"/>
            </w:tcBorders>
            <w:gridSpan w:val="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200" w:type="dxa"/>
            <w:vAlign w:val="bottom"/>
          </w:tcPr>
          <w:p>
            <w:pPr>
              <w:spacing w:after="0"/>
              <w:rPr>
                <w:sz w:val="15"/>
                <w:szCs w:val="15"/>
                <w:color w:val="auto"/>
              </w:rPr>
            </w:pPr>
          </w:p>
        </w:tc>
        <w:tc>
          <w:tcPr>
            <w:tcW w:w="93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8"/>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8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1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92" w:lineRule="exact"/>
        <w:rPr>
          <w:sz w:val="20"/>
          <w:szCs w:val="20"/>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 including the impact of the ongoing COVID-19 pandemic on each of these items;</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credit losses;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2021,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5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 - Item 1.</w:t>
            </w:r>
          </w:p>
        </w:tc>
        <w:tc>
          <w:tcPr>
            <w:tcW w:w="57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INDEPENDENT BANK CORPORATION AND SUBSIDIARIES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720" w:type="dxa"/>
            <w:vAlign w:val="bottom"/>
            <w:gridSpan w:val="3"/>
          </w:tcPr>
          <w:p>
            <w:pPr>
              <w:jc w:val="right"/>
              <w:ind w:right="810"/>
              <w:spacing w:after="0" w:line="194" w:lineRule="exact"/>
              <w:rPr>
                <w:sz w:val="20"/>
                <w:szCs w:val="20"/>
                <w:color w:val="auto"/>
              </w:rPr>
            </w:pPr>
            <w:r>
              <w:rPr>
                <w:rFonts w:ascii="Times New Roman" w:cs="Times New Roman" w:eastAsia="Times New Roman" w:hAnsi="Times New Roman"/>
                <w:sz w:val="18"/>
                <w:szCs w:val="18"/>
                <w:color w:val="auto"/>
              </w:rPr>
              <w:t>Condensed Consolidated Statements of Financial Condition</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March 31,</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4"/>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rPr>
              <w:t>(In thousands, except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5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amounts)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46,600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51,069</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bearing deposits</w:t>
            </w:r>
          </w:p>
        </w:tc>
        <w:tc>
          <w:tcPr>
            <w:tcW w:w="5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63,221</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58,404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109,821</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1,400,137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1,412,830</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Home Loan Bank and Federal Reserve Bank stock, at cost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18,427</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held for sale, carried at fair value</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29,514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55,470</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carried at lower of cost or fair value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34,811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1,257,601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1,203,581</w:t>
            </w:r>
          </w:p>
        </w:tc>
        <w:tc>
          <w:tcPr>
            <w:tcW w:w="0" w:type="dxa"/>
            <w:vAlign w:val="bottom"/>
          </w:tcPr>
          <w:p>
            <w:pPr>
              <w:spacing w:after="0"/>
              <w:rPr>
                <w:sz w:val="1"/>
                <w:szCs w:val="1"/>
                <w:color w:val="auto"/>
              </w:rPr>
            </w:pPr>
          </w:p>
        </w:tc>
      </w:tr>
      <w:tr>
        <w:trPr>
          <w:trHeight w:val="216"/>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1,170,059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1,139,659</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52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576,405</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3,004,065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2,905,045</w:t>
            </w:r>
          </w:p>
        </w:tc>
        <w:tc>
          <w:tcPr>
            <w:tcW w:w="0" w:type="dxa"/>
            <w:vAlign w:val="bottom"/>
          </w:tcPr>
          <w:p>
            <w:pPr>
              <w:spacing w:after="0"/>
              <w:rPr>
                <w:sz w:val="1"/>
                <w:szCs w:val="1"/>
                <w:color w:val="auto"/>
              </w:rPr>
            </w:pPr>
          </w:p>
        </w:tc>
      </w:tr>
      <w:tr>
        <w:trPr>
          <w:trHeight w:val="223"/>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5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(45,627)</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(47,252)</w:t>
            </w: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Net Loans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2,958,438</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2,857,793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and repossessed assets,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37,385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36,404</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54,984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55,279</w:t>
            </w: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Capitalized mortgage loan servicing rights, carried at fair value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35,933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26,232</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28,300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28,300</w:t>
            </w:r>
          </w:p>
        </w:tc>
        <w:tc>
          <w:tcPr>
            <w:tcW w:w="0" w:type="dxa"/>
            <w:vAlign w:val="bottom"/>
          </w:tcPr>
          <w:p>
            <w:pPr>
              <w:spacing w:after="0"/>
              <w:rPr>
                <w:sz w:val="1"/>
                <w:szCs w:val="1"/>
                <w:color w:val="auto"/>
              </w:rPr>
            </w:pPr>
          </w:p>
        </w:tc>
      </w:tr>
      <w:tr>
        <w:trPr>
          <w:trHeight w:val="223"/>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and other assets</w:t>
            </w:r>
          </w:p>
        </w:tc>
        <w:tc>
          <w:tcPr>
            <w:tcW w:w="5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86,276</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66,140</w:t>
            </w: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4,761,983</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4,704,740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Non-interest bearing</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1,318,377</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1,321,601</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Savings and interest-bearing checking</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1,972,462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1,897,487</w:t>
            </w:r>
          </w:p>
        </w:tc>
        <w:tc>
          <w:tcPr>
            <w:tcW w:w="0" w:type="dxa"/>
            <w:vAlign w:val="bottom"/>
          </w:tcPr>
          <w:p>
            <w:pPr>
              <w:spacing w:after="0"/>
              <w:rPr>
                <w:sz w:val="1"/>
                <w:szCs w:val="1"/>
                <w:color w:val="auto"/>
              </w:rPr>
            </w:pPr>
          </w:p>
        </w:tc>
      </w:tr>
      <w:tr>
        <w:trPr>
          <w:trHeight w:val="216"/>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Reciprocal</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605,332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586,626</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306,382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308,438</w:t>
            </w:r>
          </w:p>
        </w:tc>
        <w:tc>
          <w:tcPr>
            <w:tcW w:w="0" w:type="dxa"/>
            <w:vAlign w:val="bottom"/>
          </w:tcPr>
          <w:p>
            <w:pPr>
              <w:spacing w:after="0"/>
              <w:rPr>
                <w:sz w:val="1"/>
                <w:szCs w:val="1"/>
                <w:color w:val="auto"/>
              </w:rPr>
            </w:pPr>
          </w:p>
        </w:tc>
      </w:tr>
      <w:tr>
        <w:trPr>
          <w:trHeight w:val="223"/>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Brokered time</w:t>
            </w:r>
          </w:p>
        </w:tc>
        <w:tc>
          <w:tcPr>
            <w:tcW w:w="5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Total Deposits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4,205,498</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30,009</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39,376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39,357</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39,609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39,592</w:t>
            </w:r>
          </w:p>
        </w:tc>
        <w:tc>
          <w:tcPr>
            <w:tcW w:w="0" w:type="dxa"/>
            <w:vAlign w:val="bottom"/>
          </w:tcPr>
          <w:p>
            <w:pPr>
              <w:spacing w:after="0"/>
              <w:rPr>
                <w:sz w:val="1"/>
                <w:szCs w:val="1"/>
                <w:color w:val="auto"/>
              </w:rPr>
            </w:pPr>
          </w:p>
        </w:tc>
      </w:tr>
      <w:tr>
        <w:trPr>
          <w:trHeight w:val="223"/>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5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92,045</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80,208</w:t>
            </w:r>
          </w:p>
        </w:tc>
        <w:tc>
          <w:tcPr>
            <w:tcW w:w="0" w:type="dxa"/>
            <w:vAlign w:val="bottom"/>
          </w:tcPr>
          <w:p>
            <w:pPr>
              <w:spacing w:after="0"/>
              <w:rPr>
                <w:sz w:val="1"/>
                <w:szCs w:val="1"/>
                <w:color w:val="auto"/>
              </w:rPr>
            </w:pPr>
          </w:p>
        </w:tc>
      </w:tr>
      <w:tr>
        <w:trPr>
          <w:trHeight w:val="223"/>
        </w:trPr>
        <w:tc>
          <w:tcPr>
            <w:tcW w:w="3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5200" w:type="dxa"/>
            <w:vAlign w:val="bottom"/>
            <w:tcBorders>
              <w:top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4,406,534</w:t>
            </w: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4,306,256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no par value, 200,000 shares authorized; none issued or outstanding</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gridSpan w:val="5"/>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no par value, 500,000,000 shares authorized; issued and outstanding: 21,168,230 shares at March</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31, 2022 and 21,171,036 shares at December 31, 2021</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321,981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323,401</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87,882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74,582</w:t>
            </w:r>
          </w:p>
        </w:tc>
        <w:tc>
          <w:tcPr>
            <w:tcW w:w="0" w:type="dxa"/>
            <w:vAlign w:val="bottom"/>
          </w:tcPr>
          <w:p>
            <w:pPr>
              <w:spacing w:after="0"/>
              <w:rPr>
                <w:sz w:val="1"/>
                <w:szCs w:val="1"/>
                <w:color w:val="auto"/>
              </w:rPr>
            </w:pPr>
          </w:p>
        </w:tc>
      </w:tr>
      <w:tr>
        <w:trPr>
          <w:trHeight w:val="223"/>
        </w:trPr>
        <w:tc>
          <w:tcPr>
            <w:tcW w:w="86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(54,414)</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2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355,449</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4,761,983</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4,704,740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83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INDEPENDENT BANK CORPORATION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880" w:type="dxa"/>
            <w:vAlign w:val="bottom"/>
            <w:gridSpan w:val="2"/>
          </w:tcPr>
          <w:p>
            <w:pPr>
              <w:jc w:val="right"/>
              <w:ind w:right="1130"/>
              <w:spacing w:after="0" w:line="194" w:lineRule="exact"/>
              <w:rPr>
                <w:sz w:val="20"/>
                <w:szCs w:val="20"/>
                <w:color w:val="auto"/>
              </w:rPr>
            </w:pPr>
            <w:r>
              <w:rPr>
                <w:rFonts w:ascii="Times New Roman" w:cs="Times New Roman" w:eastAsia="Times New Roman" w:hAnsi="Times New Roman"/>
                <w:sz w:val="18"/>
                <w:szCs w:val="18"/>
                <w:color w:val="auto"/>
                <w:w w:val="99"/>
              </w:rPr>
              <w:t>Condensed Consolidated Statements of Operations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6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March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4"/>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0"/>
                <w:szCs w:val="20"/>
                <w:color w:val="auto"/>
              </w:rPr>
            </w:pPr>
          </w:p>
        </w:tc>
        <w:tc>
          <w:tcPr>
            <w:tcW w:w="23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except per share amounts)</w:t>
            </w:r>
          </w:p>
        </w:tc>
        <w:tc>
          <w:tcPr>
            <w:tcW w:w="0" w:type="dxa"/>
            <w:vAlign w:val="bottom"/>
          </w:tcPr>
          <w:p>
            <w:pPr>
              <w:spacing w:after="0"/>
              <w:rPr>
                <w:sz w:val="1"/>
                <w:szCs w:val="1"/>
                <w:color w:val="auto"/>
              </w:rPr>
            </w:pPr>
          </w:p>
        </w:tc>
      </w:tr>
      <w:tr>
        <w:trPr>
          <w:trHeight w:val="216"/>
        </w:trPr>
        <w:tc>
          <w:tcPr>
            <w:tcW w:w="868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28,105</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Interest on securities available for sale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Taxable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Tax-exempt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Interest Income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borrowings and subordinated debt and debentures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Interest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33,001</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(1,573)</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19"/>
                <w:szCs w:val="19"/>
                <w:color w:val="auto"/>
              </w:rPr>
            </w:pPr>
          </w:p>
        </w:tc>
        <w:tc>
          <w:tcPr>
            <w:tcW w:w="48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gains on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26,406</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Occupancy,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Data processing</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Interchange expense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 and collection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FDIC deposit insurance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and professional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Conversion related expense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gains on other real estate and repossessed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Recoveries related to unfunded lending commitments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30,021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Income Before Income Tax</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8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INDEPENDENT BANK CORPORATION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8360" w:type="dxa"/>
            <w:vAlign w:val="bottom"/>
            <w:gridSpan w:val="3"/>
          </w:tcPr>
          <w:p>
            <w:pPr>
              <w:jc w:val="right"/>
              <w:ind w:right="760"/>
              <w:spacing w:after="0" w:line="194" w:lineRule="exact"/>
              <w:rPr>
                <w:sz w:val="20"/>
                <w:szCs w:val="20"/>
                <w:color w:val="auto"/>
              </w:rPr>
            </w:pPr>
            <w:r>
              <w:rPr>
                <w:rFonts w:ascii="Times New Roman" w:cs="Times New Roman" w:eastAsia="Times New Roman" w:hAnsi="Times New Roman"/>
                <w:sz w:val="18"/>
                <w:szCs w:val="18"/>
                <w:color w:val="auto"/>
              </w:rPr>
              <w:t>Condensed Consolidated Statements of Comprehensive Income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4"/>
        </w:trPr>
        <w:tc>
          <w:tcPr>
            <w:tcW w:w="3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5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6"/>
        </w:trPr>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9"/>
              </w:rPr>
              <w:t>March 31,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2021</w:t>
            </w:r>
          </w:p>
        </w:tc>
        <w:tc>
          <w:tcPr>
            <w:tcW w:w="100" w:type="dxa"/>
            <w:vAlign w:val="bottom"/>
          </w:tcPr>
          <w:p>
            <w:pPr>
              <w:spacing w:after="0"/>
              <w:rPr>
                <w:sz w:val="20"/>
                <w:szCs w:val="20"/>
                <w:color w:val="auto"/>
              </w:rPr>
            </w:pPr>
          </w:p>
        </w:tc>
      </w:tr>
      <w:tr>
        <w:trPr>
          <w:trHeight w:val="198"/>
        </w:trPr>
        <w:tc>
          <w:tcPr>
            <w:tcW w:w="3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left="390"/>
              <w:spacing w:after="0" w:line="198" w:lineRule="exact"/>
              <w:rPr>
                <w:sz w:val="20"/>
                <w:szCs w:val="20"/>
                <w:color w:val="auto"/>
              </w:rPr>
            </w:pPr>
            <w:r>
              <w:rPr>
                <w:rFonts w:ascii="Times New Roman" w:cs="Times New Roman" w:eastAsia="Times New Roman" w:hAnsi="Times New Roman"/>
                <w:sz w:val="18"/>
                <w:szCs w:val="18"/>
                <w:color w:val="auto"/>
              </w:rPr>
              <w:t>(Unaudited -</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17,967</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22,037</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jc w:val="right"/>
              <w:ind w:right="65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 losses arising during period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(69,442)</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(5,781)</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 for gains included in earnings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r>
      <w:tr>
        <w:trPr>
          <w:trHeight w:val="27"/>
        </w:trPr>
        <w:tc>
          <w:tcPr>
            <w:tcW w:w="32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8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Unrealized losses recognized in other comprehensive loss on securities available for sale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(69,512)</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(7,197)</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gridSpan w:val="3"/>
            <w:shd w:val="clear" w:color="auto" w:fill="CCEEFF"/>
          </w:tcPr>
          <w:p>
            <w:pPr>
              <w:jc w:val="right"/>
              <w:ind w:right="684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(14,597)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(1,511)</w:t>
            </w:r>
          </w:p>
        </w:tc>
      </w:tr>
      <w:tr>
        <w:trPr>
          <w:trHeight w:val="27"/>
        </w:trPr>
        <w:tc>
          <w:tcPr>
            <w:tcW w:w="32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8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Unrealized losses recognized in other comprehensive loss on securities available for sale, net of tax</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(54,915)</w:t>
            </w: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(5,686)</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19"/>
                <w:szCs w:val="19"/>
                <w:color w:val="auto"/>
              </w:rPr>
            </w:pPr>
          </w:p>
        </w:tc>
        <w:tc>
          <w:tcPr>
            <w:tcW w:w="5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(54,915)</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(36,948)</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16,351</w:t>
            </w:r>
          </w:p>
        </w:tc>
      </w:tr>
      <w:tr>
        <w:trPr>
          <w:trHeight w:val="21"/>
        </w:trPr>
        <w:tc>
          <w:tcPr>
            <w:tcW w:w="3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8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INDEPENDENT BANK CORPORATION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920" w:type="dxa"/>
            <w:vAlign w:val="bottom"/>
            <w:gridSpan w:val="2"/>
          </w:tcPr>
          <w:p>
            <w:pPr>
              <w:jc w:val="right"/>
              <w:ind w:right="1200"/>
              <w:spacing w:after="0" w:line="194" w:lineRule="exact"/>
              <w:rPr>
                <w:sz w:val="20"/>
                <w:szCs w:val="20"/>
                <w:color w:val="auto"/>
              </w:rPr>
            </w:pPr>
            <w:r>
              <w:rPr>
                <w:rFonts w:ascii="Times New Roman" w:cs="Times New Roman" w:eastAsia="Times New Roman" w:hAnsi="Times New Roman"/>
                <w:sz w:val="18"/>
                <w:szCs w:val="18"/>
                <w:color w:val="auto"/>
                <w:w w:val="99"/>
              </w:rPr>
              <w:t>Condensed Consolidated Statements of Cash Flows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59"/>
        </w:trPr>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8"/>
                <w:szCs w:val="18"/>
                <w:color w:val="auto"/>
                <w:w w:val="99"/>
              </w:rPr>
              <w:t>Three months ended March 31,</w:t>
            </w:r>
          </w:p>
        </w:tc>
      </w:tr>
      <w:tr>
        <w:trPr>
          <w:trHeight w:val="223"/>
        </w:trPr>
        <w:tc>
          <w:tcPr>
            <w:tcW w:w="3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(Unaudited - In thousands)</w:t>
            </w:r>
          </w:p>
        </w:tc>
      </w:tr>
      <w:tr>
        <w:trPr>
          <w:trHeight w:val="223"/>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22,037</w:t>
            </w:r>
          </w:p>
        </w:tc>
      </w:tr>
      <w:tr>
        <w:trPr>
          <w:trHeight w:val="216"/>
        </w:trPr>
        <w:tc>
          <w:tcPr>
            <w:tcW w:w="868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392,844</w:t>
            </w: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Disbursements for loans held for sale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(164,232)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(365,381)</w:t>
            </w: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2,067</w:t>
            </w: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deferred loan fees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2,982</w:t>
            </w: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Net depreciation, amortization of intangible assets and premiums and accretion of discounts on securities and loans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3,158</w:t>
            </w: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(12,828)</w:t>
            </w: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Net gains on securities available for sale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Increase in accrued income and other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(6,954)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(8,461)</w:t>
            </w:r>
          </w:p>
        </w:tc>
      </w:tr>
      <w:tr>
        <w:trPr>
          <w:trHeight w:val="223"/>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accrued expenses and other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320" w:type="dxa"/>
            <w:vAlign w:val="bottom"/>
            <w:tcBorders>
              <w:top w:val="single" w:sz="8" w:color="CCEEFF"/>
            </w:tcBorders>
          </w:tcPr>
          <w:p>
            <w:pPr>
              <w:spacing w:after="0"/>
              <w:rPr>
                <w:sz w:val="19"/>
                <w:szCs w:val="19"/>
                <w:color w:val="auto"/>
              </w:rPr>
            </w:pPr>
          </w:p>
        </w:tc>
        <w:tc>
          <w:tcPr>
            <w:tcW w:w="3440" w:type="dxa"/>
            <w:vAlign w:val="bottom"/>
            <w:tcBorders>
              <w:top w:val="single" w:sz="8" w:color="CCEEFF"/>
            </w:tcBorders>
          </w:tcPr>
          <w:p>
            <w:pPr>
              <w:spacing w:after="0"/>
              <w:rPr>
                <w:sz w:val="19"/>
                <w:szCs w:val="19"/>
                <w:color w:val="auto"/>
              </w:rPr>
            </w:pPr>
          </w:p>
        </w:tc>
        <w:tc>
          <w:tcPr>
            <w:tcW w:w="492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Total Adjustments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00" w:type="dxa"/>
            <w:vAlign w:val="bottom"/>
            <w:tcBorders>
              <w:top w:val="single" w:sz="8" w:color="CCEEFF"/>
            </w:tcBorders>
          </w:tcPr>
          <w:p>
            <w:pPr>
              <w:spacing w:after="0"/>
              <w:rPr>
                <w:sz w:val="19"/>
                <w:szCs w:val="19"/>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Flow Used in 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sale of securities available for sale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78,179</w:t>
            </w: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Proceeds from maturities, prepayments and calls of securities available for sale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107,834</w:t>
            </w: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securities available for sale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(124,560)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(367,654)</w:t>
            </w: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Proceeds from the redemption of Federal Home Loan Bank stock</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in portfolio loans (loans originated, net of principal payments)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(96,682)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(52,939)</w:t>
            </w: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Proceeds from the sale of portfolio loans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bank-owned life insurance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Proceeds from the sale of other real estate and repossessed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(1,947)</w:t>
            </w:r>
          </w:p>
        </w:tc>
      </w:tr>
      <w:tr>
        <w:trPr>
          <w:trHeight w:val="27"/>
        </w:trPr>
        <w:tc>
          <w:tcPr>
            <w:tcW w:w="32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(120,030)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(235,794)</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Net increase in total deposits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221,220</w:t>
            </w: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decrease in other borrowings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(4,592)</w:t>
            </w: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(3,601)</w:t>
            </w:r>
          </w:p>
        </w:tc>
      </w:tr>
      <w:tr>
        <w:trPr>
          <w:trHeight w:val="223"/>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320" w:type="dxa"/>
            <w:vAlign w:val="bottom"/>
            <w:tcBorders>
              <w:top w:val="single" w:sz="8" w:color="CCEEFF"/>
            </w:tcBorders>
          </w:tcPr>
          <w:p>
            <w:pPr>
              <w:spacing w:after="0"/>
              <w:rPr>
                <w:sz w:val="19"/>
                <w:szCs w:val="19"/>
                <w:color w:val="auto"/>
              </w:rPr>
            </w:pPr>
          </w:p>
        </w:tc>
        <w:tc>
          <w:tcPr>
            <w:tcW w:w="3440" w:type="dxa"/>
            <w:vAlign w:val="bottom"/>
            <w:tcBorders>
              <w:top w:val="single" w:sz="8" w:color="CCEEFF"/>
            </w:tcBorders>
          </w:tcPr>
          <w:p>
            <w:pPr>
              <w:spacing w:after="0"/>
              <w:rPr>
                <w:sz w:val="19"/>
                <w:szCs w:val="19"/>
                <w:color w:val="auto"/>
              </w:rPr>
            </w:pPr>
          </w:p>
        </w:tc>
        <w:tc>
          <w:tcPr>
            <w:tcW w:w="492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81,807</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212,531</w:t>
            </w:r>
          </w:p>
        </w:tc>
        <w:tc>
          <w:tcPr>
            <w:tcW w:w="100" w:type="dxa"/>
            <w:vAlign w:val="bottom"/>
            <w:tcBorders>
              <w:top w:val="single" w:sz="8" w:color="CCEEFF"/>
            </w:tcBorders>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118,705</w:t>
            </w: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 other real estate and repossessed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34"/>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Purchase of securities available for sale not yet settled</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Shareholders'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Retained</w:t>
            </w: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Comprehensive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Shareholders’</w:t>
            </w:r>
          </w:p>
        </w:tc>
      </w:tr>
      <w:tr>
        <w:trPr>
          <w:trHeight w:val="241"/>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(Dollars in thousands, except per share amounts)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January 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74,582</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398,484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three months ended March 31, 2022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17,967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$0.22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59,002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(1,384)</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15,100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(issuance of 65,461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withholding obligation (withholding of 24,365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(54,915)</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(54,915)</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March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321,981</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87,882</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January 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339,353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40,145</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389,522</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Adoption of ASU 2016-13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(10,303)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(10,303)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January 1, 2021, as adjusted</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339,353</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379,219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three months ended March 31, 2021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22,037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22,037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$0.21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180,667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(3,601)</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19,050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(issuance of 109,075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withholding obligation (withholding of 27,524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(5,686)</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(5,686)</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March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335,704</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47,287</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Financial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2021 included in our Annual Report on Form 10-K.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opinion, the accompanying unaudited condensed consolidated financial statements contain all the adjustments necessary to present fairly our consolidated financial condition as of March 31, 2022 and December 31, 2021, and the results of operations for the three-month periods ended March 31, 2022 and 2021. The results of operations for the three-month periods ended March 31, 2022,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credit losses (“ACL”) and the valuation of capitalized mortgage loan servicing rights. Refer to our 2021 Annual Report on Form 10-K for a disclosure of our accounting policies.</w:t>
      </w:r>
    </w:p>
    <w:p>
      <w:pPr>
        <w:spacing w:after="0" w:line="18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Accounting Standards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formed a cross-functional project team to lead this transition from LIBOR to a planned adoption of reference rates which could include Secured Overnight Financing Rate (“SOFR”), amongst others. We utilized the timeline guidance published by the Alternative Reference Rates Committee to develop and achieve internal milestones during this transitional period. We have discontinued the use of new LIBOR-based loans as of December 31, 2021, according to regulatory guidelines. We also discontinued the use of new LIBOR based interest rate derivatives as of December 31, 2021. The amended guidance under Topic 848 and our ability to elect its temporary optional expedients and exceptions are effective for us through December 31, 2022. We expect to adopt the LIBOR transition relief allowed under this standard.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31, 2022, the FASB issued ASU 2022-02, “Financial Instruments – Credit Losses (Topic 326): Troubled Debt Restructuring and Vintage Disclosures”. This ASU eliminates the troubled debt restructuring (“TDR”) accounting model for creditors that have already adopted Topic 326, which is commonly referred to as the current expected credit loss (“CECL”) model. In lieu of the TDR accounting model, creditors now will apply the general loan modification guidance in Subtopic 310-20 to all loan modifications, including modifications made for borrowers experiencing financial difficulty. Under the general loan modification guidance, a modification is treated as a new loan only if the terms of the new loan are at least as favorable to the lender as the terms for comparable loans to other customers with similar collection risks, and modifications to the terms of the original loan are more than minor. If either condition is not met, the modification is accounted for as the continuation of the old loan with any effect of the modification treated as a prospective adjustment to the loan’s effective interest rate. In addition, this ASU requires the disclosure of gross charge-offs recorded in the current period for financing receivables by origination year. For entities that have adopted Topic 326, ASU 2022-02 takes effect in reporting periods beginning after Dec. 15, 2022, with early adoption permitted. We are currently assessing the impact of this ASU on our Condensed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Securities</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 for sale consist of the following:</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Unrealized</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Cost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7"/>
              </w:rPr>
              <w:t>Losses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80" w:type="dxa"/>
            <w:vAlign w:val="bottom"/>
            <w:gridSpan w:val="3"/>
            <w:vMerge w:val="continue"/>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45,896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43,588</w:t>
            </w:r>
          </w:p>
        </w:tc>
        <w:tc>
          <w:tcPr>
            <w:tcW w:w="0" w:type="dxa"/>
            <w:vAlign w:val="bottom"/>
          </w:tcPr>
          <w:p>
            <w:pPr>
              <w:spacing w:after="0"/>
              <w:rPr>
                <w:sz w:val="1"/>
                <w:szCs w:val="1"/>
                <w:color w:val="auto"/>
              </w:rPr>
            </w:pPr>
          </w:p>
        </w:tc>
      </w:tr>
      <w:tr>
        <w:trPr>
          <w:trHeight w:val="216"/>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292,590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16,161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277,003</w:t>
            </w: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22,663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21,591</w:t>
            </w:r>
          </w:p>
        </w:tc>
        <w:tc>
          <w:tcPr>
            <w:tcW w:w="0" w:type="dxa"/>
            <w:vAlign w:val="bottom"/>
          </w:tcPr>
          <w:p>
            <w:pPr>
              <w:spacing w:after="0"/>
              <w:rPr>
                <w:sz w:val="1"/>
                <w:szCs w:val="1"/>
                <w:color w:val="auto"/>
              </w:rPr>
            </w:pPr>
          </w:p>
        </w:tc>
      </w:tr>
      <w:tr>
        <w:trPr>
          <w:trHeight w:val="216"/>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115,928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112,083</w:t>
            </w: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 backed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281,822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279,156</w:t>
            </w:r>
          </w:p>
        </w:tc>
        <w:tc>
          <w:tcPr>
            <w:tcW w:w="0" w:type="dxa"/>
            <w:vAlign w:val="bottom"/>
          </w:tcPr>
          <w:p>
            <w:pPr>
              <w:spacing w:after="0"/>
              <w:rPr>
                <w:sz w:val="1"/>
                <w:szCs w:val="1"/>
                <w:color w:val="auto"/>
              </w:rPr>
            </w:pPr>
          </w:p>
        </w:tc>
      </w:tr>
      <w:tr>
        <w:trPr>
          <w:trHeight w:val="216"/>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550,439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31,203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520,078</w:t>
            </w: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149,863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144,251</w:t>
            </w:r>
          </w:p>
        </w:tc>
        <w:tc>
          <w:tcPr>
            <w:tcW w:w="0" w:type="dxa"/>
            <w:vAlign w:val="bottom"/>
          </w:tcPr>
          <w:p>
            <w:pPr>
              <w:spacing w:after="0"/>
              <w:rPr>
                <w:sz w:val="1"/>
                <w:szCs w:val="1"/>
                <w:color w:val="auto"/>
              </w:rPr>
            </w:pPr>
          </w:p>
        </w:tc>
      </w:tr>
      <w:tr>
        <w:trPr>
          <w:trHeight w:val="216"/>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Trust preferred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government</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1,461,677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1,400,137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34,634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34,674</w:t>
            </w:r>
          </w:p>
        </w:tc>
        <w:tc>
          <w:tcPr>
            <w:tcW w:w="0" w:type="dxa"/>
            <w:vAlign w:val="bottom"/>
          </w:tcPr>
          <w:p>
            <w:pPr>
              <w:spacing w:after="0"/>
              <w:rPr>
                <w:sz w:val="1"/>
                <w:szCs w:val="1"/>
                <w:color w:val="auto"/>
              </w:rPr>
            </w:pPr>
          </w:p>
        </w:tc>
      </w:tr>
      <w:tr>
        <w:trPr>
          <w:trHeight w:val="216"/>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309,907</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307,985</w:t>
            </w: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23,066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22,926</w:t>
            </w:r>
          </w:p>
        </w:tc>
        <w:tc>
          <w:tcPr>
            <w:tcW w:w="0" w:type="dxa"/>
            <w:vAlign w:val="bottom"/>
          </w:tcPr>
          <w:p>
            <w:pPr>
              <w:spacing w:after="0"/>
              <w:rPr>
                <w:sz w:val="1"/>
                <w:szCs w:val="1"/>
                <w:color w:val="auto"/>
              </w:rPr>
            </w:pPr>
          </w:p>
        </w:tc>
      </w:tr>
      <w:tr>
        <w:trPr>
          <w:trHeight w:val="216"/>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102,480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102,615</w:t>
            </w: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 backed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215,235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216,170</w:t>
            </w:r>
          </w:p>
        </w:tc>
        <w:tc>
          <w:tcPr>
            <w:tcW w:w="0" w:type="dxa"/>
            <w:vAlign w:val="bottom"/>
          </w:tcPr>
          <w:p>
            <w:pPr>
              <w:spacing w:after="0"/>
              <w:rPr>
                <w:sz w:val="1"/>
                <w:szCs w:val="1"/>
                <w:color w:val="auto"/>
              </w:rPr>
            </w:pPr>
          </w:p>
        </w:tc>
      </w:tr>
      <w:tr>
        <w:trPr>
          <w:trHeight w:val="216"/>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568,355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576,076</w:t>
            </w: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148,707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149,959</w:t>
            </w:r>
          </w:p>
        </w:tc>
        <w:tc>
          <w:tcPr>
            <w:tcW w:w="0" w:type="dxa"/>
            <w:vAlign w:val="bottom"/>
          </w:tcPr>
          <w:p>
            <w:pPr>
              <w:spacing w:after="0"/>
              <w:rPr>
                <w:sz w:val="1"/>
                <w:szCs w:val="1"/>
                <w:color w:val="auto"/>
              </w:rPr>
            </w:pPr>
          </w:p>
        </w:tc>
      </w:tr>
      <w:tr>
        <w:trPr>
          <w:trHeight w:val="216"/>
        </w:trPr>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Trust preferred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government</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1,404,858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16,594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1,412,830</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0"/>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investments’ gross unrealized losses and fair values aggregated by investment type and length of time that individual securities have been at a continuous unrealized loss position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Less Than Twelve Months</w:t>
            </w:r>
          </w:p>
        </w:tc>
        <w:tc>
          <w:tcPr>
            <w:tcW w:w="160" w:type="dxa"/>
            <w:vAlign w:val="bottom"/>
          </w:tcPr>
          <w:p>
            <w:pPr>
              <w:spacing w:after="0"/>
              <w:rPr>
                <w:sz w:val="20"/>
                <w:szCs w:val="20"/>
                <w:color w:val="auto"/>
              </w:rPr>
            </w:pPr>
          </w:p>
        </w:tc>
        <w:tc>
          <w:tcPr>
            <w:tcW w:w="25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Twelve Months or More</w:t>
            </w:r>
          </w:p>
        </w:tc>
        <w:tc>
          <w:tcPr>
            <w:tcW w:w="1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1"/>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Fair Value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38,843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2,329</w:t>
            </w: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8,226</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84,351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209,512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16,161</w:t>
            </w:r>
          </w:p>
        </w:tc>
      </w:tr>
      <w:tr>
        <w:trPr>
          <w:trHeight w:val="198"/>
        </w:trPr>
        <w:tc>
          <w:tcPr>
            <w:tcW w:w="32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backed</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20,971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1,028</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21,569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w:t>
            </w: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4,058</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105,054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4,122</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 backed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213,944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r>
      <w:tr>
        <w:trPr>
          <w:trHeight w:val="198"/>
        </w:trPr>
        <w:tc>
          <w:tcPr>
            <w:tcW w:w="32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subdivisions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417,842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28,911</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30,159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448,001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31,203</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110,464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5,924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112,287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6,133</w:t>
            </w:r>
          </w:p>
        </w:tc>
      </w:tr>
      <w:tr>
        <w:trPr>
          <w:trHeight w:val="223"/>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 preferred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57"/>
        </w:trPr>
        <w:tc>
          <w:tcPr>
            <w:tcW w:w="3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1,029,245</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1,152,101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agency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13,272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3,555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190,422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3,874</w:t>
            </w:r>
          </w:p>
        </w:tc>
      </w:tr>
      <w:tr>
        <w:trPr>
          <w:trHeight w:val="198"/>
        </w:trPr>
        <w:tc>
          <w:tcPr>
            <w:tcW w:w="32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U.S. agency commercial mortgage-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backed</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19,900</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19,900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64,408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 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86,581</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87,559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198"/>
        </w:trPr>
        <w:tc>
          <w:tcPr>
            <w:tcW w:w="32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subdivisions</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178,484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2,151</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7,093</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185,577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2,221</w:t>
            </w: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75,166</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76,216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 preferred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3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607,923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641,453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8,622</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80"/>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Securities available for sale in unrealized loss positions are evaluated quarterly for impairment related to credit losses. For securities available for sale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available for sale was needed at March 31, 2022. Accrued interest receivable on securities available for sale totaled $6.1 million and $6.0 million at March 31, 2022 and December 31, 2021, respectively, and is excluded from the estimate of credit losses and is included in accrued income and other assets in the Condensed Consolidated Statements of Financial Condition.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agency, U.S. agency residential mortgage-backed and U.S. agency commercial mortgage-backed securities — at March 31, 2022, we had 41 U.S. agency, 167 U.S. agency residential mortgage-backed and 29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Private label mortgage backed, other asset backed and corporate securities — at March 31, 2022, we had 90 private label mortgage backed, 121 other asset backed and 90 corporate securities whose fair value is less than amortized cost. The unrealized losses are primarily due to credit spread widening and/or an increase in interest rates since acquisition.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Obligations of states and political subdivisions — at March 31, 2022, we had 795 municipal securities whose fair value is less than amortized cost. The unrealized losses are primarily due to an increase in interest rates since acquisition.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Trust preferred securities — at March 31, 2022, we had two trust preferred securities whose fair value is less than amortized cost. Both of our trust 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$1.00 million and total fair value of $0.94 million as of March 31, 2022, continues to have satisfactory credit metrics and make interest payments.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2022 management does not intend to liquidate any of the securities discussed above and it is more likely than not that we will not be required to sell these securities prior to recovery of these unrealized losses.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no credit related charges in our Condensed Consolidated Statements of Operations related to securities available for sale during the three month periods ended March 31, 2022 and 2021,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amortized cost and fair value of securities available for sale at March 31, 2022, by contractual maturity, follow:</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w:t>
            </w: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Maturing after one year but within five years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141,769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248,638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Maturing after ten years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306,389</w:t>
            </w: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748,674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710,304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22,663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21,591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4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115,928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112,083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 backed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1,461,677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1,400,137</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maturity may differ from the contractual maturity because issuers may have the right to call or prepay obligations with or without call or prepayment penalties.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three month periods ending March 31,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Realized</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Proceeds</w:t>
            </w:r>
          </w:p>
        </w:tc>
        <w:tc>
          <w:tcPr>
            <w:tcW w:w="22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Gains</w:t>
            </w:r>
          </w:p>
        </w:tc>
        <w:tc>
          <w:tcPr>
            <w:tcW w:w="2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Times New Roman" w:cs="Times New Roman" w:eastAsia="Times New Roman" w:hAnsi="Times New Roman"/>
                <w:sz w:val="18"/>
                <w:szCs w:val="18"/>
                <w:color w:val="auto"/>
                <w:w w:val="94"/>
              </w:rPr>
              <w:t>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4,395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jc w:val="right"/>
              <w:ind w:right="6870"/>
              <w:spacing w:after="0"/>
              <w:rPr>
                <w:sz w:val="20"/>
                <w:szCs w:val="20"/>
                <w:color w:val="auto"/>
              </w:rPr>
            </w:pPr>
            <w:r>
              <w:rPr>
                <w:rFonts w:ascii="Times New Roman" w:cs="Times New Roman" w:eastAsia="Times New Roman" w:hAnsi="Times New Roman"/>
                <w:sz w:val="18"/>
                <w:szCs w:val="18"/>
                <w:color w:val="auto"/>
                <w:w w:val="94"/>
              </w:rPr>
              <w:t>2021</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78,179</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1,464</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2022, we transferred certain available for sale securities with an amortized cost and unrealized loss at the date of transfer of $418.1 million and $26.4 million, respectively to held to maturity.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We have the ability and intent to hold these securities until they mature, at which time we will receive full value for these securities.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CECL Forecast Committee, which includes a cross discipline structure with membership from Executive Management, Risk Management,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TDR;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the entity is able to make or obtain R&amp;S forecasts of expected credit losses, we revert to the long term average on a straight line or immediate basis, as determined by the CECL Forecast Committee, and which may vary depending on the economic outlook and uncertainty.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30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our CECL Forecast Committee and as calculated through the Bank’s Asset and Liability Management program.</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 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 The current period’s ACL further recognizes inherent risk related to the ongoing COVID-19 pandemic; specifically to commercial loans in high risk industries, and mortgage and installment borrowers with occupations in those high risk industries. Identified high risk industries include: food service, hospitality, entertainment, retail, investment real estate, assisted living, and non-owner occupied office.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the allowance for credit losses by portfolio segment for the three months ended March 31,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Commercial</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Mortgage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19,221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47,252</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45,627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35,429</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adoption of ASC 326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11,574</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Initial allowance on loans purchased with credit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deterioration</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46,755</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on non-accrual status and past due more than 90 days (“Non-performing Loans”)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Non- Accrual</w:t>
            </w: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Non-Accrual</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with no</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with an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Allowance for</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Allowance for</w:t>
            </w:r>
          </w:p>
        </w:tc>
        <w:tc>
          <w:tcPr>
            <w:tcW w:w="2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and 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Performing</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Credit Loss</w:t>
            </w: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Credit Loss</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Non-Accrual</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Loans</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March 31, 2022</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and industrial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10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 family owner occupied - non-jumbo (2)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1,756</w:t>
            </w:r>
          </w:p>
        </w:tc>
        <w:tc>
          <w:tcPr>
            <w:tcW w:w="10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w:t>
            </w:r>
          </w:p>
        </w:tc>
        <w:tc>
          <w:tcPr>
            <w:tcW w:w="10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w:t>
            </w:r>
          </w:p>
        </w:tc>
        <w:tc>
          <w:tcPr>
            <w:tcW w:w="10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0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0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0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04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and industrial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10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 family owner occupied - non-jumbo (2)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w:t>
            </w:r>
          </w:p>
        </w:tc>
        <w:tc>
          <w:tcPr>
            <w:tcW w:w="10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w:t>
            </w:r>
          </w:p>
        </w:tc>
        <w:tc>
          <w:tcPr>
            <w:tcW w:w="10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863</w:t>
            </w:r>
          </w:p>
        </w:tc>
        <w:tc>
          <w:tcPr>
            <w:tcW w:w="10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0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0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0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3"/>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04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commercial and industrial loans exclude $0.044 million and $0.047 million of government guaranteed loans at both March 31, 2022 and December 31, 2021, respectively.</w:t>
      </w:r>
    </w:p>
    <w:p>
      <w:pPr>
        <w:ind w:left="340" w:right="200" w:hanging="332"/>
        <w:spacing w:after="0" w:line="26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1-4 family owner occupied – non jumbo loans exclude $0.815 million and $0.388 million of government guaranteed loans at March 31, 2022 and December 31, 2021, respectively.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The amortized cost of collateral-dependent loans by class follows: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Collateral Type</w:t>
            </w:r>
          </w:p>
        </w:tc>
        <w:tc>
          <w:tcPr>
            <w:tcW w:w="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Allowance for</w:t>
            </w: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Estate</w:t>
            </w:r>
          </w:p>
        </w:tc>
        <w:tc>
          <w:tcPr>
            <w:tcW w:w="2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Credit 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0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76"/>
              </w:rPr>
              <w:t>thousands)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16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Mortgage</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848</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422</w:t>
            </w: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 family - 2nd lien</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212</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Resort lending</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156</w:t>
            </w: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Installment</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Boat lending</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4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2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Mortgage</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607</w:t>
            </w: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940</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477</w:t>
            </w: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 family - 2nd lien</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370</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Resort lending</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237</w:t>
            </w: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Installment</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Boat lending</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2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516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jc w:val="right"/>
              <w:ind w:right="1534"/>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6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aging analysis of loans by class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Loans Past Due</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Loans not</w:t>
            </w:r>
          </w:p>
        </w:tc>
        <w:tc>
          <w:tcPr>
            <w:tcW w:w="2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30-59 days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60-89 days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90+ days</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Past Due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Loans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637,429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637,488</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620,113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620,113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580,670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580,670</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jc w:val="center"/>
              <w:ind w:right="1810"/>
              <w:spacing w:after="0"/>
              <w:rPr>
                <w:sz w:val="20"/>
                <w:szCs w:val="20"/>
                <w:color w:val="auto"/>
              </w:rPr>
            </w:pPr>
            <w:r>
              <w:rPr>
                <w:rFonts w:ascii="Times New Roman" w:cs="Times New Roman" w:eastAsia="Times New Roman" w:hAnsi="Times New Roman"/>
                <w:sz w:val="18"/>
                <w:szCs w:val="18"/>
                <w:color w:val="auto"/>
                <w:w w:val="99"/>
              </w:rPr>
              <w:t>jumbo</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278,409</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280,913</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175,343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87,119</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45,858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46,014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232,026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232,199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242,530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242,875</w:t>
            </w: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100,865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101,331</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jc w:val="center"/>
              <w:ind w:right="1850"/>
              <w:spacing w:after="0"/>
              <w:rPr>
                <w:sz w:val="20"/>
                <w:szCs w:val="20"/>
                <w:color w:val="auto"/>
              </w:rPr>
            </w:pPr>
            <w:r>
              <w:rPr>
                <w:rFonts w:ascii="Times New Roman" w:cs="Times New Roman" w:eastAsia="Times New Roman" w:hAnsi="Times New Roman"/>
                <w:sz w:val="18"/>
                <w:szCs w:val="18"/>
                <w:color w:val="auto"/>
                <w:w w:val="99"/>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2,999,247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3,004,065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593,048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593,112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610,469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610,469</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540,416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541,023</w:t>
            </w:r>
          </w:p>
        </w:tc>
        <w:tc>
          <w:tcPr>
            <w:tcW w:w="0" w:type="dxa"/>
            <w:vAlign w:val="bottom"/>
          </w:tcPr>
          <w:p>
            <w:pPr>
              <w:spacing w:after="0"/>
              <w:rPr>
                <w:sz w:val="1"/>
                <w:szCs w:val="1"/>
                <w:color w:val="auto"/>
              </w:rPr>
            </w:pPr>
          </w:p>
        </w:tc>
      </w:tr>
      <w:tr>
        <w:trPr>
          <w:trHeight w:val="198"/>
        </w:trPr>
        <w:tc>
          <w:tcPr>
            <w:tcW w:w="32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1-4 family owner occupied - non-</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jumbo</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w:t>
            </w: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1,839</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264,571</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266,410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194,277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194,852</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87,958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88,729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48,645</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227,622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228,140</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234,183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234,745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98,920</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recorded investment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2,535</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2,899,514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2,905,045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allocated $3.3 million and $3.6 million of reserves to customers whose loan terms have been modified in troubled debt restructurings (“TDR”) at March 31, 2022 and December 31, 2021,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TDRs follow:</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March 31, 2022</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Retail (1)</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r>
      <w:tr>
        <w:trPr>
          <w:trHeight w:val="216"/>
        </w:trPr>
        <w:tc>
          <w:tcPr>
            <w:tcW w:w="4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30,622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35,032</w:t>
            </w:r>
          </w:p>
        </w:tc>
      </w:tr>
      <w:tr>
        <w:trPr>
          <w:trHeight w:val="26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TDRs (2)</w:t>
            </w:r>
          </w:p>
        </w:tc>
        <w:tc>
          <w:tcPr>
            <w:tcW w:w="2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875</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r>
      <w:tr>
        <w:trPr>
          <w:trHeight w:val="256"/>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4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Retail (1)</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r>
      <w:tr>
        <w:trPr>
          <w:trHeight w:val="216"/>
        </w:trPr>
        <w:tc>
          <w:tcPr>
            <w:tcW w:w="4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31,589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36,070</w:t>
            </w:r>
          </w:p>
        </w:tc>
      </w:tr>
      <w:tr>
        <w:trPr>
          <w:trHeight w:val="26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TDRs (2)</w:t>
            </w:r>
          </w:p>
        </w:tc>
        <w:tc>
          <w:tcPr>
            <w:tcW w:w="2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w:t>
            </w:r>
          </w:p>
        </w:tc>
      </w:tr>
      <w:tr>
        <w:trPr>
          <w:trHeight w:val="257"/>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loans include mortgage and installment loan portfolio segments.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non-performing loans table above.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loans on non-accrual at the time of modification until six payments are received on a timely basis.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terms of one loan were modified as a TDR (there were no TDR modifications during the three months ended March 31, 2021). The modification of the terms of this loan included a reduction of the stated interest rate of the loan and a 34 month extension of the maturity date. The pre- and post-modification outstanding loan balances were both $0.3 million at March 31, 2022. This TDR increased the ACL by $0.03 million and resulted in zero charge-offs during the three months ended March 31,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TDRs that subsequently defaulted within twelve months following the modification during the three month periods ended March 31, 2022 and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loan is considered to be in payment default generally once it is 90 days contractually past due under the modified terms.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Non-TDR Loan Modifications and Paycheck Protection Program (“PPP”) due to COVID-19 - </w:t>
      </w:r>
      <w:r>
        <w:rPr>
          <w:rFonts w:ascii="Times New Roman" w:cs="Times New Roman" w:eastAsia="Times New Roman" w:hAnsi="Times New Roman"/>
          <w:sz w:val="18"/>
          <w:szCs w:val="18"/>
          <w:color w:val="auto"/>
        </w:rPr>
        <w:t>During 2020 the CARES Act was signed into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4013 of the CARES Act provided temporary relief from the accounting and reporting requirements for TDRs regarding certain loan modifications for our customers. Section 4013 specified that COVID-19 related modifications on loans that were current (less than 30 days past due) as of December 31, 2019 were not TDRs. The provisions of Section 4013 were to expire at the earlier of 60 days after the termination of the national emergency that was previously declared on March 13, 2020 or January 1, 2022. While the provisions of Section 4013 were in place, we assisted both commercial and retail (mortgage and installment) borrowers with accommodations that included reduced or suspended payments. While these loans were in accommodation plans (prior to the expiration of Section 4013) they were not being reported as past due in keeping with the guidance in Section 4013. At the expiration of Section 4013 on January 1, 2022, we moved certain delinquent accommodation loans to non-accrual which totaled $0.2 million at March 31, 2022. Total accommodation loans were $0.5 million and $2.3 million at March 31, 2022 and December 31, 2021, respectively.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CARES Act also included a loan program administered through the U.S. Small Business Administration (‘‘SBA’’) referred to as the PPP. Under the PPP, small businesses and other entities and individuals could apply for loans from existing SBA lenders and other approved regulated lenders that enrolled in the program, subject to numerous limitations and eligibility criteria. We are participating as a lender in the PPP. The PPP opened on April 3, 2020 intending to provide American small businesses with eight weeks of cash-flow assistance through 100% federally guaranteed loans through the SBA. The</w:t>
      </w:r>
    </w:p>
    <w:p>
      <w:pPr>
        <w:spacing w:after="0" w:line="3" w:lineRule="exact"/>
        <w:rPr>
          <w:sz w:val="20"/>
          <w:szCs w:val="20"/>
          <w:color w:val="auto"/>
        </w:rPr>
      </w:pPr>
    </w:p>
    <w:p>
      <w:pPr>
        <w:jc w:val="both"/>
        <w:ind w:firstLine="8"/>
        <w:spacing w:after="0" w:line="252" w:lineRule="auto"/>
        <w:tabs>
          <w:tab w:leader="none" w:pos="3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closed on August 8, 2020 (“Round 1”). On December 27, 2020, the Economic Aid to Hard-Hit Small Businesses, Nonprofits, and Venues Act (‘‘Economic Aid Act’’) was signed into law which allocated additional funding for the PPP (“Round 2”). The Economic Aid Act reopened the PPP through March 31, 2021 with generally the same terms and conditions as originally enacted under the CARES Act while clarifying eligibility and ineligibility for certain entities and expanding the permitted uses of PPP funds. In addition, the Economic Aid Act simplified the loan forgiveness process for PPP loans of $150,000 or less. The Economic Aid Act also established second draw loans for entities that had already used the initial PPP funds, subject to numerous limitations and eligibility criteria. PPP Round 2 loans are eligible for forgiveness similar to Round 1 PPP loans, subject to limitations set forth in the Economic Aid Act. Round 2 closed on May 31,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PPP loans outstanding:</w:t>
            </w: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Paycheck Protection Program</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As of March 31, 2022</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As of December 31, 2021</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 (#)</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Amount ($)</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Amount (#)</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Amount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Closed and outstanding - Round 1 loans</w:t>
            </w:r>
          </w:p>
        </w:tc>
        <w:tc>
          <w:tcPr>
            <w:tcW w:w="2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Closed and outstanding - Round 2 loans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5,882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26,167</w:t>
            </w: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closed and outstanding</w:t>
            </w:r>
          </w:p>
        </w:tc>
        <w:tc>
          <w:tcPr>
            <w:tcW w:w="1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5,933</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Unaccreted net fees remaining at period end</w:t>
            </w: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1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color w:val="auto"/>
              </w:rPr>
              <w:t>20</w:t>
            </w: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8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ind w:firstLine="8"/>
        <w:spacing w:after="0" w:line="261" w:lineRule="auto"/>
        <w:tabs>
          <w:tab w:leader="none" w:pos="3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included in the commercial and industrial class of the commercial loan portfolio segment. As these loans are 100% guaranteed through the SBA the allowance for credit losses recorded on these loans is zero. PPP loans funded totaled zero and $128.2 million during the three months ended March 31, 2022 and 2021, respectively. Interest and fees on loans in our condensed consolidated statement of operations related to the accretion of net loan fees on PPP loans totaled $0.6 million and $2.1 million during the three month periods ended March 31, 2022 and 2021, respectively.</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Credit Quality Indicators </w:t>
      </w:r>
      <w:r>
        <w:rPr>
          <w:rFonts w:ascii="Times New Roman" w:cs="Times New Roman" w:eastAsia="Times New Roman" w:hAnsi="Times New Roman"/>
          <w:sz w:val="18"/>
          <w:szCs w:val="18"/>
          <w:color w:val="auto"/>
        </w:rPr>
        <w:t>– As part of our on-going monitoring of the credit quality of our loan portfolios, we track certain credit quality indicators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risk grade of commercial loans, (b) the level of classified commercial loans, (c) credit scores of mortgage and installment loan borrowers, and (d) delinquency history and non-performing loans.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Rating 1 through 6</w:t>
      </w:r>
      <w:r>
        <w:rPr>
          <w:rFonts w:ascii="Times New Roman" w:cs="Times New Roman" w:eastAsia="Times New Roman" w:hAnsi="Times New Roman"/>
          <w:sz w:val="18"/>
          <w:szCs w:val="18"/>
          <w:color w:val="auto"/>
        </w:rPr>
        <w:t>: These loans are generally referred to as our “non-watch” commercial credits that include very high or exceptional credit fundamentals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acceptable credit fundamentals.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Rating 7 and 8</w:t>
      </w:r>
      <w:r>
        <w:rPr>
          <w:rFonts w:ascii="Times New Roman" w:cs="Times New Roman" w:eastAsia="Times New Roman" w:hAnsi="Times New Roman"/>
          <w:sz w:val="18"/>
          <w:szCs w:val="18"/>
          <w:color w:val="auto"/>
        </w:rPr>
        <w:t>: These loans are generally referred to as our “watch” commercial credits. These ratings include loans to borrowers that exhibit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weakness or downward trends. If not checked or cured these trends could weaken our asset or credit position. While potentially weak, no loss of principal or interest is envisioned with these ratings.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Rating 9</w:t>
      </w:r>
      <w:r>
        <w:rPr>
          <w:rFonts w:ascii="Times New Roman" w:cs="Times New Roman" w:eastAsia="Times New Roman" w:hAnsi="Times New Roman"/>
          <w:sz w:val="18"/>
          <w:szCs w:val="18"/>
          <w:color w:val="auto"/>
        </w:rPr>
        <w:t>: These loans are generally referred to as our “substandard accruing” commercial credits. This rating includes loans to borrowers that 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Rating 10 and 11</w:t>
      </w:r>
      <w:r>
        <w:rPr>
          <w:rFonts w:ascii="Times New Roman" w:cs="Times New Roman" w:eastAsia="Times New Roman" w:hAnsi="Times New Roman"/>
          <w:sz w:val="18"/>
          <w:szCs w:val="18"/>
          <w:color w:val="auto"/>
        </w:rPr>
        <w:t>: These loans are generally referred to as our ‘‘substandard - non-accrual’’ and ‘‘doubtful’’ commercial credits. Our doubtful 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 sub classification for a loss rate other than 50% (which is the standard doubtful loss rate). These ratings include loans to borrowers with weaknesses that make collection of the loan in full, on the basis of current facts, conditions and values at best questionable and at worst improbable. All of these loans are placed in non-accrual.</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Rating 12</w:t>
      </w:r>
      <w:r>
        <w:rPr>
          <w:rFonts w:ascii="Times New Roman" w:cs="Times New Roman" w:eastAsia="Times New Roman" w:hAnsi="Times New Roman"/>
          <w:sz w:val="18"/>
          <w:szCs w:val="18"/>
          <w:color w:val="auto"/>
        </w:rPr>
        <w:t>: These loans are generally referred to as our “loss” commercial credits. This rating includes loans to borrowers that are deemed incapable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and are charged-off.</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loan ratings by loan class for our commercial portfolio loan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8"/>
          </w:tcPr>
          <w:p>
            <w:pPr>
              <w:jc w:val="right"/>
              <w:ind w:right="680"/>
              <w:spacing w:after="0"/>
              <w:rPr>
                <w:sz w:val="20"/>
                <w:szCs w:val="20"/>
                <w:color w:val="auto"/>
              </w:rPr>
            </w:pPr>
            <w:r>
              <w:rPr>
                <w:rFonts w:ascii="Times New Roman" w:cs="Times New Roman" w:eastAsia="Times New Roman" w:hAnsi="Times New Roman"/>
                <w:sz w:val="18"/>
                <w:szCs w:val="18"/>
                <w:color w:val="auto"/>
              </w:rPr>
              <w:t>Commercial</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Revolving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gridSpan w:val="20"/>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w w:val="99"/>
              </w:rPr>
              <w:t>Term Loans Amortized Cost Basis by Origination Year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20"/>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Amortized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8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4"/>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2018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Prior</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Cost Basis</w:t>
            </w:r>
          </w:p>
        </w:tc>
        <w:tc>
          <w:tcPr>
            <w:tcW w:w="220" w:type="dxa"/>
            <w:vAlign w:val="bottom"/>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(In</w:t>
            </w:r>
          </w:p>
        </w:tc>
        <w:tc>
          <w:tcPr>
            <w:tcW w:w="108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color w:val="auto"/>
                <w:w w:val="89"/>
              </w:rPr>
              <w:t>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Non-watch (1-6)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114,032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64,896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42,010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123,382</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181,325</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Watch (7-8)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Substandard Accrual (9)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Non-Accrual (10-11)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44,807</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115,696</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181,811</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637,488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02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Accrued interest excluded from total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Non-watch (1-6)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119,393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48,685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102,088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71,533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192,076</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33,846</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Watch (7-8)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10,816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Substandard Accrual (9)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Non-Accrual (10-11)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34,073</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119,533</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82,349</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620,113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02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Accrued interest excluded from total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Commercial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Non-watch (1-6)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233,425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113,581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156,918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113,543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315,458</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215,171</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1,226,976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Watch (7-8)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12,404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Substandard Accrual (9)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Non-Accrual (10-11)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78,880</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235,229</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126,162</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326,235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215,657</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1,257,601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2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Accrued interest excluded from total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Revolving</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Loans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19"/>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Term Loans Amortized Cost Basis by Origination Year</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8"/>
              </w:rPr>
              <w:t>Amortized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Prior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Cost Basis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w w:val="84"/>
              </w:rPr>
              <w:t>thousands)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Non-watch (1-6)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69,856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56,984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44,827</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96,261</w:t>
            </w: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144,579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572,731</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Watch (7-8)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6,274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9,019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Substandard Accrual (9)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11,300</w:t>
            </w: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Non-Accrual (10-11)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69,858</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38,669</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151,848</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593,112</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interest excluded from total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Non-watch (1-6)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108,056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75,828</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160,199</w:t>
            </w: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31,551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593,566</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Watch (7-8)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7,678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14,161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Substandard Accrual (9)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Non-Accrual (10-11)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55,803</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41,939</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610,469</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interest excluded from total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Commercial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Non-watch (1-6)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245,247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125,335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165,040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120,655</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256,460</w:t>
            </w: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176,130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1,166,297</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Watch (7-8)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8,972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7,697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23,180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Substandard Accrual (9)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14,042</w:t>
            </w: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Non-Accrual (10-11)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125,661</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80,608</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265,749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183,399</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1,203,581</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interest excluded from total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of our mortgage and installment portfolio segment classes, we generally monitor credit quality based on the credit scores of the borrowers. These credit scores are generally updated semi-annually.</w:t>
      </w:r>
    </w:p>
    <w:p>
      <w:pPr>
        <w:sectPr>
          <w:pgSz w:w="11900" w:h="16838" w:orient="portrait"/>
          <w:cols w:equalWidth="0" w:num="1">
            <w:col w:w="11240"/>
          </w:cols>
          <w:pgMar w:left="320" w:top="115" w:right="339" w:bottom="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1240"/>
          </w:cols>
          <w:pgMar w:left="320" w:top="115" w:right="339"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credit scores by loan class for our mortgage and installment loan portfolio segments at March 31, 2022 and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Mortgage (1)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Revolving</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Loans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14"/>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Prior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Cost Basis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w:t>
            </w:r>
          </w:p>
        </w:tc>
        <w:tc>
          <w:tcPr>
            <w:tcW w:w="10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w w:val="89"/>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29,275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17,288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69,566</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15,496</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181,908</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75,049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1,777</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316,014</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67,815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134,218</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18,715</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48,814</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8,721</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32,251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299,752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139,403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47,473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580,670</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33,749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42,338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6,791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101,502</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27,611</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77,569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10,714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38,233</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978</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14,547</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8,750</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4,367</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2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90,598</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28,027</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39,438</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8,872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4,378</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96,548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30,350</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4,861</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846</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15,330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500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63,852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14,790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175,343</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 family - 2nd lien</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29,442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39,510</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1,662</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16,254</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23,112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9,313</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 500</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849"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849"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Mortgage - continued (1)</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Revolving</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17"/>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w w:val="98"/>
              </w:rPr>
              <w:t>Term Loans Amortized Cost Basis by Origination Year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17"/>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Prior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Basis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31, 2022 - continued</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(In</w:t>
            </w:r>
          </w:p>
        </w:tc>
        <w:tc>
          <w:tcPr>
            <w:tcW w:w="114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color w:val="auto"/>
                <w:w w:val="89"/>
              </w:rPr>
              <w:t>thousands)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Resort lending</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240" w:type="dxa"/>
            <w:vAlign w:val="bottom"/>
            <w:tcBorders>
              <w:righ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6,917</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9,406</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500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0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46,014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240" w:type="dxa"/>
            <w:vAlign w:val="bottom"/>
            <w:tcBorders>
              <w:bottom w:val="single" w:sz="8" w:color="auto"/>
              <w:righ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left w:val="single" w:sz="8" w:color="CCEEFF"/>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48,243</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23,661</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14,960</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6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30,265</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148,888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750-799</w:t>
            </w: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266,757</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114,717</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72,026</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574,785</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107,041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18,338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274,655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35,429</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17,558</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33,524</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118,421</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30,590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12,030</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 500</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223"/>
        </w:trPr>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righ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460,487</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211,965</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41,328</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left w:val="single" w:sz="8" w:color="CCEEFF"/>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89,132</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excluded from total $</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Revolving</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Loans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7"/>
          </w:tcPr>
          <w:p>
            <w:pPr>
              <w:jc w:val="center"/>
              <w:spacing w:after="0"/>
              <w:rPr>
                <w:sz w:val="20"/>
                <w:szCs w:val="20"/>
                <w:color w:val="auto"/>
              </w:rPr>
            </w:pPr>
            <w:r>
              <w:rPr>
                <w:rFonts w:ascii="Times New Roman" w:cs="Times New Roman" w:eastAsia="Times New Roman" w:hAnsi="Times New Roman"/>
                <w:sz w:val="18"/>
                <w:szCs w:val="18"/>
                <w:color w:val="auto"/>
                <w:w w:val="99"/>
              </w:rPr>
              <w:t>Term Loans Amortized Cost Basis by Origination Year</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Prior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Cost Basis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(In</w:t>
            </w:r>
          </w:p>
        </w:tc>
        <w:tc>
          <w:tcPr>
            <w:tcW w:w="10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w w:val="89"/>
              </w:rPr>
              <w:t>thousands)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17,652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8,491</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2,565</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7,516</w:t>
            </w:r>
          </w:p>
        </w:tc>
        <w:tc>
          <w:tcPr>
            <w:tcW w:w="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67,888</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135,292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92,590</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7,118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9,469</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2,371</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281,955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34,665</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13,765</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7,748</w:t>
            </w:r>
          </w:p>
        </w:tc>
        <w:tc>
          <w:tcPr>
            <w:tcW w:w="20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4,856</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132,710</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19,367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10,313</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5,285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6,080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47,182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2,638</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8,020</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1,411</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255,101</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96"/>
              <w:spacing w:after="0" w:line="196" w:lineRule="exact"/>
              <w:rPr>
                <w:sz w:val="20"/>
                <w:szCs w:val="20"/>
                <w:color w:val="auto"/>
              </w:rPr>
            </w:pPr>
            <w:r>
              <w:rPr>
                <w:rFonts w:ascii="Times New Roman" w:cs="Times New Roman" w:eastAsia="Times New Roman" w:hAnsi="Times New Roman"/>
                <w:sz w:val="18"/>
                <w:szCs w:val="18"/>
                <w:color w:val="auto"/>
              </w:rPr>
              <w:t>159,738</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58,281</w:t>
            </w:r>
          </w:p>
        </w:tc>
        <w:tc>
          <w:tcPr>
            <w:tcW w:w="140" w:type="dxa"/>
            <w:vAlign w:val="bottom"/>
          </w:tcPr>
          <w:p>
            <w:pPr>
              <w:spacing w:after="0"/>
              <w:rPr>
                <w:sz w:val="18"/>
                <w:szCs w:val="18"/>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20,402</w:t>
            </w:r>
          </w:p>
        </w:tc>
        <w:tc>
          <w:tcPr>
            <w:tcW w:w="22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33,038</w:t>
            </w: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12,092</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2,371</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541,023</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Accrued interest excluded from total</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right w:val="single" w:sz="8" w:color="CCEEFF"/>
            </w:tcBorders>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right w:val="single" w:sz="8" w:color="CCEEFF"/>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left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5,534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3,756</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2,514</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30,150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20,300</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9,688</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8,887</w:t>
            </w:r>
          </w:p>
        </w:tc>
        <w:tc>
          <w:tcPr>
            <w:tcW w:w="20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12,498</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8,341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98,605</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19,317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10,572</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4,035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5,008</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5,637</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71,188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4,233</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3,217</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3,135</w:t>
            </w:r>
          </w:p>
        </w:tc>
        <w:tc>
          <w:tcPr>
            <w:tcW w:w="20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12,423</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34,423</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1,082</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1,076</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5,802</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9,101</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99"/>
              </w:rPr>
              <w:t>57</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2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right w:val="single" w:sz="8" w:color="CCEEFF"/>
            </w:tcBorders>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67,441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42,689</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right w:val="single" w:sz="8" w:color="CCEEFF"/>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24,306</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17,251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24,039</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69,614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21,070</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266,410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Accrued interest excluded from total</w:t>
            </w: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208</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18"/>
                <w:szCs w:val="18"/>
                <w:color w:val="auto"/>
              </w:rPr>
            </w:pPr>
          </w:p>
        </w:tc>
        <w:tc>
          <w:tcPr>
            <w:tcW w:w="380" w:type="dxa"/>
            <w:vAlign w:val="bottom"/>
            <w:gridSpan w:val="2"/>
          </w:tcPr>
          <w:p>
            <w:pPr>
              <w:jc w:val="right"/>
              <w:ind w:right="96"/>
              <w:spacing w:after="0" w:line="196" w:lineRule="exact"/>
              <w:rPr>
                <w:sz w:val="20"/>
                <w:szCs w:val="20"/>
                <w:color w:val="auto"/>
              </w:rPr>
            </w:pPr>
            <w:r>
              <w:rPr>
                <w:rFonts w:ascii="Times New Roman" w:cs="Times New Roman" w:eastAsia="Times New Roman" w:hAnsi="Times New Roman"/>
                <w:sz w:val="18"/>
                <w:szCs w:val="18"/>
                <w:color w:val="auto"/>
                <w:w w:val="99"/>
              </w:rPr>
              <w:t>97</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22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226</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7"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7"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tbl>
      <w:tblPr>
        <w:tblLayout w:type="fixed"/>
        <w:tblInd w:w="2740" w:type="dxa"/>
        <w:tblCellMar>
          <w:top w:w="0" w:type="dxa"/>
          <w:left w:w="0" w:type="dxa"/>
          <w:bottom w:w="0" w:type="dxa"/>
          <w:right w:w="0" w:type="dxa"/>
        </w:tblCellMar>
      </w:tblPr>
      <w:tr>
        <w:trPr>
          <w:trHeight w:val="241"/>
        </w:trPr>
        <w:tc>
          <w:tcPr>
            <w:tcW w:w="8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Mortgage - continued (1)</w:t>
            </w: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98"/>
        </w:trPr>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Revolving</w:t>
            </w:r>
          </w:p>
        </w:tc>
        <w:tc>
          <w:tcPr>
            <w:tcW w:w="1120" w:type="dxa"/>
            <w:vAlign w:val="bottom"/>
          </w:tcPr>
          <w:p>
            <w:pPr>
              <w:spacing w:after="0"/>
              <w:rPr>
                <w:sz w:val="17"/>
                <w:szCs w:val="17"/>
                <w:color w:val="auto"/>
              </w:rPr>
            </w:pPr>
          </w:p>
        </w:tc>
      </w:tr>
      <w:tr>
        <w:trPr>
          <w:trHeight w:val="216"/>
        </w:trPr>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1120" w:type="dxa"/>
            <w:vAlign w:val="bottom"/>
          </w:tcPr>
          <w:p>
            <w:pPr>
              <w:spacing w:after="0"/>
              <w:rPr>
                <w:sz w:val="18"/>
                <w:szCs w:val="18"/>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Amortized</w:t>
            </w:r>
          </w:p>
        </w:tc>
        <w:tc>
          <w:tcPr>
            <w:tcW w:w="1120" w:type="dxa"/>
            <w:vAlign w:val="bottom"/>
          </w:tcPr>
          <w:p>
            <w:pPr>
              <w:spacing w:after="0"/>
              <w:rPr>
                <w:sz w:val="20"/>
                <w:szCs w:val="20"/>
                <w:color w:val="auto"/>
              </w:rPr>
            </w:pPr>
          </w:p>
        </w:tc>
      </w:tr>
      <w:tr>
        <w:trPr>
          <w:trHeight w:val="216"/>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2017</w:t>
            </w: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Cost Basis</w:t>
            </w: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2021 (continued)</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380" w:type="dxa"/>
            <w:vAlign w:val="bottom"/>
            <w:tcBorders>
              <w:left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5,058</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30,832</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21,885</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10,517</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6,956</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102,347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38,752</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3,095</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82,835</w:t>
            </w:r>
          </w:p>
        </w:tc>
        <w:tc>
          <w:tcPr>
            <w:tcW w:w="38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34,655</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16,503</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7,832</w:t>
            </w:r>
          </w:p>
        </w:tc>
        <w:tc>
          <w:tcPr>
            <w:tcW w:w="3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10,971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31,158</w:t>
            </w:r>
          </w:p>
        </w:tc>
        <w:tc>
          <w:tcPr>
            <w:tcW w:w="3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10,898</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194,852</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Accrued interest excluded from total</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200" w:type="dxa"/>
            <w:vAlign w:val="bottom"/>
            <w:tcBorders>
              <w:left w:val="single" w:sz="8" w:color="CCEEFF"/>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 family - 2nd lien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30,106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41,000</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1,049</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1,374</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8,361</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4,005</w:t>
            </w:r>
          </w:p>
        </w:tc>
        <w:tc>
          <w:tcPr>
            <w:tcW w:w="200" w:type="dxa"/>
            <w:vAlign w:val="bottom"/>
            <w:tcBorders>
              <w:left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4,912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3,880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62,176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88,729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20" w:type="dxa"/>
            <w:vAlign w:val="bottom"/>
            <w:gridSpan w:val="2"/>
          </w:tcPr>
          <w:p>
            <w:pPr>
              <w:spacing w:after="0" w:line="196" w:lineRule="exact"/>
              <w:rPr>
                <w:sz w:val="20"/>
                <w:szCs w:val="20"/>
                <w:color w:val="auto"/>
              </w:rPr>
            </w:pPr>
            <w:r>
              <w:rPr>
                <w:rFonts w:ascii="Times New Roman" w:cs="Times New Roman" w:eastAsia="Times New Roman" w:hAnsi="Times New Roman"/>
                <w:sz w:val="13"/>
                <w:szCs w:val="13"/>
                <w:color w:val="auto"/>
              </w:rPr>
              <w:t xml:space="preserve">Accrued interest excluded from total </w:t>
            </w:r>
            <w:r>
              <w:rPr>
                <w:rFonts w:ascii="Times New Roman" w:cs="Times New Roman" w:eastAsia="Times New Roman" w:hAnsi="Times New Roman"/>
                <w:sz w:val="22"/>
                <w:szCs w:val="22"/>
                <w:color w:val="auto"/>
                <w:vertAlign w:val="superscript"/>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3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Resort lending</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left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7,621</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9,594</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1,551</w:t>
            </w:r>
          </w:p>
        </w:tc>
        <w:tc>
          <w:tcPr>
            <w:tcW w:w="38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1,420</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1,086</w:t>
            </w:r>
          </w:p>
        </w:tc>
        <w:tc>
          <w:tcPr>
            <w:tcW w:w="3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44,208</w:t>
            </w:r>
          </w:p>
        </w:tc>
        <w:tc>
          <w:tcPr>
            <w:tcW w:w="3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48,645</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Accrued interest excluded from total</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left w:val="single" w:sz="8" w:color="CCEEFF"/>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53,143</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13,975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17,854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147,475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215,481</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138,434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51,241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27,234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45,935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546,207</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54,267</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22,113</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15,163</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24,709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275,987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114,464</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3,954</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1,737</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2,763</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32,212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12,534</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1,468</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2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410,933</w:t>
            </w:r>
          </w:p>
        </w:tc>
        <w:tc>
          <w:tcPr>
            <w:tcW w:w="200" w:type="dxa"/>
            <w:vAlign w:val="bottom"/>
            <w:tcBorders>
              <w:left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243,414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101,997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49,073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72,058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165,669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96,515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1,139,659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20" w:type="dxa"/>
            <w:vAlign w:val="bottom"/>
            <w:gridSpan w:val="2"/>
          </w:tcPr>
          <w:p>
            <w:pPr>
              <w:spacing w:after="0" w:line="196" w:lineRule="exact"/>
              <w:rPr>
                <w:sz w:val="20"/>
                <w:szCs w:val="20"/>
                <w:color w:val="auto"/>
              </w:rPr>
            </w:pPr>
            <w:r>
              <w:rPr>
                <w:rFonts w:ascii="Times New Roman" w:cs="Times New Roman" w:eastAsia="Times New Roman" w:hAnsi="Times New Roman"/>
                <w:sz w:val="13"/>
                <w:szCs w:val="13"/>
                <w:color w:val="auto"/>
              </w:rPr>
              <w:t xml:space="preserve">Accrued interest excluded from total </w:t>
            </w:r>
            <w:r>
              <w:rPr>
                <w:rFonts w:ascii="Times New Roman" w:cs="Times New Roman" w:eastAsia="Times New Roman" w:hAnsi="Times New Roman"/>
                <w:sz w:val="22"/>
                <w:szCs w:val="22"/>
                <w:color w:val="auto"/>
                <w:vertAlign w:val="superscript"/>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945</w:t>
            </w:r>
          </w:p>
        </w:tc>
        <w:tc>
          <w:tcPr>
            <w:tcW w:w="38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574</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3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506</w:t>
            </w:r>
          </w:p>
        </w:tc>
        <w:tc>
          <w:tcPr>
            <w:tcW w:w="3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Credit scores have been updated within the last twelve months.</w:t>
      </w:r>
    </w:p>
    <w:p>
      <w:pPr>
        <w:sectPr>
          <w:pgSz w:w="11900" w:h="16838" w:orient="portrait"/>
          <w:cols w:equalWidth="0" w:num="1">
            <w:col w:w="11240"/>
          </w:cols>
          <w:pgMar w:left="320" w:top="115" w:right="339" w:bottom="1038"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038"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Installment (1)</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gridSpan w:val="12"/>
          </w:tcPr>
          <w:p>
            <w:pPr>
              <w:jc w:val="center"/>
              <w:ind w:left="350"/>
              <w:spacing w:after="0"/>
              <w:rPr>
                <w:sz w:val="20"/>
                <w:szCs w:val="20"/>
                <w:color w:val="auto"/>
              </w:rPr>
            </w:pPr>
            <w:r>
              <w:rPr>
                <w:rFonts w:ascii="Times New Roman" w:cs="Times New Roman" w:eastAsia="Times New Roman" w:hAnsi="Times New Roman"/>
                <w:sz w:val="18"/>
                <w:szCs w:val="18"/>
                <w:color w:val="auto"/>
                <w:w w:val="99"/>
              </w:rPr>
              <w:t>Term Loans Amortized Cost Basis by Origination Year</w:t>
            </w: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Prior</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Boat lending</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6,990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30,978</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44,728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19,960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14,629</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19,048</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133,119</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18,299</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7,625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52,953</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3,784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1,155</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2,363</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11,970</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500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18,226</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74,355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232,199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7,591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31,043</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63,590</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16,062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10,859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136,101</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30,955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5,820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3,629</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3,685</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58,384</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7,129</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13,972</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 500</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110,546</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37,485</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242,875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7,360</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12,747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5,295</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2,766</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4,494</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38,455</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10,035</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24,807</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4,090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1,825</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26,779</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500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
        </w:trPr>
        <w:tc>
          <w:tcPr>
            <w:tcW w:w="35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101,331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installment</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69,381</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121,065</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28,254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34,416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307,675</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59,289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16,250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11,246</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14,270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136,144</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15,003</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52,721</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1,608</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6,367</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 500</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214,726</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93,791</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ind w:left="270"/>
              <w:spacing w:after="0"/>
              <w:rPr>
                <w:sz w:val="20"/>
                <w:szCs w:val="20"/>
                <w:color w:val="auto"/>
              </w:rPr>
            </w:pPr>
            <w:r>
              <w:rPr>
                <w:rFonts w:ascii="Times New Roman" w:cs="Times New Roman" w:eastAsia="Times New Roman" w:hAnsi="Times New Roman"/>
                <w:sz w:val="18"/>
                <w:szCs w:val="18"/>
                <w:color w:val="auto"/>
                <w:w w:val="99"/>
              </w:rPr>
              <w:t>Installment - continued (1)</w:t>
            </w: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gridSpan w:val="12"/>
          </w:tcPr>
          <w:p>
            <w:pPr>
              <w:jc w:val="center"/>
              <w:ind w:left="350"/>
              <w:spacing w:after="0"/>
              <w:rPr>
                <w:sz w:val="20"/>
                <w:szCs w:val="20"/>
                <w:color w:val="auto"/>
              </w:rPr>
            </w:pPr>
            <w:r>
              <w:rPr>
                <w:rFonts w:ascii="Times New Roman" w:cs="Times New Roman" w:eastAsia="Times New Roman" w:hAnsi="Times New Roman"/>
                <w:sz w:val="18"/>
                <w:szCs w:val="18"/>
                <w:color w:val="auto"/>
                <w:w w:val="99"/>
              </w:rPr>
              <w:t>Term Loans Amortized Cost Basis by Origination Year</w:t>
            </w: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Prior</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Boat lending</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5,786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31,621</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24,968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15,681</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9,797</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129,903</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9,724</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6,467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51,696</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1,378</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11,592</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78,582</w:t>
            </w:r>
          </w:p>
        </w:tc>
        <w:tc>
          <w:tcPr>
            <w:tcW w:w="4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42,706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37,931</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28,812</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17,508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22,601</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228,140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30,110</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22,707</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11,973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130,762</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9,500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3,768</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1,657</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2,343</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56,139</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2,423</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14,157</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right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116,701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40,280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31,591</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22,029</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10,227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13,917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234,745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4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7,179</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9,093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3,175</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2,183</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37,179</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5,426</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1,899</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24,517</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1,332</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25,681</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7"/>
        </w:trPr>
        <w:tc>
          <w:tcPr>
            <w:tcW w:w="35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49,118</w:t>
            </w:r>
          </w:p>
        </w:tc>
        <w:tc>
          <w:tcPr>
            <w:tcW w:w="4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18,183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12,614</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7,039</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4,387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7,579</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98,920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installment</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800 and above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12,331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10,415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68,910</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750-799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56,768</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30,829</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17,261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20,496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297,844</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700-749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24,650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12,134</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5,672</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132,352</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650-699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5,817</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51,430</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600-649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6,634</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550-599</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500-549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500</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Unknown</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right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244,401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101,169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82,136</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57,880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32,122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44,097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561,805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507</w:t>
            </w:r>
          </w:p>
        </w:tc>
        <w:tc>
          <w:tcPr>
            <w:tcW w:w="4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Credit scores have been updated within the last twelve months.</w:t>
      </w:r>
    </w:p>
    <w:p>
      <w:pPr>
        <w:sectPr>
          <w:pgSz w:w="11900" w:h="16838" w:orient="portrait"/>
          <w:cols w:equalWidth="0" w:num="1">
            <w:col w:w="11240"/>
          </w:cols>
          <w:pgMar w:left="320" w:top="115"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Foreclosed residential real estate properties included in other real estate and repossessed assets on our Condensed Consolidated Statements of Financial Condition totaled $0.4 million and $0.2 million at March 31, 2022 and December 31, 2021, respectively. Retail mortgage loans secured by residential real estate properties for which formal foreclosure proceedings are in process according to local requirements totaled $0.7 million and $0.6 million at March 31, 2022 and December 31, 2021, respectively.</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we sold $33.4 million of portfolio residential fixed rate mortgage loans servicing retained to private investors and recognized a gain on sale of $0.41 million. This transaction was done primarily for asset/liability management purposes.</w:t>
      </w:r>
    </w:p>
    <w:p>
      <w:pPr>
        <w:spacing w:after="0" w:line="16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Shareholders’ Equity and Earnings Per Common Share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17, 2021, our Board of Directors authorized a share repurchase plan (the “Repurchase Plan”) to buy back up to 1,100,000 shares of our outstanding common stock through December 31, 2022.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three month periods ended March 31, 2022 and 2021 repurchases were made totaling 59,002 shares and 180,667 shares of common stock, respectively, for an aggregate purchase price of $1.4 million and $3.6 million,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basic and diluted net income per common share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auto"/>
                <w:w w:val="99"/>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6"/>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rPr>
              <w:t>(In thousands, except</w:t>
            </w:r>
          </w:p>
        </w:tc>
      </w:tr>
      <w:tr>
        <w:trPr>
          <w:trHeight w:val="234"/>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color w:val="auto"/>
              </w:rPr>
              <w:t>per share data)</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21,192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21,826</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units for deferred compensation plan for non-employee directors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stock options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share units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 for calculation of diluted earnings per share</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8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Basic net income per common share includes weighted average common shares outstanding during the period and participating share awards.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Weighted average stock options outstanding that were not considered in computing diluted net income per common share because they were anti-dilutive were zero for the three month periods ended March 31, 2022 and 2021.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ind w:left="340" w:hanging="287"/>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Financial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derivative financial instruments according to the type of hedge in which they are designated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March 31,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Notional</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w:t>
            </w:r>
          </w:p>
        </w:tc>
        <w:tc>
          <w:tcPr>
            <w:tcW w:w="0" w:type="dxa"/>
            <w:vAlign w:val="bottom"/>
          </w:tcPr>
          <w:p>
            <w:pPr>
              <w:spacing w:after="0"/>
              <w:rPr>
                <w:sz w:val="1"/>
                <w:szCs w:val="1"/>
                <w:color w:val="auto"/>
              </w:rPr>
            </w:pPr>
          </w:p>
        </w:tc>
      </w:tr>
      <w:tr>
        <w:trPr>
          <w:trHeight w:val="241"/>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7"/>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4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20" w:type="dxa"/>
            <w:vAlign w:val="bottom"/>
          </w:tcPr>
          <w:p>
            <w:pPr>
              <w:spacing w:after="0"/>
              <w:rPr>
                <w:sz w:val="19"/>
                <w:szCs w:val="19"/>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11,959</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155,561</w:t>
            </w:r>
          </w:p>
        </w:tc>
        <w:tc>
          <w:tcPr>
            <w:tcW w:w="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hedge designation</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140,135</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111,010</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Pay-fixed interest rate swap agreements - mortgage</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22,000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216,001</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216,001</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19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795,147</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December 31, 2021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Notional</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w:t>
            </w:r>
          </w:p>
        </w:tc>
        <w:tc>
          <w:tcPr>
            <w:tcW w:w="0" w:type="dxa"/>
            <w:vAlign w:val="bottom"/>
          </w:tcPr>
          <w:p>
            <w:pPr>
              <w:spacing w:after="0"/>
              <w:rPr>
                <w:sz w:val="1"/>
                <w:szCs w:val="1"/>
                <w:color w:val="auto"/>
              </w:rPr>
            </w:pPr>
          </w:p>
        </w:tc>
      </w:tr>
      <w:tr>
        <w:trPr>
          <w:trHeight w:val="241"/>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7"/>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4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20" w:type="dxa"/>
            <w:vAlign w:val="bottom"/>
          </w:tcPr>
          <w:p>
            <w:pPr>
              <w:spacing w:after="0"/>
              <w:rPr>
                <w:sz w:val="19"/>
                <w:szCs w:val="19"/>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56"/>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155,648</w:t>
            </w:r>
          </w:p>
        </w:tc>
        <w:tc>
          <w:tcPr>
            <w:tcW w:w="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hedge designation</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129,846</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97,737</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swaption agreement</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207,080</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207,080</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19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741,743</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980" w:type="dxa"/>
            <w:vAlign w:val="bottom"/>
            <w:vMerge w:val="restart"/>
          </w:tcPr>
          <w:p>
            <w:pPr>
              <w:jc w:val="right"/>
              <w:ind w:right="1533"/>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3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3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used variable-rate and short-term fixed-rate (less than 12 months) debt obligations to fund a portion of our Condensed Consolidated Statements of Financial Condition, which exposed us to variability in interest rates. To meet our asset/liability management objectives, we may periodically enter into derivative financial instruments to mitigate exposure to fluctuations in cash flows resulting from changes in interest rates (“Cash Flow Hedges”). </w:t>
      </w:r>
      <w:r>
        <w:rPr>
          <w:rFonts w:ascii="Times New Roman" w:cs="Times New Roman" w:eastAsia="Times New Roman" w:hAnsi="Times New Roman"/>
          <w:sz w:val="18"/>
          <w:szCs w:val="18"/>
          <w:color w:val="231F20"/>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Flow Hedges had included certain interest rate cap agreements u</w:t>
      </w:r>
      <w:r>
        <w:rPr>
          <w:rFonts w:ascii="Times New Roman" w:cs="Times New Roman" w:eastAsia="Times New Roman" w:hAnsi="Times New Roman"/>
          <w:sz w:val="18"/>
          <w:szCs w:val="18"/>
          <w:color w:val="000000"/>
        </w:rPr>
        <w:t>nder which, we will receive cash if interest rates rise above a predetermined level. As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result, we effectively have variable-rate debt with an established maximum rate. We paid an upfront premium on interest rate caps which was recognized in earnings in the same period in which the hedged item affected earnings. During 2020 we transferred all of our Cash Flow Hedge interest rate cap agreements to a no hedge designation. The unrealized losses on our Cash Flow Hedge interest rate cap agreements, which were included as a component of accumulated other comprehensive income at the time of the transfers, were being reclassified into earnings over the remaining life of the interest rate cap agreements. Also in 2020 it became probable that the forecasted transactions being hedged by these interest rate cap agreements would not occur by the end of the originally specified time period. As a result, all remaining unrealized losses included as a component of accumulated other comprehensive income were reclassified into earnings at that time. The no hedge designation interest rate cap agreements in the table above were classified as a no hedge designation during 2020 and any changes in fair value since the transfers to the no hedge designation are recorded in earnings.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a pay-fixed interest rate swap to protect a portion of the fair value of a certain fixed rate commercial loan (‘‘Fair Value Hedge – Commercial Loan’’). As a result, changes in the fair value of the pay-fixed interest rate swap is expected to offset changes in the fair value of the fixed rate commercial loan due to fluctuations in interest rates. We record the fair value of Fair Value Hedge – Commercial Loan in accrued income and other assets and accrued expenses and other liabilities on our Condensed Consolidated Statements of Financial Condition. The hedged item (fixed rate commercial loan) is also recorded at fair value which offsets the adjustment to the Fair Value Hedge – Commercial Loan. On an ongoing basis, we adjust our Condensed Consolidated Statements of Financial Condition to reflect the then current fair value of both the Fair Value Hedge – Commercial Loan and the hedged item. The related gains or losses are reported in interest income – interest and fees on loans in our Condensed Consolidated Statements of Operations.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pay-fixed interest rate swaps to protect a portion of the fair value of certain securities available for sale (‘‘Fair Value Hedge – AFS Securities’’). As a result, the change in the fair value of the pay-fixed interest rate swaps is expected to offset a portion of the change in the fair value of the fixed rate securities available for sale due to fluctuations in interest rates. We record the fair value of Fair Value Hedge – AFS Securities in accrued income and other assets and accrued expenses and other liabilities on our Condensed Consolidated Statements of Financial Condition. The hedged items (fixed rate securities available for sale) are also recorded at fair value which offsets the adjustment to the Fair Value Hedge – AFS Securities. On an ongoing basis, we adjust our Condensed Consolidated Statements of Financial Condition to reflect the then current fair value of both the Fair Value Hedge – AFS Securities and the hedged item. The related gains or losses are reported in interest income – interest on securities available for sale – tax-exempt in our Condensed Consolidated Statements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purchased swaption and pay-fixed interest rate swap agreements in an attempt to reduce the impact of price fluctuations of certain mortgage construction loans held for sale. The pay-fixed interest rate swap agreements are presented as “Interest rate swap agreements – mortgage” in the table above. The swaption agreement terminated during the first quarter of 2022. The changes in the fair value of the swaption and pay fixed interest rate swap agreements are recognized currently as part of net gains on mortgage loans in our Condensed Consolidated Statements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Fair Values of Derivative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Asset Derivatives</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Liability Derivatives</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4"/>
          </w:tcPr>
          <w:p>
            <w:pPr>
              <w:jc w:val="right"/>
              <w:spacing w:after="0" w:line="198" w:lineRule="exact"/>
              <w:rPr>
                <w:sz w:val="20"/>
                <w:szCs w:val="20"/>
                <w:color w:val="auto"/>
              </w:rPr>
            </w:pPr>
            <w:r>
              <w:rPr>
                <w:rFonts w:ascii="Times New Roman" w:cs="Times New Roman" w:eastAsia="Times New Roman" w:hAnsi="Times New Roman"/>
                <w:sz w:val="18"/>
                <w:szCs w:val="18"/>
                <w:color w:val="auto"/>
              </w:rPr>
              <w:t>March 31,</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5"/>
          </w:tcPr>
          <w:p>
            <w:pPr>
              <w:jc w:val="right"/>
              <w:ind w:right="45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17"/>
                <w:szCs w:val="17"/>
                <w:color w:val="auto"/>
              </w:rPr>
            </w:pPr>
          </w:p>
        </w:tc>
        <w:tc>
          <w:tcPr>
            <w:tcW w:w="2040" w:type="dxa"/>
            <w:vAlign w:val="bottom"/>
            <w:gridSpan w:val="5"/>
          </w:tcPr>
          <w:p>
            <w:pPr>
              <w:jc w:val="right"/>
              <w:ind w:right="590"/>
              <w:spacing w:after="0" w:line="198" w:lineRule="exact"/>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spacing w:after="0"/>
              <w:rPr>
                <w:sz w:val="17"/>
                <w:szCs w:val="17"/>
                <w:color w:val="auto"/>
              </w:rPr>
            </w:pPr>
          </w:p>
        </w:tc>
        <w:tc>
          <w:tcPr>
            <w:tcW w:w="2000" w:type="dxa"/>
            <w:vAlign w:val="bottom"/>
            <w:gridSpan w:val="5"/>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w w:val="99"/>
              </w:rPr>
              <w:t>2021</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9"/>
              </w:rPr>
              <w:t>2022</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Sheet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Fair</w:t>
            </w:r>
          </w:p>
        </w:tc>
        <w:tc>
          <w:tcPr>
            <w:tcW w:w="180" w:type="dxa"/>
            <w:vAlign w:val="bottom"/>
          </w:tcPr>
          <w:p>
            <w:pPr>
              <w:spacing w:after="0"/>
              <w:rPr>
                <w:sz w:val="18"/>
                <w:szCs w:val="18"/>
                <w:color w:val="auto"/>
              </w:rPr>
            </w:pPr>
          </w:p>
        </w:tc>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Sheet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Fair</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Sheet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Fair</w:t>
            </w:r>
          </w:p>
        </w:tc>
        <w:tc>
          <w:tcPr>
            <w:tcW w:w="180" w:type="dxa"/>
            <w:vAlign w:val="bottom"/>
          </w:tcPr>
          <w:p>
            <w:pPr>
              <w:spacing w:after="0"/>
              <w:rPr>
                <w:sz w:val="18"/>
                <w:szCs w:val="18"/>
                <w:color w:val="auto"/>
              </w:rPr>
            </w:pPr>
          </w:p>
        </w:tc>
        <w:tc>
          <w:tcPr>
            <w:tcW w:w="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Sheet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1"/>
        </w:trPr>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Location</w:t>
            </w:r>
          </w:p>
        </w:tc>
        <w:tc>
          <w:tcPr>
            <w:tcW w:w="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Value</w:t>
            </w:r>
          </w:p>
        </w:tc>
        <w:tc>
          <w:tcPr>
            <w:tcW w:w="180" w:type="dxa"/>
            <w:vAlign w:val="bottom"/>
          </w:tcPr>
          <w:p>
            <w:pPr>
              <w:spacing w:after="0"/>
              <w:rPr>
                <w:sz w:val="20"/>
                <w:szCs w:val="20"/>
                <w:color w:val="auto"/>
              </w:rPr>
            </w:pPr>
          </w:p>
        </w:tc>
        <w:tc>
          <w:tcPr>
            <w:tcW w:w="8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Location</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Location</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Derivatives designated as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hedging instruments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Pay-fixed interest rate swap</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agreements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Other assets</w:t>
            </w:r>
          </w:p>
        </w:tc>
        <w:tc>
          <w:tcPr>
            <w:tcW w:w="6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198"/>
        </w:trPr>
        <w:tc>
          <w:tcPr>
            <w:tcW w:w="220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hedging instruments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Rate-lock mortgage loan</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commitments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Mandatory commitments to</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 mortgage loans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Pay-fixed interest rate swap</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agreements - mortgage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Interest rate swaption</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Pay-fixed interest rate swap</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agreements - commercial</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5,344</w:t>
            </w:r>
          </w:p>
        </w:tc>
        <w:tc>
          <w:tcPr>
            <w:tcW w:w="0" w:type="dxa"/>
            <w:vAlign w:val="bottom"/>
          </w:tcPr>
          <w:p>
            <w:pPr>
              <w:spacing w:after="0"/>
              <w:rPr>
                <w:sz w:val="1"/>
                <w:szCs w:val="1"/>
                <w:color w:val="auto"/>
              </w:rPr>
            </w:pPr>
          </w:p>
        </w:tc>
      </w:tr>
      <w:tr>
        <w:trPr>
          <w:trHeight w:val="198"/>
        </w:trPr>
        <w:tc>
          <w:tcPr>
            <w:tcW w:w="22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Pay-variable interest rate</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swap agreements -</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Interest rate cap agreements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56"/>
        </w:trPr>
        <w:tc>
          <w:tcPr>
            <w:tcW w:w="2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derivatives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financial instruments on the Condensed Consolidated Statements of Operations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Gain (Loss)</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41"/>
        </w:trPr>
        <w:tc>
          <w:tcPr>
            <w:tcW w:w="5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in Income</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8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8"/>
              </w:rPr>
              <w:t>Location of</w:t>
            </w:r>
          </w:p>
        </w:tc>
        <w:tc>
          <w:tcPr>
            <w:tcW w:w="200" w:type="dxa"/>
            <w:vAlign w:val="bottom"/>
          </w:tcPr>
          <w:p>
            <w:pPr>
              <w:spacing w:after="0"/>
              <w:rPr>
                <w:sz w:val="17"/>
                <w:szCs w:val="17"/>
                <w:color w:val="auto"/>
              </w:rPr>
            </w:pPr>
          </w:p>
        </w:tc>
        <w:tc>
          <w:tcPr>
            <w:tcW w:w="1960" w:type="dxa"/>
            <w:vAlign w:val="bottom"/>
            <w:gridSpan w:val="4"/>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Three Month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Gain (Loss)</w:t>
            </w:r>
          </w:p>
        </w:tc>
        <w:tc>
          <w:tcPr>
            <w:tcW w:w="20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Periods Ended</w:t>
            </w:r>
          </w:p>
        </w:tc>
        <w:tc>
          <w:tcPr>
            <w:tcW w:w="0" w:type="dxa"/>
            <w:vAlign w:val="bottom"/>
          </w:tcPr>
          <w:p>
            <w:pPr>
              <w:spacing w:after="0"/>
              <w:rPr>
                <w:sz w:val="1"/>
                <w:szCs w:val="1"/>
                <w:color w:val="auto"/>
              </w:rPr>
            </w:pPr>
          </w:p>
        </w:tc>
      </w:tr>
      <w:tr>
        <w:trPr>
          <w:trHeight w:val="241"/>
        </w:trPr>
        <w:tc>
          <w:tcPr>
            <w:tcW w:w="5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Recognized</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March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Income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Fair Value Hedges</w:t>
            </w:r>
          </w:p>
        </w:tc>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2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ageement - commercial</w:t>
            </w:r>
          </w:p>
        </w:tc>
        <w:tc>
          <w:tcPr>
            <w:tcW w:w="3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ageement - securities available for sale</w:t>
            </w:r>
          </w:p>
        </w:tc>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on securities available for sale - tax- exempt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hedge designation</w:t>
            </w:r>
          </w:p>
        </w:tc>
        <w:tc>
          <w:tcPr>
            <w:tcW w:w="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(5,370)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3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mortgage</w:t>
            </w:r>
          </w:p>
        </w:tc>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20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swaption agreement</w:t>
            </w:r>
          </w:p>
        </w:tc>
        <w:tc>
          <w:tcPr>
            <w:tcW w:w="3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3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(9,577)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w:t>
            </w:r>
          </w:p>
        </w:tc>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3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392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Purchased options</w:t>
            </w:r>
          </w:p>
        </w:tc>
        <w:tc>
          <w:tcPr>
            <w:tcW w:w="3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392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Written options</w:t>
            </w:r>
          </w:p>
        </w:tc>
        <w:tc>
          <w:tcPr>
            <w:tcW w:w="3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(2,733)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060" w:type="dxa"/>
            <w:vAlign w:val="bottom"/>
          </w:tcPr>
          <w:p>
            <w:pPr>
              <w:spacing w:after="0"/>
              <w:rPr>
                <w:sz w:val="24"/>
                <w:szCs w:val="24"/>
                <w:color w:val="auto"/>
              </w:rPr>
            </w:pPr>
          </w:p>
        </w:tc>
        <w:tc>
          <w:tcPr>
            <w:tcW w:w="3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Goodwill and Other Intangibles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net of amortization: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March 31, 2022</w:t>
            </w: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Carrying</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Carrying</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Accumulated</w:t>
            </w:r>
          </w:p>
        </w:tc>
      </w:tr>
      <w:tr>
        <w:trPr>
          <w:trHeight w:val="241"/>
        </w:trPr>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100" w:type="dxa"/>
            <w:vAlign w:val="bottom"/>
          </w:tcPr>
          <w:p>
            <w:pPr>
              <w:spacing w:after="0"/>
              <w:rPr>
                <w:sz w:val="20"/>
                <w:szCs w:val="20"/>
                <w:color w:val="auto"/>
              </w:rPr>
            </w:pPr>
          </w:p>
        </w:tc>
      </w:tr>
      <w:tr>
        <w:trPr>
          <w:trHeight w:val="234"/>
        </w:trPr>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0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(In thousands)</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intangible assets - core 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11,916</w:t>
            </w:r>
          </w:p>
        </w:tc>
        <w:tc>
          <w:tcPr>
            <w:tcW w:w="5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11,916</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shd w:val="clear" w:color="auto" w:fill="CCEEFF"/>
          </w:tcPr>
          <w:p>
            <w:pPr>
              <w:spacing w:after="0"/>
              <w:rPr>
                <w:sz w:val="20"/>
                <w:szCs w:val="20"/>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Unamortized intangible assets - 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28,300</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28,300</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summary of estimated core deposits intangible amortization at March 31, 2022 follows:</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ending December 31, 2022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r>
      <w:tr>
        <w:trPr>
          <w:trHeight w:val="257"/>
        </w:trPr>
        <w:tc>
          <w:tcPr>
            <w:tcW w:w="59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u w:val="single" w:color="auto"/>
          <w:color w:val="auto"/>
        </w:rPr>
        <w:t>Share Based Compensation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0.6 million shares of common stock as of March 31, 2022. The non-employee director stock purchase plan permits the issuance of additional share based payments for up to 0.1 million shares of common stock as of March 31, 2022. Share based awards and payments are measured at fair value at the date of grant and are expensed over the requisite service period. Common shares issued upon exercise of stock options come from currently authorized but unissued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and performance stock units (“PSU”) granted pursuant to our long-term incentive plan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666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5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56,287</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75,584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PSU</w:t>
            </w:r>
          </w:p>
        </w:tc>
        <w:tc>
          <w:tcPr>
            <w:tcW w:w="5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19,748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23,981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320" w:type="dxa"/>
            <w:vAlign w:val="bottom"/>
            <w:vMerge w:val="restart"/>
          </w:tcPr>
          <w:p>
            <w:pPr>
              <w:jc w:val="right"/>
              <w:ind w:right="2908"/>
              <w:spacing w:after="0"/>
              <w:rPr>
                <w:sz w:val="20"/>
                <w:szCs w:val="20"/>
                <w:color w:val="auto"/>
              </w:rPr>
            </w:pPr>
            <w:r>
              <w:rPr>
                <w:rFonts w:ascii="Times New Roman" w:cs="Times New Roman" w:eastAsia="Times New Roman" w:hAnsi="Times New Roman"/>
                <w:sz w:val="14"/>
                <w:szCs w:val="14"/>
                <w:color w:val="auto"/>
              </w:rPr>
              <w:t>35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36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36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shares of restricted stock and PSUs shown in the above table cliff vest after a period of three years. The performance feature of the PSUs is split evenly between a comparison of (i) our total shareholder return and (ii) our return on average assets over the three year period starting on the grant date to these same factors over that period for an index of our banking peers.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During the three month periods ended March 31, 2022 and 2021 we issued 0.004 million and 0.005 million shares, respectively and expensed their value during those same periods.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compensation expense recognized for grants pursuant to our long-term incentive plan was $0.4 million and $0.3 million during the three month periods ended March 31, 2022 and 2021, respectively. The corresponding tax benefit relating to this expense was $0.1 million during both three month periods ended March 31, 2022 and 2021, respectively. Total expense recognized for non-employee director share based payments was $0.09 million during both three month periods ended March 31, 2022 and 2021, respectively. The corresponding tax benefit relating to this expense was $0.02 million during both three month periods ended March 31, 2022 and 2021,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2022, the total expected compensation cost related to non-vested restricted stock and PSUs not yet recognized was $3.7 million. The weighted-average period over which this amount will be recognized is 2.3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outstanding stock option grants and related transactions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Aggregated</w:t>
            </w:r>
          </w:p>
        </w:tc>
      </w:t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41"/>
        </w:trPr>
        <w:tc>
          <w:tcPr>
            <w:tcW w:w="4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Shares</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Term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80,839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29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5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65,739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r>
      <w:tr>
        <w:trPr>
          <w:trHeight w:val="20"/>
        </w:trPr>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2022</w:t>
            </w:r>
          </w:p>
        </w:tc>
        <w:tc>
          <w:tcPr>
            <w:tcW w:w="2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65,739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r>
      <w:tr>
        <w:trPr>
          <w:trHeight w:val="20"/>
        </w:trPr>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64"/>
        </w:trPr>
        <w:tc>
          <w:tcPr>
            <w:tcW w:w="4460" w:type="dxa"/>
            <w:vAlign w:val="bottom"/>
          </w:tcPr>
          <w:p>
            <w:pPr>
              <w:spacing w:after="0"/>
              <w:rPr>
                <w:sz w:val="24"/>
                <w:szCs w:val="24"/>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36</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4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outstanding non-vested restricted stock and PSUs and related transactions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Grant Date</w:t>
            </w:r>
          </w:p>
        </w:tc>
      </w:t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of Shares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76,035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26.57</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(51,771)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23.06</w:t>
            </w: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(7,760)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22.12</w:t>
            </w:r>
          </w:p>
        </w:tc>
      </w:tr>
      <w:tr>
        <w:trPr>
          <w:trHeight w:val="25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w:t>
            </w:r>
          </w:p>
        </w:tc>
      </w:tr>
      <w:tr>
        <w:trPr>
          <w:trHeight w:val="42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Certain information regarding options exercised during the periods follows: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Intrinsic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0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proceeds received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realized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u w:val="single" w:color="auto"/>
          <w:color w:val="auto"/>
        </w:rPr>
        <w:t>Income Tax</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expense was $4.1 million and $5.1 million during the three month periods ended March 31, 2022 and 2021,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month periods ending March 31, 2022 and 2021 each include reductions of $0.1 million of income tax expense related to the impact of the excess value of stock awards that vested and stock options that were exercised as compared to the initial fair values that were expensed.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March 31, 2022, March 31, 2021 and December 31, 2021 that the realization of substantially all of our deferred tax assets continues to be more likely than not.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both March 31, 2022 and December 31, 2021, we had approximately $0.2 million, respectively, of gross unrecognized tax benefits. We do not expect the total amount of unrecognized tax benefits to significantly increase or decrease during the remainder of 2022.</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March 31, 2022, the Bank had positive undivided profits of $110.6 million. It is not our intent to have dividends paid in amounts that would reduce the capital of our Bank to levels below those which we consider prudent or that would not be in accordance with guidelines of regulatory authorities.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March 31, 2022 and December 31, 2021, categorized our Bank as well capitalized. Management is not aware of any conditions or events that would have changed the most recent Federal Deposit Insurance Corporation (“FDIC”) categorization.</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Our actual capital amounts and ratios follow (1):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rPr>
              <w:t>Minimum for</w:t>
            </w:r>
          </w:p>
        </w:tc>
        <w:tc>
          <w:tcPr>
            <w:tcW w:w="160" w:type="dxa"/>
            <w:vAlign w:val="bottom"/>
          </w:tcPr>
          <w:p>
            <w:pPr>
              <w:spacing w:after="0"/>
              <w:rPr>
                <w:sz w:val="24"/>
                <w:szCs w:val="24"/>
                <w:color w:val="auto"/>
              </w:rPr>
            </w:pPr>
          </w:p>
        </w:tc>
        <w:tc>
          <w:tcPr>
            <w:tcW w:w="22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Minimum for</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rPr>
              <w:t>Adequately Capitalized</w:t>
            </w:r>
          </w:p>
        </w:tc>
        <w:tc>
          <w:tcPr>
            <w:tcW w:w="160" w:type="dxa"/>
            <w:vAlign w:val="bottom"/>
          </w:tcPr>
          <w:p>
            <w:pPr>
              <w:spacing w:after="0"/>
              <w:rPr>
                <w:sz w:val="18"/>
                <w:szCs w:val="18"/>
                <w:color w:val="auto"/>
              </w:rPr>
            </w:pPr>
          </w:p>
        </w:tc>
        <w:tc>
          <w:tcPr>
            <w:tcW w:w="22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Well-Capitalized</w:t>
            </w: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color w:val="auto"/>
              </w:rPr>
              <w:t>Actual</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Institutions</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8"/>
              </w:rPr>
              <w:t>Institutions</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8"/>
              </w:rPr>
              <w:t>Amount</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8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499,363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14.18%</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281,788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9"/>
              </w:rPr>
              <w:t>NA</w:t>
            </w:r>
          </w:p>
        </w:tc>
        <w:tc>
          <w:tcPr>
            <w:tcW w:w="8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447,698</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281,707</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352,133</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416,199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11.82%</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211,341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9"/>
              </w:rPr>
              <w:t>NA</w:t>
            </w:r>
          </w:p>
        </w:tc>
        <w:tc>
          <w:tcPr>
            <w:tcW w:w="8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404,534</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211,280</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281,707</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377,814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158,506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9"/>
              </w:rPr>
              <w:t>NA</w:t>
            </w:r>
          </w:p>
        </w:tc>
        <w:tc>
          <w:tcPr>
            <w:tcW w:w="8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404,534</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158,460</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228,887</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416,199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188,867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9"/>
              </w:rPr>
              <w:t>NA</w:t>
            </w:r>
          </w:p>
        </w:tc>
        <w:tc>
          <w:tcPr>
            <w:tcW w:w="8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404,534</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188,953</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236,191</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488,495</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268,991</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8"/>
                <w:szCs w:val="18"/>
                <w:color w:val="auto"/>
              </w:rPr>
            </w:pPr>
          </w:p>
        </w:tc>
        <w:tc>
          <w:tcPr>
            <w:tcW w:w="14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NA</w:t>
            </w: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438,352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268,808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336,011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406,645</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201,743</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8"/>
                <w:szCs w:val="18"/>
                <w:color w:val="auto"/>
              </w:rPr>
            </w:pPr>
          </w:p>
        </w:tc>
        <w:tc>
          <w:tcPr>
            <w:tcW w:w="14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NA</w:t>
            </w: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396,351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201,606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268,808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368,277</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151,307</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18"/>
                <w:szCs w:val="18"/>
                <w:color w:val="auto"/>
              </w:rPr>
            </w:pPr>
          </w:p>
        </w:tc>
        <w:tc>
          <w:tcPr>
            <w:tcW w:w="14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NA</w:t>
            </w: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396,351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151,205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218,407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406,645</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185,034</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4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NA</w:t>
            </w: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Independent Bank</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396,351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185,077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231,347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21431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94" w:lineRule="exact"/>
        <w:rPr>
          <w:sz w:val="20"/>
          <w:szCs w:val="20"/>
          <w:color w:val="auto"/>
        </w:rPr>
      </w:pPr>
    </w:p>
    <w:p>
      <w:pPr>
        <w:ind w:right="3060" w:firstLine="8"/>
        <w:spacing w:after="0" w:line="282"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ratios do not reflect a capital conservation buffer of 2.50% at March 31, 2022 and December 31, 2021. NA - 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our regulatory capital are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Consolidated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Independent Bank</w:t>
            </w:r>
          </w:p>
        </w:tc>
      </w:tr>
      <w:tr>
        <w:trPr>
          <w:trHeight w:val="198"/>
        </w:trPr>
        <w:tc>
          <w:tcPr>
            <w:tcW w:w="5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March 31,</w:t>
            </w:r>
          </w:p>
        </w:tc>
        <w:tc>
          <w:tcPr>
            <w:tcW w:w="112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00"/>
              <w:spacing w:after="0" w:line="198" w:lineRule="exact"/>
              <w:rPr>
                <w:sz w:val="20"/>
                <w:szCs w:val="20"/>
                <w:color w:val="auto"/>
              </w:rPr>
            </w:pPr>
            <w:r>
              <w:rPr>
                <w:rFonts w:ascii="Times New Roman" w:cs="Times New Roman" w:eastAsia="Times New Roman" w:hAnsi="Times New Roman"/>
                <w:sz w:val="18"/>
                <w:szCs w:val="18"/>
                <w:color w:val="auto"/>
              </w:rPr>
              <w:t>March 31,</w:t>
            </w:r>
          </w:p>
        </w:tc>
        <w:tc>
          <w:tcPr>
            <w:tcW w:w="112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398,484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382,169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426,558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for regulatory purposes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48,617</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(6,298)</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(31,404)</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(31,636)</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(31,404)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(31,636)</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CECL (1)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7,727</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377,814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368,277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404,534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396,351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Qualifying trust preferred securities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38,385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38,368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Tier 1 capital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416,199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406,645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404,534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396,351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Subordinated debt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40,000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Allowance for credit losses and allowance for unfunded lending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commitments limited to 1.25% of total risk-weighted assets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43,164</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41,850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43,164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42,001</w:t>
            </w:r>
          </w:p>
        </w:tc>
      </w:tr>
      <w:tr>
        <w:trPr>
          <w:trHeight w:val="257"/>
        </w:trPr>
        <w:tc>
          <w:tcPr>
            <w:tcW w:w="5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risk-based capital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499,363</w:t>
            </w:r>
          </w:p>
        </w:tc>
        <w:tc>
          <w:tcPr>
            <w:tcW w:w="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488,495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447,698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438,352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We elected the three year CECL transition method for regulatory purposes.</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Fair Value Disclosures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standard describes three levels of inputs that may be used to measure fair value: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76"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following methods and significant assumptions to estimate fair value: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Where quoted market prices are available in an active market, securities available for sale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The fair value of mortgage loans held for sale, carried at fair value is based on agency cash window loan pricing for comparable assets (recurring Level 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Collateral dependent loans with specific loss allocations based on collateral value</w:t>
      </w:r>
      <w:r>
        <w:rPr>
          <w:rFonts w:ascii="Times New Roman" w:cs="Times New Roman" w:eastAsia="Times New Roman" w:hAnsi="Times New Roman"/>
          <w:sz w:val="18"/>
          <w:szCs w:val="18"/>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Other real estate</w:t>
      </w:r>
      <w:r>
        <w:rPr>
          <w:rFonts w:ascii="Times New Roman" w:cs="Times New Roman" w:eastAsia="Times New Roman" w:hAnsi="Times New Roman"/>
          <w:sz w:val="18"/>
          <w:szCs w:val="18"/>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Capitalized mortgage loan servicing rights</w:t>
      </w:r>
      <w:r>
        <w:rPr>
          <w:rFonts w:ascii="Times New Roman" w:cs="Times New Roman" w:eastAsia="Times New Roman" w:hAnsi="Times New Roman"/>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Derivatives</w:t>
      </w:r>
      <w:r>
        <w:rPr>
          <w:rFonts w:ascii="Times New Roman" w:cs="Times New Roman" w:eastAsia="Times New Roman" w:hAnsi="Times New Roman"/>
          <w:sz w:val="18"/>
          <w:szCs w:val="18"/>
          <w:color w:val="auto"/>
        </w:rPr>
        <w:t>: 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interest rate cap and swaption agreements are derived from proprietary models which utilize current market data. The significant fair value inputs can generally be observed in the market place and do not typically involve judgment by management (recurring Level 2).</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including financial assets for which we have elected the fair value option,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8"/>
              </w:rPr>
              <w:t>Quoted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Markets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Significant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5"/>
              </w:rPr>
              <w:t>for</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Other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Fair Value</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Identical</w:t>
            </w:r>
          </w:p>
        </w:tc>
        <w:tc>
          <w:tcPr>
            <w:tcW w:w="48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Observable</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Measure-</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Inputs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ments</w:t>
            </w:r>
          </w:p>
        </w:tc>
        <w:tc>
          <w:tcPr>
            <w:tcW w:w="11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(Level 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4"/>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Measured at Fair Value on a Recurring Basis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agency</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43,588</w:t>
            </w:r>
          </w:p>
        </w:tc>
        <w:tc>
          <w:tcPr>
            <w:tcW w:w="11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277,003</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277,003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21,591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21,591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112,083</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112,083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 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279,156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279,156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520,078</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520,078</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144,251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144,251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Trust preferred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1,885</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1,885</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government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502</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 held for sale, carried at fair value</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29,514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29,514</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35,933</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35,933</w:t>
            </w: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Derivatives (1)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20,557</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20,557</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Derivatives (2)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9,045</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9,045</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Measured at Fair Value on a Non-recurring Basis: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Collateral dependent loans (3)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362</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 family - 2nd lien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Resort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Installment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Boat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5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11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28543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5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individually evaluated loans with specific loss allocations based on collateral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8"/>
              </w:rPr>
              <w:t>Quoted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Markets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Significant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5"/>
              </w:rPr>
              <w:t>for</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Other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Fair Value</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Identical</w:t>
            </w:r>
          </w:p>
        </w:tc>
        <w:tc>
          <w:tcPr>
            <w:tcW w:w="48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Observable</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Measure-</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Inputs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ments</w:t>
            </w:r>
          </w:p>
        </w:tc>
        <w:tc>
          <w:tcPr>
            <w:tcW w:w="11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(Level 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4"/>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Measured at Fair Value on a Recurring Basis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agency</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34,674</w:t>
            </w:r>
          </w:p>
        </w:tc>
        <w:tc>
          <w:tcPr>
            <w:tcW w:w="11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307,985</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307,985</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22,926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22,926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102,615</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102,615</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 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216,170</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216,170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576,076</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576,076</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149,959</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149,959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Trust preferred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1,919</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1,919</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government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 held for sale, carried at fair value</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55,470</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55,470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26,232</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26,232</w:t>
            </w: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Derivatives (1)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12,283</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Derivatives (2)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5,961</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5,961</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Measured at Fair Value on a Non-recurring Basis: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Collateral dependent loans (3)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 family - 2nd lien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Resort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Installment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Boat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4"/>
        </w:trPr>
        <w:tc>
          <w:tcPr>
            <w:tcW w:w="5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2854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59"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impaired loans with specific loss allocations based on collateral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values for financial assets which we have elected the fair value option for the periods presented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40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Changes in Fair Values for the Three-Month Periods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gridSpan w:val="5"/>
          </w:tcPr>
          <w:p>
            <w:pPr>
              <w:jc w:val="center"/>
              <w:ind w:right="110"/>
              <w:spacing w:after="0"/>
              <w:rPr>
                <w:sz w:val="20"/>
                <w:szCs w:val="20"/>
                <w:color w:val="auto"/>
              </w:rPr>
            </w:pPr>
            <w:r>
              <w:rPr>
                <w:rFonts w:ascii="Times New Roman" w:cs="Times New Roman" w:eastAsia="Times New Roman" w:hAnsi="Times New Roman"/>
                <w:sz w:val="18"/>
                <w:szCs w:val="18"/>
                <w:color w:val="auto"/>
                <w:w w:val="99"/>
              </w:rPr>
              <w:t>Ended March 31 for items Measured at Fair Value</w:t>
            </w:r>
          </w:p>
        </w:tc>
        <w:tc>
          <w:tcPr>
            <w:tcW w:w="0" w:type="dxa"/>
            <w:vAlign w:val="bottom"/>
          </w:tcPr>
          <w:p>
            <w:pPr>
              <w:spacing w:after="0"/>
              <w:rPr>
                <w:sz w:val="1"/>
                <w:szCs w:val="1"/>
                <w:color w:val="auto"/>
              </w:rPr>
            </w:pPr>
          </w:p>
        </w:tc>
      </w:tr>
      <w:tr>
        <w:trPr>
          <w:trHeight w:val="241"/>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8"/>
                <w:szCs w:val="18"/>
                <w:color w:val="auto"/>
                <w:w w:val="99"/>
              </w:rPr>
              <w:t>Pursuant to Election of the Fair Value Option</w:t>
            </w:r>
          </w:p>
        </w:tc>
        <w:tc>
          <w:tcPr>
            <w:tcW w:w="0" w:type="dxa"/>
            <w:vAlign w:val="bottom"/>
          </w:tcPr>
          <w:p>
            <w:pPr>
              <w:spacing w:after="0"/>
              <w:rPr>
                <w:sz w:val="1"/>
                <w:szCs w:val="1"/>
                <w:color w:val="auto"/>
              </w:rPr>
            </w:pPr>
          </w:p>
        </w:tc>
      </w:tr>
      <w:tr>
        <w:trPr>
          <w:trHeight w:val="198"/>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 Fair</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Net Gains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Values</w:t>
            </w: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rPr>
              <w:t>Included</w:t>
            </w:r>
          </w:p>
        </w:tc>
        <w:tc>
          <w:tcPr>
            <w:tcW w:w="0" w:type="dxa"/>
            <w:vAlign w:val="bottom"/>
          </w:tcPr>
          <w:p>
            <w:pPr>
              <w:spacing w:after="0"/>
              <w:rPr>
                <w:sz w:val="1"/>
                <w:szCs w:val="1"/>
                <w:color w:val="auto"/>
              </w:rPr>
            </w:pPr>
          </w:p>
        </w:tc>
      </w:tr>
      <w:tr>
        <w:trPr>
          <w:trHeight w:val="241"/>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on Assets</w:t>
            </w:r>
          </w:p>
        </w:tc>
        <w:tc>
          <w:tcPr>
            <w:tcW w:w="2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Mortgage</w:t>
            </w:r>
          </w:p>
        </w:tc>
        <w:tc>
          <w:tcPr>
            <w:tcW w:w="2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in Current</w:t>
            </w:r>
          </w:p>
        </w:tc>
        <w:tc>
          <w:tcPr>
            <w:tcW w:w="0" w:type="dxa"/>
            <w:vAlign w:val="bottom"/>
          </w:tcPr>
          <w:p>
            <w:pPr>
              <w:spacing w:after="0"/>
              <w:rPr>
                <w:sz w:val="1"/>
                <w:szCs w:val="1"/>
                <w:color w:val="auto"/>
              </w:rPr>
            </w:pPr>
          </w:p>
        </w:tc>
      </w:tr>
      <w:tr>
        <w:trPr>
          <w:trHeight w:val="198"/>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Mortgage</w:t>
            </w:r>
          </w:p>
        </w:tc>
        <w:tc>
          <w:tcPr>
            <w:tcW w:w="260" w:type="dxa"/>
            <w:vAlign w:val="bottom"/>
          </w:tcPr>
          <w:p>
            <w:pPr>
              <w:spacing w:after="0"/>
              <w:rPr>
                <w:sz w:val="17"/>
                <w:szCs w:val="17"/>
                <w:color w:val="auto"/>
              </w:rPr>
            </w:pPr>
          </w:p>
        </w:tc>
        <w:tc>
          <w:tcPr>
            <w:tcW w:w="1080" w:type="dxa"/>
            <w:vAlign w:val="bottom"/>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w w:val="97"/>
              </w:rPr>
              <w:t>Loan</w:t>
            </w:r>
          </w:p>
        </w:tc>
        <w:tc>
          <w:tcPr>
            <w:tcW w:w="240" w:type="dxa"/>
            <w:vAlign w:val="bottom"/>
          </w:tcPr>
          <w:p>
            <w:pPr>
              <w:spacing w:after="0"/>
              <w:rPr>
                <w:sz w:val="17"/>
                <w:szCs w:val="17"/>
                <w:color w:val="auto"/>
              </w:rPr>
            </w:pPr>
          </w:p>
        </w:tc>
        <w:tc>
          <w:tcPr>
            <w:tcW w:w="1080" w:type="dxa"/>
            <w:vAlign w:val="bottom"/>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41"/>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Loans</w:t>
            </w: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Servicing, net</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Earnings</w:t>
            </w:r>
          </w:p>
        </w:tc>
        <w:tc>
          <w:tcPr>
            <w:tcW w:w="0" w:type="dxa"/>
            <w:vAlign w:val="bottom"/>
          </w:tcPr>
          <w:p>
            <w:pPr>
              <w:spacing w:after="0"/>
              <w:rPr>
                <w:sz w:val="1"/>
                <w:szCs w:val="1"/>
                <w:color w:val="auto"/>
              </w:rPr>
            </w:pPr>
          </w:p>
        </w:tc>
      </w:tr>
      <w:tr>
        <w:trPr>
          <w:trHeight w:val="234"/>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7,558</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34"/>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3,257</w:t>
            </w: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represent impairment charges recognized during the three month periods ended March 31, 2022 and 2021 relating to assets measured at fair value on a non-recurring basis:</w:t>
      </w:r>
    </w:p>
    <w:p>
      <w:pPr>
        <w:spacing w:after="0" w:line="162" w:lineRule="exact"/>
        <w:rPr>
          <w:sz w:val="20"/>
          <w:szCs w:val="20"/>
          <w:color w:val="auto"/>
        </w:rPr>
      </w:pPr>
    </w:p>
    <w:p>
      <w:pPr>
        <w:jc w:val="both"/>
        <w:ind w:left="660" w:hanging="328"/>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that are individually evaluated using the fair value of collateral for collateral dependent loans had a carrying amount of $1.1 million, which is net of a valuation allowance of $0.5 million at March 31, 2022, and had a carrying amount of $1.4 million, which is net of a valuation allowance of $0.6 million at December 31, 2021. The provision for credit losses included in our results of operations relating to collateral dependent loans was a net expense of $0.1 million and $0.2 million for the three month periods ending March 31, 2022 and 2021, respectively.</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real estate, which is measured using the fair value of the property, had a carrying amount of zero which is net of a valuation allowance of $0.03 million at March 31, 2022, and a carrying amount of zero which is net of a valuation allowance of $0.03 million, at December 31, 2021. Charges included in our results of operations relating to other real estate measured at fair value were zero during both three month periods ended March 31, 2022 and 2021.</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for all assets measured at fair value on a recurring basis using significant unobservable inputs (Level 3)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Capitalized Mortgage Loan</w:t>
            </w:r>
          </w:p>
        </w:tc>
      </w:t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Servicing Rights</w:t>
            </w:r>
          </w:p>
        </w:tc>
      </w:tr>
      <w:tr>
        <w:trPr>
          <w:trHeight w:val="198"/>
        </w:trPr>
        <w:tc>
          <w:tcPr>
            <w:tcW w:w="8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00" w:type="dxa"/>
            <w:vAlign w:val="bottom"/>
          </w:tcPr>
          <w:p>
            <w:pPr>
              <w:spacing w:after="0"/>
              <w:rPr>
                <w:sz w:val="17"/>
                <w:szCs w:val="17"/>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26,232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16,904</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losses realized and unrealized: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Included in results of operations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Included in other comprehensive loss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issuances, settlements, maturities and calls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3,369</w:t>
            </w: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Transfers in and/or out of Level 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 of total losses for the period included in earnings attributable to the change in unrealized gains (losses)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5"/>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relating to assets and liabilities still held at March 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Asset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Fair</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w:t>
            </w:r>
          </w:p>
        </w:tc>
        <w:tc>
          <w:tcPr>
            <w:tcW w:w="22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Unobservable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Weighted</w:t>
            </w:r>
          </w:p>
        </w:tc>
      </w:tr>
      <w:tr>
        <w:trPr>
          <w:trHeight w:val="241"/>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Value</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Technique</w:t>
            </w:r>
          </w:p>
        </w:tc>
        <w:tc>
          <w:tcPr>
            <w:tcW w:w="2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Range</w:t>
            </w:r>
          </w:p>
        </w:tc>
        <w:tc>
          <w:tcPr>
            <w:tcW w:w="14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Average</w:t>
            </w:r>
          </w:p>
        </w:tc>
      </w:tr>
      <w:tr>
        <w:trPr>
          <w:trHeight w:val="198"/>
        </w:trPr>
        <w:tc>
          <w:tcPr>
            <w:tcW w:w="46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4840" w:type="dxa"/>
            <w:vAlign w:val="bottom"/>
            <w:gridSpan w:val="2"/>
            <w:shd w:val="clear" w:color="auto" w:fill="CCEEFF"/>
          </w:tcPr>
          <w:p>
            <w:pPr>
              <w:jc w:val="right"/>
              <w:ind w:right="1550"/>
              <w:spacing w:after="0" w:line="198" w:lineRule="exact"/>
              <w:rPr>
                <w:sz w:val="20"/>
                <w:szCs w:val="20"/>
                <w:color w:val="auto"/>
              </w:rPr>
            </w:pPr>
            <w:r>
              <w:rPr>
                <w:rFonts w:ascii="Times New Roman" w:cs="Times New Roman" w:eastAsia="Times New Roman" w:hAnsi="Times New Roman"/>
                <w:sz w:val="18"/>
                <w:szCs w:val="18"/>
                <w:color w:val="auto"/>
              </w:rPr>
              <w:t>Capitalized mortgage loan servicing rights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Present value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net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 to</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4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35,933</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13.71%</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Cost to service</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 to $243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r>
      <w:tr>
        <w:trPr>
          <w:trHeight w:val="198"/>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Ancillary</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 to 30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Float rate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r>
      <w:tr>
        <w:trPr>
          <w:trHeight w:val="198"/>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Prepayment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7.02% to</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39.80%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4840" w:type="dxa"/>
            <w:vAlign w:val="bottom"/>
            <w:gridSpan w:val="2"/>
            <w:shd w:val="clear" w:color="auto" w:fill="CCEEFF"/>
          </w:tcPr>
          <w:p>
            <w:pPr>
              <w:jc w:val="right"/>
              <w:ind w:right="1550"/>
              <w:spacing w:after="0" w:line="198" w:lineRule="exact"/>
              <w:rPr>
                <w:sz w:val="20"/>
                <w:szCs w:val="20"/>
                <w:color w:val="auto"/>
              </w:rPr>
            </w:pPr>
            <w:r>
              <w:rPr>
                <w:rFonts w:ascii="Times New Roman" w:cs="Times New Roman" w:eastAsia="Times New Roman" w:hAnsi="Times New Roman"/>
                <w:sz w:val="18"/>
                <w:szCs w:val="18"/>
                <w:color w:val="auto"/>
              </w:rPr>
              <w:t>Capitalized mortgage loan servicing rights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Present value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net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 to</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4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26,232</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Cost to service</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 to $281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r>
      <w:tr>
        <w:trPr>
          <w:trHeight w:val="198"/>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Ancillary</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 to 30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Float rate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r>
      <w:tr>
        <w:trPr>
          <w:trHeight w:val="198"/>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Prepayment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7.02% to</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44.21%</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13.92%</w:t>
            </w:r>
          </w:p>
        </w:tc>
      </w:tr>
      <w:tr>
        <w:trPr>
          <w:trHeight w:val="570"/>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4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measured on a non-recurring basis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Asset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Fair</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w:t>
            </w:r>
          </w:p>
        </w:tc>
        <w:tc>
          <w:tcPr>
            <w:tcW w:w="22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Unobservable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Weighted</w:t>
            </w:r>
          </w:p>
        </w:tc>
      </w:tr>
      <w:tr>
        <w:trPr>
          <w:trHeight w:val="241"/>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Value</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Technique</w:t>
            </w:r>
          </w:p>
        </w:tc>
        <w:tc>
          <w:tcPr>
            <w:tcW w:w="2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Range</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Average</w:t>
            </w:r>
          </w:p>
        </w:tc>
      </w:tr>
      <w:tr>
        <w:trPr>
          <w:trHeight w:val="198"/>
        </w:trPr>
        <w:tc>
          <w:tcPr>
            <w:tcW w:w="46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484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8"/>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 to</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4840" w:type="dxa"/>
            <w:vAlign w:val="bottom"/>
            <w:gridSpan w:val="2"/>
            <w:shd w:val="clear" w:color="auto" w:fill="CCEEFF"/>
          </w:tcPr>
          <w:p>
            <w:pPr>
              <w:ind w:left="4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98"/>
        </w:trPr>
        <w:tc>
          <w:tcPr>
            <w:tcW w:w="48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Mortgage and Installment(1)</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Adjustment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differences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between</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comparison</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comparable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 to 29.3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84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8"/>
        </w:trPr>
        <w:tc>
          <w:tcPr>
            <w:tcW w:w="48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Adjustment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differences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between</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comparison</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comparable</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840" w:type="dxa"/>
            <w:vAlign w:val="bottom"/>
            <w:gridSpan w:val="2"/>
          </w:tcPr>
          <w:p>
            <w:pPr>
              <w:ind w:left="4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198"/>
        </w:trPr>
        <w:tc>
          <w:tcPr>
            <w:tcW w:w="484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Mortgage and Installment(1)</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8"/>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4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1,017</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 to 29.3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valuation techniques and unobservable inputs discussed above, at March 31, 2022 and December 31, 2021 certain collateral dependent installment loans totaling approximately $0.16 million and $0.17 million, respectively are secured by collateral other than real estate. For the majority of these loans, we apply internal discount rates to industry valuation guides.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Aggregate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Contractual</w:t>
            </w: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Difference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Principal</w:t>
            </w:r>
          </w:p>
        </w:tc>
        <w:tc>
          <w:tcPr>
            <w:tcW w:w="0" w:type="dxa"/>
            <w:vAlign w:val="bottom"/>
          </w:tcPr>
          <w:p>
            <w:pPr>
              <w:spacing w:after="0"/>
              <w:rPr>
                <w:sz w:val="1"/>
                <w:szCs w:val="1"/>
                <w:color w:val="auto"/>
              </w:rPr>
            </w:pPr>
          </w:p>
        </w:tc>
      </w:tr>
      <w:tr>
        <w:trPr>
          <w:trHeight w:val="234"/>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3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(In thousands)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60" w:type="dxa"/>
            <w:vAlign w:val="bottom"/>
            <w:vMerge w:val="continue"/>
          </w:tcPr>
          <w:p>
            <w:pPr>
              <w:spacing w:after="0"/>
              <w:rPr>
                <w:sz w:val="17"/>
                <w:szCs w:val="17"/>
                <w:color w:val="auto"/>
              </w:rPr>
            </w:pP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March 31, 2022</w:t>
            </w:r>
          </w:p>
        </w:tc>
        <w:tc>
          <w:tcPr>
            <w:tcW w:w="3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29,514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30,279</w:t>
            </w:r>
          </w:p>
        </w:tc>
        <w:tc>
          <w:tcPr>
            <w:tcW w:w="0" w:type="dxa"/>
            <w:vAlign w:val="bottom"/>
          </w:tcPr>
          <w:p>
            <w:pPr>
              <w:spacing w:after="0"/>
              <w:rPr>
                <w:sz w:val="1"/>
                <w:szCs w:val="1"/>
                <w:color w:val="auto"/>
              </w:rPr>
            </w:pPr>
          </w:p>
        </w:tc>
      </w:tr>
      <w:tr>
        <w:trPr>
          <w:trHeight w:val="234"/>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55,470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54,419</w:t>
            </w:r>
          </w:p>
        </w:tc>
        <w:tc>
          <w:tcPr>
            <w:tcW w:w="0" w:type="dxa"/>
            <w:vAlign w:val="bottom"/>
          </w:tcPr>
          <w:p>
            <w:pPr>
              <w:spacing w:after="0"/>
              <w:rPr>
                <w:sz w:val="1"/>
                <w:szCs w:val="1"/>
                <w:color w:val="auto"/>
              </w:rPr>
            </w:pPr>
          </w:p>
        </w:tc>
      </w:tr>
      <w:tr>
        <w:trPr>
          <w:trHeight w:val="552"/>
        </w:trPr>
        <w:tc>
          <w:tcPr>
            <w:tcW w:w="3560" w:type="dxa"/>
            <w:vAlign w:val="bottom"/>
          </w:tcPr>
          <w:p>
            <w:pPr>
              <w:spacing w:after="0"/>
              <w:rPr>
                <w:sz w:val="24"/>
                <w:szCs w:val="24"/>
                <w:color w:val="auto"/>
              </w:rPr>
            </w:pPr>
          </w:p>
        </w:tc>
        <w:tc>
          <w:tcPr>
            <w:tcW w:w="3340" w:type="dxa"/>
            <w:vAlign w:val="bottom"/>
          </w:tcPr>
          <w:p>
            <w:pPr>
              <w:jc w:val="right"/>
              <w:ind w:right="1119"/>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56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Values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recorded book balances and fair values follow:</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8"/>
              </w:rPr>
              <w:t>Fair Value Using</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Quoted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 Active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Markets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Recorded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Identical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Observable</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Book</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Inputs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Balance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46,600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46,600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63,221</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1,400,137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1,400,137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1,400,137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Home Loan Bank and Federal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Reserve Bank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loans and loans held for sale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2,987,952</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2,858,273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2,828,759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12,815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6,677</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20,557</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Deposits with no stated maturity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3,867,260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3,867,260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3,867,260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Deposits with stated maturity (1)</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338,238</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351,269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351,269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39,376</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44,292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44,292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Subordinated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39,609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35,651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1,133</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51,069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51,069</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51,069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58,404</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1,412,830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1,412,830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1,412,830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Home Loan Bank and Federal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Reserve Bank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loans and loans held for sale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2,948,074</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2,931,079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2,840,376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12,865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6,836</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12,283</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Deposits with no stated maturity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3,781,298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3,781,298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3,781,298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Deposits with stated maturity (1)</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335,792</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336,006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39,357</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44,999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Subordinated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39,592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5,961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with no stated maturity include reciprocal deposits with a recorded book balance of $576.421 million and $562.210 million at March 31, 2022 and December 31, 2021, respectively. Deposits with a stated maturity include reciprocal deposits with a recorded book balance of $28.911 million and $24.416 million at March 31, 2022 and December 31, 2021, respectively.</w:t>
      </w:r>
    </w:p>
    <w:p>
      <w:pPr>
        <w:sectPr>
          <w:pgSz w:w="11900" w:h="16838" w:orient="portrait"/>
          <w:cols w:equalWidth="0" w:num="1">
            <w:col w:w="11240"/>
          </w:cols>
          <w:pgMar w:left="320" w:top="116"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for commitments to extend credit and standby letters of credit are estimated to approximate their aggregate book balance, which is nominal and therefore are not disclosed.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62"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Pandemic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and the related government mandates, restrictions, and guidance have created and may continue to create and contribute to significant economic uncertainty and market disruptions. Throughout 2020 and 2021, the volatility created by the pandemic and responses to the pandemic impacted our performance, customers, and the markets we serve. These effects continued to decline into the first quarter of 2022, but there remains a great deal of uncertainty with respect to whether and the degree to which they will have an impact on future conditions and performance.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uncertainty, it is difficult to predict the extent to which the pandemic may continue to adversely impact our business, results of operations, financial condition, and customers. The potential impacts may include, but are not limited to:</w:t>
      </w:r>
    </w:p>
    <w:p>
      <w:pPr>
        <w:spacing w:after="0" w:line="162" w:lineRule="exact"/>
        <w:rPr>
          <w:sz w:val="20"/>
          <w:szCs w:val="20"/>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encountered by our business customers in addressing the effects of the pandemic may cause increases in loan delinquencies, foreclosures and defaults;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allowance for credit losses may be necessary;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collateral values may occur;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disruptions may occur, including outages at network providers, on-line banking vendors and other suppliers;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increased cyber and payment fraud risk, as cybercriminals attempt to profit from the disruption, given increased online and remote activity;</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operational failures due to changes in our normal business practices necessitated by the pandemic and related governmental actions; and/or</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efficiency may suffer due to employee illnesses and/or employees having to work remotely.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ongoing uncertainty with respect to the pandemic and potential government responses, these risk factors may continue to some degree for a significant period of time.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extent to which the COVID-19 pandemic may impact our business, results of operations, asset valuations, financial condition, and customers will depend on future developments, which continue to be highly uncertain and difficult to predict. Those developments and factors are expected to largely depend on how quickly and to what extent normal economic and operating conditions stabilize. Potential developments also include market factors, such as interest rates, supply chain disruptions, inflation, consumer-welfare, and employment rates. Material adverse impacts may include all or a combination of valuation impairments on our intangible assets, securities available for sale, loans, capitalized mortgage loan servicing rights or deferred tax assets.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consumer-driven industries (including restaurants, hotels, retail, fitness, and other industries) have experienced increased stress and have been more adversely impacted by the COVID-19 pandemic and related consumer trends, labor shortages and supply chain disruptions. We believe that the following concentrations within our commercial loan portfolio represent greater potential risk in the current economic environment. The balances below are as of March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1"/>
        </w:trPr>
        <w:tc>
          <w:tcPr>
            <w:tcW w:w="8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Loans</w:t>
            </w:r>
          </w:p>
        </w:tc>
        <w:tc>
          <w:tcPr>
            <w:tcW w:w="0" w:type="dxa"/>
            <w:vAlign w:val="bottom"/>
          </w:tcPr>
          <w:p>
            <w:pPr>
              <w:spacing w:after="0"/>
              <w:rPr>
                <w:sz w:val="1"/>
                <w:szCs w:val="1"/>
                <w:color w:val="auto"/>
              </w:rPr>
            </w:pPr>
          </w:p>
        </w:tc>
      </w:tr>
      <w:tr>
        <w:trPr>
          <w:trHeight w:val="234"/>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and industrial portfolio segment:</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1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2"/>
              </w:rPr>
              <w:t>millions)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 portfolio segment: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2022, we had no commercial loans in forbearance. However, we continue to closely monitor these industry concentrations and at present do not foresee any significant losses relative to this portion of our loan portfolio given the current economic conditions in Michigan and the fact that many businesses continue to report increased spending. However, a high degree of uncertainty still exists with respect to the impact of the COVID-19 pandemic and the related economic disruptions on the future performance of our loan portfolio, including these concentrations.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Visa Stock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1.6181 Class A shares for every 1 Class B share and the closing price of VISA Class A shares on April 19, 2022 of $215.70 per share, our 12,566 Class B shares would have a current “value” of approximately $4.4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ind w:right="6360" w:firstLine="8"/>
        <w:spacing w:after="0" w:line="500"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Accumulated Other Comprehensive Income (Loss) (“AOCIL”) </w:t>
      </w:r>
      <w:r>
        <w:rPr>
          <w:rFonts w:ascii="Times New Roman" w:cs="Times New Roman" w:eastAsia="Times New Roman" w:hAnsi="Times New Roman"/>
          <w:sz w:val="18"/>
          <w:szCs w:val="18"/>
          <w:color w:val="auto"/>
        </w:rPr>
        <w:t>A summary of changes in AOCIL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Dispropor-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tionate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Gains (losses)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Tax Effects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on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from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Securities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Available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Available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for Sale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 Sale</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7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 the three months ended March 31, 2022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(54,970)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(54,970)</w:t>
            </w:r>
          </w:p>
        </w:tc>
      </w:tr>
      <w:tr>
        <w:trPr>
          <w:trHeight w:val="216"/>
        </w:trPr>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(54,915)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(54,915)</w:t>
            </w:r>
          </w:p>
        </w:tc>
      </w:tr>
      <w:tr>
        <w:trPr>
          <w:trHeight w:val="257"/>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(48,616)</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10,024</w:t>
            </w:r>
          </w:p>
        </w:tc>
      </w:tr>
      <w:tr>
        <w:trPr>
          <w:trHeight w:val="216"/>
        </w:trPr>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(6,805)</w:t>
            </w:r>
          </w:p>
        </w:tc>
      </w:tr>
      <w:tr>
        <w:trPr>
          <w:trHeight w:val="223"/>
        </w:trPr>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r>
      <w:tr>
        <w:trPr>
          <w:trHeight w:val="223"/>
        </w:trPr>
        <w:tc>
          <w:tcPr>
            <w:tcW w:w="73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4,338</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available for sale.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each component of AOCIL for the three months ended March 31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Reclassified</w:t>
            </w: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From</w:t>
            </w:r>
          </w:p>
        </w:tc>
        <w:tc>
          <w:tcPr>
            <w:tcW w:w="1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Affected Line Item in Condensed</w:t>
            </w:r>
          </w:p>
        </w:tc>
        <w:tc>
          <w:tcPr>
            <w:tcW w:w="0" w:type="dxa"/>
            <w:vAlign w:val="bottom"/>
          </w:tcPr>
          <w:p>
            <w:pPr>
              <w:spacing w:after="0"/>
              <w:rPr>
                <w:sz w:val="1"/>
                <w:szCs w:val="1"/>
                <w:color w:val="auto"/>
              </w:rPr>
            </w:pPr>
          </w:p>
        </w:tc>
      </w:tr>
      <w:tr>
        <w:trPr>
          <w:trHeight w:val="24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AOCIL Component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AOCIL</w:t>
            </w:r>
          </w:p>
        </w:tc>
        <w:tc>
          <w:tcPr>
            <w:tcW w:w="1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0" w:type="dxa"/>
            <w:vAlign w:val="bottom"/>
          </w:tcPr>
          <w:p>
            <w:pPr>
              <w:spacing w:after="0"/>
              <w:rPr>
                <w:sz w:val="1"/>
                <w:szCs w:val="1"/>
                <w:color w:val="auto"/>
              </w:rPr>
            </w:pPr>
          </w:p>
        </w:tc>
      </w:tr>
      <w:tr>
        <w:trPr>
          <w:trHeight w:val="234"/>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020" w:hanging="936"/>
        <w:spacing w:after="0"/>
        <w:tabs>
          <w:tab w:leader="none" w:pos="6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Net gains on securities available for sale</w:t>
      </w:r>
    </w:p>
    <w:p>
      <w:pPr>
        <w:spacing w:after="0" w:line="9" w:lineRule="exact"/>
        <w:rPr>
          <w:rFonts w:ascii="Times New Roman" w:cs="Times New Roman" w:eastAsia="Times New Roman" w:hAnsi="Times New Roman"/>
          <w:sz w:val="18"/>
          <w:szCs w:val="18"/>
          <w:color w:val="auto"/>
        </w:rPr>
      </w:pPr>
    </w:p>
    <w:p>
      <w:pPr>
        <w:ind w:left="6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7715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ind w:left="6020" w:hanging="936"/>
        <w:spacing w:after="0"/>
        <w:tabs>
          <w:tab w:leader="none" w:pos="6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780" w:hanging="696"/>
        <w:spacing w:after="0"/>
        <w:tabs>
          <w:tab w:leader="none" w:pos="5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1,416  Net gains on securities available for sale</w:t>
      </w:r>
    </w:p>
    <w:p>
      <w:pPr>
        <w:spacing w:after="0" w:line="9" w:lineRule="exact"/>
        <w:rPr>
          <w:rFonts w:ascii="Times New Roman" w:cs="Times New Roman" w:eastAsia="Times New Roman" w:hAnsi="Times New Roman"/>
          <w:sz w:val="18"/>
          <w:szCs w:val="18"/>
          <w:color w:val="auto"/>
        </w:rPr>
      </w:pPr>
    </w:p>
    <w:p>
      <w:pPr>
        <w:ind w:left="5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7715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ind w:left="5800" w:hanging="716"/>
        <w:spacing w:after="0"/>
        <w:tabs>
          <w:tab w:leader="none" w:pos="5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1,119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from Contracts with Customers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on securities available for sale, mortgage loan servicing, net and bank owned life insurance and were approximately 84.6% and 88.4% of total revenues for the three month periods ending March 31, 2022 and 2021,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March 31, 2022 and December 31, 2021.</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u w:val="single" w:color="auto"/>
          <w:color w:val="auto"/>
        </w:rPr>
        <w:t>Service charges on deposit accounts and other deposit related income</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Interchange income:</w:t>
      </w:r>
      <w:r>
        <w:rPr>
          <w:rFonts w:ascii="Times New Roman" w:cs="Times New Roman" w:eastAsia="Times New Roman" w:hAnsi="Times New Roman"/>
          <w:sz w:val="18"/>
          <w:szCs w:val="18"/>
          <w:color w:val="auto"/>
        </w:rPr>
        <w:t xml:space="preserve"> Interchange income primarily includes debit card interchange and network revenues. Debit card interchange and network revenues are earned on debit card transactions conducted through payment networks such as MasterCard, NYCE (during 2021)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Investment and insurance commissions:</w:t>
      </w:r>
      <w:r>
        <w:rPr>
          <w:rFonts w:ascii="Times New Roman" w:cs="Times New Roman" w:eastAsia="Times New Roman" w:hAnsi="Times New Roman"/>
          <w:sz w:val="18"/>
          <w:szCs w:val="18"/>
          <w:color w:val="auto"/>
        </w:rPr>
        <w:t xml:space="preserve"> Investment and insurance commissions include fees and commissions from asset management, custody, recordkeeping, investment advisory and other services provided to our customers. Revenue is recognized on an accrual basis at the time the services are performed and is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Net (gains) losses on other real estate and repossessed assets:</w:t>
      </w:r>
      <w:r>
        <w:rPr>
          <w:rFonts w:ascii="Times New Roman" w:cs="Times New Roman" w:eastAsia="Times New Roman" w:hAnsi="Times New Roman"/>
          <w:sz w:val="18"/>
          <w:szCs w:val="18"/>
          <w:color w:val="auto"/>
        </w:rPr>
        <w:t xml:space="preserve">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three month periods ending March 31, 2022 and 2021 that were financed by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our revenue sources by attribute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ending March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Service</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Income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gridSpan w:val="5"/>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4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4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56"/>
        </w:trPr>
        <w:tc>
          <w:tcPr>
            <w:tcW w:w="28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Excluded from the scope of ASC Topic 606.</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80" w:type="dxa"/>
            <w:vAlign w:val="bottom"/>
            <w:tcBorders>
              <w:bottom w:val="single" w:sz="8" w:color="auto"/>
            </w:tcBorders>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ending March 31, 2021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Service</w:t>
            </w:r>
          </w:p>
        </w:tc>
        <w:tc>
          <w:tcPr>
            <w:tcW w:w="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Charges</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Deposit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on Deposit</w:t>
            </w:r>
          </w:p>
        </w:tc>
        <w:tc>
          <w:tcPr>
            <w:tcW w:w="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Accounts</w:t>
            </w:r>
          </w:p>
        </w:tc>
        <w:tc>
          <w:tcPr>
            <w:tcW w:w="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Income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1,212</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gridSpan w:val="4"/>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Condensed Consolidated Statement of Operations: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Excluded from the scope of ASC Topic 606.</w:t>
      </w:r>
    </w:p>
    <w:p>
      <w:pPr>
        <w:spacing w:after="0" w:line="221"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Leases are classified as operating or finance leases at the lease commencement date (we did not have any finance leases as of March 31, 2022).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cost components of our operating leases follows: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21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March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w w:val="76"/>
              </w:rPr>
              <w:t>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
        </w:trPr>
        <w:tc>
          <w:tcPr>
            <w:tcW w:w="8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costs consist primarily of taxes, insurance, and common area or other maintenance costs for our leased facilities.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393"/>
              <w:spacing w:after="0"/>
              <w:rPr>
                <w:sz w:val="20"/>
                <w:szCs w:val="20"/>
                <w:color w:val="auto"/>
              </w:rPr>
            </w:pPr>
            <w:r>
              <w:rPr>
                <w:rFonts w:ascii="Times New Roman" w:cs="Times New Roman" w:eastAsia="Times New Roman" w:hAnsi="Times New Roman"/>
                <w:sz w:val="18"/>
                <w:szCs w:val="18"/>
                <w:color w:val="auto"/>
              </w:rPr>
              <w:t>March 31,</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8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78"/>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60" w:type="dxa"/>
            <w:vAlign w:val="bottom"/>
          </w:tcPr>
          <w:p>
            <w:pPr>
              <w:spacing w:after="0"/>
              <w:rPr>
                <w:sz w:val="18"/>
                <w:szCs w:val="18"/>
                <w:color w:val="auto"/>
              </w:rPr>
            </w:pPr>
          </w:p>
        </w:tc>
      </w:tr>
      <w:tr>
        <w:trPr>
          <w:trHeight w:val="257"/>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right of use asset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6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our Condensed Consolidated Statements of Financial Condition.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 in our Condensed Consolidated Statements of Financial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analysis of our lease liabilities at March 31, 2022 based on required contractual payments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w:t>
            </w:r>
          </w:p>
        </w:tc>
      </w:tr>
      <w:tr>
        <w:trPr>
          <w:trHeight w:val="238"/>
        </w:trPr>
        <w:tc>
          <w:tcPr>
            <w:tcW w:w="42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6"/>
        </w:trPr>
        <w:tc>
          <w:tcPr>
            <w:tcW w:w="42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ending December 31, 2022</w:t>
            </w:r>
          </w:p>
        </w:tc>
        <w:tc>
          <w:tcPr>
            <w:tcW w:w="5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5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lease payments</w:t>
            </w:r>
          </w:p>
        </w:tc>
        <w:tc>
          <w:tcPr>
            <w:tcW w:w="5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shd w:val="clear" w:color="auto" w:fill="CCEEFF"/>
          </w:tcPr>
          <w:p>
            <w:pPr>
              <w:spacing w:after="0"/>
              <w:rPr>
                <w:sz w:val="18"/>
                <w:szCs w:val="18"/>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r>
      <w:tr>
        <w:trPr>
          <w:trHeight w:val="256"/>
        </w:trPr>
        <w:tc>
          <w:tcPr>
            <w:tcW w:w="4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5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240" w:type="dxa"/>
            <w:vAlign w:val="bottom"/>
          </w:tcPr>
          <w:p>
            <w:pPr>
              <w:spacing w:after="0"/>
              <w:rPr>
                <w:sz w:val="24"/>
                <w:szCs w:val="24"/>
                <w:color w:val="auto"/>
              </w:rPr>
            </w:pPr>
          </w:p>
        </w:tc>
        <w:tc>
          <w:tcPr>
            <w:tcW w:w="5780" w:type="dxa"/>
            <w:vAlign w:val="bottom"/>
          </w:tcPr>
          <w:p>
            <w:pPr>
              <w:jc w:val="right"/>
              <w:ind w:right="4239"/>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40" w:type="dxa"/>
            <w:vAlign w:val="bottom"/>
            <w:tcBorders>
              <w:bottom w:val="single" w:sz="8" w:color="auto"/>
            </w:tcBorders>
          </w:tcPr>
          <w:p>
            <w:pPr>
              <w:spacing w:after="0"/>
              <w:rPr>
                <w:sz w:val="3"/>
                <w:szCs w:val="3"/>
                <w:color w:val="auto"/>
              </w:rPr>
            </w:pPr>
          </w:p>
        </w:tc>
        <w:tc>
          <w:tcPr>
            <w:tcW w:w="5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nalysis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of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 xml:space="preserve">inancial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2"/>
          <w:szCs w:val="12"/>
          <w:b w:val="1"/>
          <w:bCs w:val="1"/>
          <w:color w:val="auto"/>
        </w:rPr>
        <w:t xml:space="preserve">ondition and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2"/>
          <w:szCs w:val="12"/>
          <w:b w:val="1"/>
          <w:bCs w:val="1"/>
          <w:color w:val="auto"/>
        </w:rPr>
        <w:t xml:space="preserve">esults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2"/>
          <w:szCs w:val="12"/>
          <w:b w:val="1"/>
          <w:bCs w:val="1"/>
          <w:color w:val="auto"/>
        </w:rPr>
        <w:t>perations</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Introduction</w:t>
      </w:r>
      <w:r>
        <w:rPr>
          <w:rFonts w:ascii="Times New Roman" w:cs="Times New Roman" w:eastAsia="Times New Roman" w:hAnsi="Times New Roman"/>
          <w:sz w:val="18"/>
          <w:szCs w:val="18"/>
          <w:color w:val="auto"/>
        </w:rPr>
        <w:t>. The following section presents additional information to assess the financial condition and results of operations of Independent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(“IBCP”), its wholly-owned bank, Independent Bank (the “Bank”), and their subsidiaries. This section should be read in conjunction with the Condensed Consolidated Financial Statements. We also encourage you to read our 2021 Annual Report on Form 10-K filed with the U.S. Securities and Exchange Commission (“SEC”). That report includes a list of risk factors that you should consider in connection with any decision to buy or sell our securities.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Overview</w:t>
      </w:r>
      <w:r>
        <w:rPr>
          <w:rFonts w:ascii="Times New Roman" w:cs="Times New Roman" w:eastAsia="Times New Roman" w:hAnsi="Times New Roman"/>
          <w:sz w:val="18"/>
          <w:szCs w:val="18"/>
          <w:color w:val="auto"/>
        </w:rPr>
        <w:t>. We provide banking services to customers located primarily in Michigan’s Lower Peninsula. We also have two loan production offices in Ohio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(Columbus and Fairlawn). As a result, our success depends to a great extent upon the economic conditions in Michigan’s Lower Peninsula.</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Recent Developments. </w:t>
      </w:r>
      <w:r>
        <w:rPr>
          <w:rFonts w:ascii="Times New Roman" w:cs="Times New Roman" w:eastAsia="Times New Roman" w:hAnsi="Times New Roman"/>
          <w:sz w:val="18"/>
          <w:szCs w:val="18"/>
          <w:color w:val="auto"/>
        </w:rPr>
        <w:t>The COVID-19 pandemic and the related government mandates, restrictions, and guidance have created and may continue to create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contribute to significant economic uncertainty and market disruptions. Throughout 2021 and 2022, the volatility created by the pandemic and responses to the pandemic impacted our performance, customers, and the markets we serve. These effects continued to decline into the first quarter of 2022, but there remains a great deal of uncertainty with respect to whether and the degree to which they will have an impact on future conditions and performance.</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on this uncertainty, it is difficult to predict the extent to which the pandemic may continue to adversely impact our business, results of operations, financial condition, and customers. The potential impacts may include, but are not limited to:</w:t>
      </w:r>
    </w:p>
    <w:p>
      <w:pPr>
        <w:spacing w:after="0" w:line="162" w:lineRule="exact"/>
        <w:rPr>
          <w:sz w:val="20"/>
          <w:szCs w:val="20"/>
          <w:color w:val="auto"/>
        </w:rPr>
      </w:pPr>
    </w:p>
    <w:p>
      <w:pPr>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encountered by our business customers in addressing the effects of the pandemic may cause increases in loan delinquencies, foreclosures and defaults;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allowance for credit losses may be necessary;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collateral values may occur;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disruptions may occur, including outages at network providers, on-line banking vendors and other suppliers;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increased cyber and payment fraud risk, as cybercriminals attempt to profit from the disruption, given increased online and remote activity;</w:t>
      </w: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operational failures due to changes in our normal business practices necessitated by the pandemic and related governmental actions; and/or</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efficiency may suffer due to employee illnesses and/or employees having to work remotely.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ongoing uncertainty with respect to the pandemic and potential governmental responses, these risk factors may continue to some degree for a significant period of time.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extent to which the COVID-19 pandemic may impact our business, results of operations, asset valuations, financial condition, and customers will depend on future developments, which continue to be highly uncertain and difficult to predict. Those developments and factors are expected to largely depend on how quickly and to what extent normal economic and operating conditions stabilize. Potential developments also include market factors, such as interest rates, supply chain disruptions, inflation, consumer-welfare, and employment rates. Material adverse impacts may include all or a combination of valuation impairments on our intangible assets, securities available for sale, loans, capitalized mortgage loan servicing rights or deferred tax assets.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against this backdrop that we discuss our results of operations and financial condition in the first quarter of 2022 as compared to earlier periods.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esults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perations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We recorded net income of $18.0 million and $22.0 million during the three months ended March 31, 2022 and 2021, respectively.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in 2022 first quarter results as compared to 2021 is primarily due to a decline in non-interest income and an increase in non-interest expense that were partially offset by an increase in net interest income and decreases in the provision for credit losses and income tax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ratios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March 31,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(annualized) to</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23.51%</w:t>
            </w:r>
          </w:p>
        </w:tc>
      </w:tr>
      <w:tr>
        <w:trPr>
          <w:trHeight w:val="216"/>
        </w:trPr>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0.85</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0.84</w:t>
            </w:r>
          </w:p>
        </w:tc>
        <w:tc>
          <w:tcPr>
            <w:tcW w:w="3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interest income. </w:t>
      </w:r>
      <w:r>
        <w:rPr>
          <w:rFonts w:ascii="Times New Roman" w:cs="Times New Roman" w:eastAsia="Times New Roman" w:hAnsi="Times New Roman"/>
          <w:sz w:val="18"/>
          <w:szCs w:val="18"/>
          <w:color w:val="auto"/>
        </w:rPr>
        <w:t>Net interest income is the most important source of our earnings and thus is critical in evaluating our results of operations.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interest income totaled $33.0 million during the first quarter of 2022, an increase of $2.7 million, or 9.0% from the year-ago period. This increase primarily reflects a $444.8 million increase in average interest-earning assets that was partially offset by a five basis point decrease in our tax equivalent net interest income as a percent of average interest-earning assets (the “net interest margin”).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principally to the economic impact of COVID-19, the Federal Reserve took a variety of actions, during the later portion of 2020 and most of 2021, to stimulate the economy, including significantly lowering short-term interest rates. These lower interest rates combined with a higher allocation to lower yielding securities available for sale has placed continued pressure on our net interest margin.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average interest-earning assets in 2022 as compared to 2021 primarily reflects growth in securities available for sale and mortgage and installment loans funded from an increase in deposits.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fees on loans include $0.6 million of accretion of net loan fees on PPP loans in the first quarter of 2022 compared to $2.1 million for the first quarter of 2021. Interest and fees on loans also include $0.1 million and $0.4 million for the first quarter of 2022 and 2021, respectively of accretion of the discount recorded on loans acquired in the April 2018 acquisition of Traverse City State Bank (“TCSB”).</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interest income is also impacted by our level of non-accrual loans. In the first quarter of 2022, non-accrual loans averaged $5.0 million compared to $7.6 million in the first quarter of 2021. In addition, in the first quarter of 2022, we had net recoveries of $0.14 million of unpaid interest on loans placed on or taken off non-accrual or on loans previously charged-off compared to net recoveries of $0.17 million during the same period in 2021.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Balances and Tax Equivalent Rates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218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Average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29"/>
                <w:szCs w:val="29"/>
                <w:color w:val="auto"/>
                <w:vertAlign w:val="superscript"/>
              </w:rPr>
              <w:t>(2)</w:t>
            </w:r>
          </w:p>
        </w:tc>
        <w:tc>
          <w:tcPr>
            <w:tcW w:w="140" w:type="dxa"/>
            <w:vAlign w:val="bottom"/>
          </w:tcPr>
          <w:p>
            <w:pPr>
              <w:spacing w:after="0"/>
              <w:rPr>
                <w:sz w:val="17"/>
                <w:szCs w:val="17"/>
                <w:color w:val="auto"/>
              </w:rPr>
            </w:pPr>
          </w:p>
        </w:tc>
        <w:tc>
          <w:tcPr>
            <w:tcW w:w="100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Average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(Dollars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2,971,566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28,340</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2,827,335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28,039</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4.00%</w:t>
            </w: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6,677</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securities available for sale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4,552</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782,471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2,796</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Tax-exempt securities available for sale</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2,015</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311,147</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1,770</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bearing cash</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87,317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101,895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18,427</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Interest Earning Assets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4,492,757</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4,047,952</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58,676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56,371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149,971</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Total Assets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4,721,205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4,254,294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interest-bearing checking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2,503,014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641</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2,140,405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339,872</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2,950,337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1,740</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2,589,102</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2,218</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1,218,534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77,698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66,547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380,111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Total liabilities and shareholders’ equity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4,721,205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4,254,294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 Interest Income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33,483</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30,688</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Interest Income as a Percent of Average Interest Earning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8"/>
              </w:rPr>
              <w:t>3.05%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8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March 31,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Interest Margin, Fully Taxable Equivalent ("FTE")</w:t>
            </w: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78"/>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30,284</w:t>
            </w:r>
          </w:p>
        </w:tc>
        <w:tc>
          <w:tcPr>
            <w:tcW w:w="0" w:type="dxa"/>
            <w:vAlign w:val="bottom"/>
          </w:tcPr>
          <w:p>
            <w:pPr>
              <w:spacing w:after="0"/>
              <w:rPr>
                <w:sz w:val="1"/>
                <w:szCs w:val="1"/>
                <w:color w:val="auto"/>
              </w:rPr>
            </w:pPr>
          </w:p>
        </w:tc>
      </w:tr>
      <w:tr>
        <w:trPr>
          <w:trHeight w:val="223"/>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 taxable equivalent adjustment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57"/>
        </w:trPr>
        <w:tc>
          <w:tcPr>
            <w:tcW w:w="8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 taxable equivalent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33,483</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0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color w:val="auto"/>
              </w:rPr>
              <w:t xml:space="preserve">Net interest margin (GAAP)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1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2.96%</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Net interest margin (FTE)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Annualized.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Provision for credit losses. </w:t>
      </w:r>
      <w:r>
        <w:rPr>
          <w:rFonts w:ascii="Times New Roman" w:cs="Times New Roman" w:eastAsia="Times New Roman" w:hAnsi="Times New Roman"/>
          <w:sz w:val="18"/>
          <w:szCs w:val="18"/>
          <w:color w:val="auto"/>
        </w:rPr>
        <w:t>The provision for credit losses was a credit of $1.6 million and a credit of $0.5 million for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and 2021, respectively. 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and their impact on the provision for credit losses in 2022. See note #13 to the Condensed Consolidated Financial Statements included within this report for a discussion on industry concentrations. The increase in the amount of the credit from the prior year period is primarily due to a decrease in net newly identified losses in the commercial loan portfolio as well as a decrease in the adjustment to allocations based on subjective factors related to risk associated with COVID-19.</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Non-interest income. </w:t>
      </w:r>
      <w:r>
        <w:rPr>
          <w:rFonts w:ascii="Times New Roman" w:cs="Times New Roman" w:eastAsia="Times New Roman" w:hAnsi="Times New Roman"/>
          <w:sz w:val="18"/>
          <w:szCs w:val="18"/>
          <w:color w:val="auto"/>
        </w:rPr>
        <w:t>Non-interest income is a significant element in assessing our results of operations. Non-interest income totaled $18.9 million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quarter of 2022 compared to $26.4 million in the first quarter of 2021.</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non-interest income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on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26,406</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Interchange income increased in 2022 as compared to 2021, primarily due to growth in debit card transaction volume.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charges on deposit accounts increased on a comparative quarterly basis in 2022 as compared to 2021. The quarterly increase was principally due to an increase in non-sufficient funds occurrences (and related fees).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reflected in the table below, net gains on the sale of mortgage loans dropped significantly from the first quarter of last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 Activity</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March 31,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1"/>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originated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270,194</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509,003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sold</w:t>
            </w:r>
          </w:p>
        </w:tc>
        <w:tc>
          <w:tcPr>
            <w:tcW w:w="22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221,725</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377,418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835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12,828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gains as a percent of mortgage</w:t>
            </w:r>
          </w:p>
        </w:tc>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sold ("Loan Sales Margin")</w:t>
            </w:r>
          </w:p>
        </w:tc>
        <w:tc>
          <w:tcPr>
            <w:tcW w:w="4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0.38%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 included in the</w:t>
            </w:r>
          </w:p>
        </w:tc>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Sales Margin</w:t>
            </w:r>
          </w:p>
        </w:tc>
        <w:tc>
          <w:tcPr>
            <w:tcW w:w="4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(1.87)</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(0.98)</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loans originated decreased in 2022 as compared to 2021 due primarily to a decrease in mortgage loan refinance volumes. Mortgage loan refinance volumes declined by 75.0% in the first quarter of 2022 as compared to 2021 as higher mortgage loan interest rates in 2022 reduced this activity. Mortgage loans sold decreased in the first quarter of 2022 as compared to 2021 due primarily to lower loan origination volume. Net gains on mortgage loans decreased in 2022 as compared to 2021 due to the decline in loan sale volume, a decrease in the Loan Sales Margin and fair value adjustments as discussed below.</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2.25% and 4.38% in the first quarters of 2022 and 2021, respectively. The decline in the Loan Sales Margin (excluding fair value adjustments) in the first quarter of 2022 was generally due to lower primary-to-secondary market pricing spreads as market interest rates rose in 2022 (relative to 2021) which were impacted by the decrease in mortgage loan refinance volumes.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$0.1 million and $1.4 million net gains on securities available for sale in the comparative quarterly periods, respectively. We recorded no credit related charges in either 2022 or 2021 on securities available for sale. See “Securities” below and note #3 to the Condensed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 servicing, net, generated income of $9.6 million and $5.2 million in the first quarters of 2022 and 2021, respectively. The significant variances in mortgage loan servicing, net are primarily due to changes in the fair value of capitalized mortgage loan servicing rights associated with changes in mortgage loan interest rates and expected future prepayment levels.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 servicing, net activity is summarized in the following table:</w:t>
            </w: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Servicing Revenue</w:t>
            </w:r>
          </w:p>
        </w:tc>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 servicing</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net</w:t>
            </w:r>
          </w:p>
        </w:tc>
        <w:tc>
          <w:tcPr>
            <w:tcW w:w="3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change due to price</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8,452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change due to pay-downs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7"/>
        </w:trPr>
        <w:tc>
          <w:tcPr>
            <w:tcW w:w="54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9,641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0" w:type="dxa"/>
            <w:vAlign w:val="bottom"/>
            <w:vMerge w:val="restart"/>
          </w:tcPr>
          <w:p>
            <w:pPr>
              <w:jc w:val="right"/>
              <w:ind w:right="2896"/>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4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48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related to capitalized mortgage loan servicing rights is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Capitalized Mortgage Loan Servicing Rights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3,369</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35,933</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23,530</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2022 we were servicing approximately $3.41 billion in mortgage loans for others on which servicing rights have been capitalized. This servicing portfolio had a weighted average coupon rate of 3.44% and a weighted average service fee of approximately 25.6 basis points. Capitalized mortgage loan servicing rights at March 31, 2022 totaled $35.9 million, representing approximately 105.3 basis points on the related amount of mortgage loans serviced for others.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and insurance commissions represent revenues generated on the sale or management of investments and insurance for our customers. These revenues increased in the first quarter of 2022 as compared to the first quarter of 2021, primarily due to growth in assets under management and in annuity sales (reflecting customers seeking alternatives to traditional fixed income products such as time deposits given the prolonged low interest rate environment).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non-interest income increased in 2022 as compared to 2021 due primarily to increases in credit card and merchant processing revenue and higher commercial loan swap fee income. These revenues and fees were adversely impacted during the first quarter of 2021 by COVID-19 pandemic related business shut-downs and stay at home mandates.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Non-interest expense. </w:t>
      </w:r>
      <w:r>
        <w:rPr>
          <w:rFonts w:ascii="Times New Roman" w:cs="Times New Roman" w:eastAsia="Times New Roman" w:hAnsi="Times New Roman"/>
          <w:sz w:val="18"/>
          <w:szCs w:val="18"/>
          <w:color w:val="auto"/>
        </w:rPr>
        <w:t>Non-interest expense is an important component of our results of operations. We strive to efficiently manage our cost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Non-interest expense increased by $1.4 million to $31.5 million in the first quarter of 2022 compared to the first quarter of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non-interest expense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4,292</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taxes and employee benefits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Interchange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and collection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FDIC deposit insurance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Correspondent bank service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related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loss reimbursement on sold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on other real estate and repossessed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Recoveries related to unfunded lending commitments</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30,021</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employee benefits expenses, in total, increased $1.6 million in the first quarter of 2022 compared to the same period in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increased by $2.3 million in the first quarter of 2022, compared to the same period in 2021. The comparative increase in 2022 was primarily due to (a) salary increases that were predominantly effective on January 1, 2022, (b) a decreased level of compensation that was deferred as direct origination costs due to lower mortgage loan origination volume, and (c) an increase in lending personnel.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Performance-based compensation decreased by $0.6 million compared to the same period in 2021 due primarily due to a decrease in mortgage lending volume.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Payroll taxes and employee benefits decreased by $0.1 million in the first quarter of 2022 compared to the same period in 2021, due primarily to decreases in payroll taxes (reflecting lower performance-based compensation costs) and in our 401(k) plan match that was partially offset by higher health care costs (due to increased claims in 2022).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Occupancy, net increased $0.2 million in the first quarter of 2022 compared to the first quarter of 2021 due primarily to an increase in snow removal costs, general branch related costs and depreciation expense related to building improvements.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Data processing expense decreased by $0.2 million in first quarter of 2022, compared to the same period in 2021. The decrease is primarily attributed to a onetime credit from our core data service provider for a billing reduction related to the prior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Furniture, fixtures and equipment, communications, legal and professional, supplies, correspondent bank service fees and provision for loss reimbursement on sold loans were each substantially the same in the first quarter of 2022 as compared to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Interchange expense primarily represents our third-party cost to process debit card transactions. The increase in this expense in 2022 as compared to 2021 is due principally to changes in transaction volume and transaction channel mix.</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expense increased by approximately $0.2 million in the first quarter of 2022 as compared to the first quarter in 2021 due primarily to an increase in donations and promotional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and collection expense decreased $0.2 million in the first quarter of 2022 compared to the first quarter of 2021 due primarily to a recovery of previously expensed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FDIC deposit insurance expense increased in the first quarter of 2022 as compared to 2021 due primarily to an increases in the assessment rate as well as the assessment base.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amortization of intangible assets relates to the TCSB acquisition and prior branch acquisitions and the amortization of the deposit customer relationship value, including core deposit value, which was acquired in connection with those acquisitions. We had remaining unamortized intangible assets of $3.1 million and $3.3 million at March 31, 2022 and December 31, 2021, respectively. See note #7 to the Condensed Consolidated Financial Statements for a schedule of future amortization of intangible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related expenses in the first quarter of 2022 were primarily related to audit fees associated with post conversion work.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gains on other real estate and repossessed assets primarily represent the net gain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credit losses.</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Recoveries related to unfunded lending commitments increased $0.3 million in the first quarter of 2022 compared to the prior year quarter due primarily to changes in the amounts of such commitments to originate portfolio loans as well as (for commercial loan commitments) the grade (pursuant to our loan rating system) of such commitments.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We recorded an income tax expense of $4.1 million in the first quarter of 2022 compared to an income tax expense of $5.1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quarter of 2021. The decrease in expense is primarily due to a decrease in pretax income.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March 31, 2022 and 2021 and at December 31, 2021 that the realization of substantially all of our deferred tax assets continues to be more likely than not.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ondition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Our total assets increased by $57.2 million during the first three months of 2022. Loans, excluding loans held for sale, were $3.00 billion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2022, compared to $2.91 billion at December 31, 2021. Commercial loans, mortgage loans and installment loans each increased during the first three months of 2022. (See “Portfolio Loans and asset quality.”)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Deposits totaled $4.21 billion at March 31, 2022, an increase of $88.4 million from December 31, 2021. The increase in deposits is primarily due to growth in interest bearing checking deposits and reciprocal deposits that were partially offset by a decline in non-interest bearing deposits and time deposits.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deposits from December 31, 2022 is due in part to the seasonal cash management needs of our business and municipal customers. Overall deposit balances remain elevated, relative to historical levels, due the significant liquidity that has been injected into the economy through government programs, such as the PPP, as well as by monetary actions by the Federal Reserve Bank, all in response to the COVID-19 pandemic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various government stimulus programs in response to the COVID-19 pandemic end or taper, it is unclear what the impact will be on our levels of Portfolio Loans and deposits. However, our liquidity and funding contingency plans take into account the possibility of reductions in commercial loans and deposits during 2022.</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reverse.(See “Asset/liability management.”)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Unrealized</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w:t>
            </w:r>
          </w:p>
        </w:tc>
      </w:tr>
      <w:tr>
        <w:trPr>
          <w:trHeight w:val="223"/>
        </w:trPr>
        <w:tc>
          <w:tcPr>
            <w:tcW w:w="3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7"/>
              </w:rPr>
              <w:t>Losses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1,461,677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64,191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1,400,137</w:t>
            </w: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1,404,858</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16,594</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8,622</w:t>
            </w:r>
          </w:p>
        </w:tc>
        <w:tc>
          <w:tcPr>
            <w:tcW w:w="22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1,412,830</w:t>
            </w:r>
          </w:p>
        </w:tc>
      </w:tr>
    </w:tbl>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Securities available for sale in unrealized loss positions are evaluated quarterly for impairment related to credit losses. For securities available for sale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available for sale was needed at March 31, 2022. The increase in unrealized losses during the first quarter of 2022 is primarily attributed to an increase in interest rates during the first quarter. See note #3 to the Condensed Consolidated Financial Statements included within this report for further discussion.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of securities were as follows (See “Non-interest income.”):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of Securities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4,395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78,179</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gains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losses</w:t>
            </w: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Portfolio Loans and asset quality. </w:t>
      </w:r>
      <w:r>
        <w:rPr>
          <w:rFonts w:ascii="Times New Roman" w:cs="Times New Roman" w:eastAsia="Times New Roman" w:hAnsi="Times New Roman"/>
          <w:sz w:val="18"/>
          <w:szCs w:val="18"/>
          <w:color w:val="auto"/>
        </w:rPr>
        <w:t>In addition to the communities served by our Bank branch and loan production office network, our principal lending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as compared to past periods. These fixed rate mortgage loans generally have terms from 15 to 30 years, do not have prepayment penalties and expose us to more interest rate risk. (See “Asset/liability management.”).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PPP, is a short-term, forgivable loan program primarily intended to help businesses impacted by COVID-19 to continue paying their employees. See note #4 to the Condensed Consolidated Financial Statements included within this report for further discussion of the PPP.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participation in the PPP (which ended on May 31, 2021 for new loans)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Paycheck Protection Program Activity</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27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March 31, 2022</w:t>
            </w:r>
          </w:p>
        </w:tc>
        <w:tc>
          <w:tcPr>
            <w:tcW w:w="25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March 31, 2021</w:t>
            </w:r>
          </w:p>
        </w:tc>
      </w:tr>
      <w:tr>
        <w:trPr>
          <w:trHeight w:val="223"/>
        </w:trPr>
        <w:tc>
          <w:tcPr>
            <w:tcW w:w="598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Amount (#)</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Amount (#)</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Closed and outstanding at quarter end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234,174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fees accreted into interest income for the quarter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Unaccreted net fees remaining at quarter end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6,816</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2020, Section 4013 of the CARES Act provided temporary relief from the accounting and reporting requirements for TDRs regarding certain loan modifications for our customers. Section 4013 specified that COVID-19 related modifications on loans that were current as of December 31, 2019 are not TDRs. The provisions of Section 4013 were to expire at the earlier of 60 days after the termination of the national emergency that was previously declared on March 13, 2020 or January 1, 2022. While the provisions of Section 4013 were in place, we assisted both our retail (mortgage and installment loans) and our commercial borrowers with accommodations that included reduced or suspended payments. Section 4013 expired on January 1, 2022 and our total remaining accommodation loans were $0.5 million and $2.3 million at March 31, 2022 and December 31, 2021, respectively. See note #4 to the Condensed Consolidated Financial Statements included within this report.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86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our Portfolio Loans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March 31,</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Real estate(1)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first mortgages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890,376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870,169</w:t>
            </w:r>
          </w:p>
        </w:tc>
        <w:tc>
          <w:tcPr>
            <w:tcW w:w="0" w:type="dxa"/>
            <w:vAlign w:val="bottom"/>
          </w:tcPr>
          <w:p>
            <w:pPr>
              <w:spacing w:after="0"/>
              <w:rPr>
                <w:sz w:val="1"/>
                <w:szCs w:val="1"/>
                <w:color w:val="auto"/>
              </w:rPr>
            </w:pPr>
          </w:p>
        </w:tc>
      </w:tr>
      <w:tr>
        <w:trPr>
          <w:trHeight w:val="216"/>
        </w:trPr>
        <w:tc>
          <w:tcPr>
            <w:tcW w:w="8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home equity and other junior mortgages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125,744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128,801</w:t>
            </w:r>
          </w:p>
        </w:tc>
        <w:tc>
          <w:tcPr>
            <w:tcW w:w="0" w:type="dxa"/>
            <w:vAlign w:val="bottom"/>
          </w:tcPr>
          <w:p>
            <w:pPr>
              <w:spacing w:after="0"/>
              <w:rPr>
                <w:sz w:val="1"/>
                <w:szCs w:val="1"/>
                <w:color w:val="auto"/>
              </w:rPr>
            </w:pPr>
          </w:p>
        </w:tc>
      </w:tr>
      <w:tr>
        <w:trPr>
          <w:trHeight w:val="216"/>
        </w:trPr>
        <w:tc>
          <w:tcPr>
            <w:tcW w:w="8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265,671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278,992</w:t>
            </w:r>
          </w:p>
        </w:tc>
        <w:tc>
          <w:tcPr>
            <w:tcW w:w="0" w:type="dxa"/>
            <w:vAlign w:val="bottom"/>
          </w:tcPr>
          <w:p>
            <w:pPr>
              <w:spacing w:after="0"/>
              <w:rPr>
                <w:sz w:val="1"/>
                <w:szCs w:val="1"/>
                <w:color w:val="auto"/>
              </w:rPr>
            </w:pPr>
          </w:p>
        </w:tc>
      </w:tr>
      <w:tr>
        <w:trPr>
          <w:trHeight w:val="216"/>
        </w:trPr>
        <w:tc>
          <w:tcPr>
            <w:tcW w:w="8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791,241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726,224</w:t>
            </w:r>
          </w:p>
        </w:tc>
        <w:tc>
          <w:tcPr>
            <w:tcW w:w="0" w:type="dxa"/>
            <w:vAlign w:val="bottom"/>
          </w:tcPr>
          <w:p>
            <w:pPr>
              <w:spacing w:after="0"/>
              <w:rPr>
                <w:sz w:val="1"/>
                <w:szCs w:val="1"/>
                <w:color w:val="auto"/>
              </w:rPr>
            </w:pPr>
          </w:p>
        </w:tc>
      </w:tr>
      <w:tr>
        <w:trPr>
          <w:trHeight w:val="216"/>
        </w:trPr>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570,702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555,696</w:t>
            </w:r>
          </w:p>
        </w:tc>
        <w:tc>
          <w:tcPr>
            <w:tcW w:w="0" w:type="dxa"/>
            <w:vAlign w:val="bottom"/>
          </w:tcPr>
          <w:p>
            <w:pPr>
              <w:spacing w:after="0"/>
              <w:rPr>
                <w:sz w:val="1"/>
                <w:szCs w:val="1"/>
                <w:color w:val="auto"/>
              </w:rPr>
            </w:pPr>
          </w:p>
        </w:tc>
      </w:tr>
      <w:tr>
        <w:trPr>
          <w:trHeight w:val="216"/>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355,730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339,785</w:t>
            </w:r>
          </w:p>
        </w:tc>
        <w:tc>
          <w:tcPr>
            <w:tcW w:w="0" w:type="dxa"/>
            <w:vAlign w:val="bottom"/>
          </w:tcPr>
          <w:p>
            <w:pPr>
              <w:spacing w:after="0"/>
              <w:rPr>
                <w:sz w:val="1"/>
                <w:szCs w:val="1"/>
                <w:color w:val="auto"/>
              </w:rPr>
            </w:pPr>
          </w:p>
        </w:tc>
      </w:tr>
      <w:tr>
        <w:trPr>
          <w:trHeight w:val="216"/>
        </w:trPr>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5,378</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280" w:type="dxa"/>
            <w:vAlign w:val="bottom"/>
            <w:gridSpan w:val="2"/>
          </w:tcPr>
          <w:p>
            <w:pPr>
              <w:jc w:val="right"/>
              <w:ind w:right="7390"/>
              <w:spacing w:after="0"/>
              <w:rPr>
                <w:sz w:val="20"/>
                <w:szCs w:val="20"/>
                <w:color w:val="auto"/>
              </w:rPr>
            </w:pPr>
            <w:r>
              <w:rPr>
                <w:rFonts w:ascii="Times New Roman" w:cs="Times New Roman" w:eastAsia="Times New Roman" w:hAnsi="Times New Roman"/>
                <w:sz w:val="18"/>
                <w:szCs w:val="18"/>
                <w:color w:val="auto"/>
                <w:w w:val="96"/>
              </w:rPr>
              <w:t>Total loans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3,004,065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2,905,045</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Includes both residential and non-residential commercial loans secured by real estate.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Includes loans secured by multi-family residential and non-farm, non-residential property.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2"/>
        </w:trPr>
        <w:tc>
          <w:tcPr>
            <w:tcW w:w="8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Non-performing assets </w:t>
            </w:r>
            <w:r>
              <w:rPr>
                <w:rFonts w:ascii="Times New Roman" w:cs="Times New Roman" w:eastAsia="Times New Roman" w:hAnsi="Times New Roman"/>
                <w:sz w:val="29"/>
                <w:szCs w:val="29"/>
                <w:b w:val="1"/>
                <w:bCs w:val="1"/>
                <w:color w:val="auto"/>
                <w:vertAlign w:val="superscript"/>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w w:val="97"/>
              </w:rPr>
              <w:t>March 31,</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3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w w:val="71"/>
              </w:rPr>
              <w:t>in</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90 days or more past due and still accruing interest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Subtotal</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Government guaranteed loans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real estate and repossessed 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8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0" w:type="dxa"/>
            <w:vAlign w:val="bottom"/>
            <w:tcBorders>
              <w:top w:val="single" w:sz="8" w:color="CCEEFF"/>
            </w:tcBorders>
          </w:tcPr>
          <w:p>
            <w:pPr>
              <w:spacing w:after="0"/>
              <w:rPr>
                <w:sz w:val="18"/>
                <w:szCs w:val="18"/>
                <w:color w:val="auto"/>
              </w:rPr>
            </w:pPr>
          </w:p>
        </w:tc>
        <w:tc>
          <w:tcPr>
            <w:tcW w:w="82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 percent of Portfolio Loans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Non-performing loans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8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 as a percent of non-performing loans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906.38</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Excludes loans classified as "troubled debt restructured" that are not past due.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Troubled debt restructurings ("TDR")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8"/>
                <w:szCs w:val="18"/>
                <w:color w:val="auto"/>
              </w:rPr>
              <w:t>March 31, 2022</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jc w:val="center"/>
              <w:ind w:right="440"/>
              <w:spacing w:after="0" w:line="216" w:lineRule="exact"/>
              <w:rPr>
                <w:sz w:val="20"/>
                <w:szCs w:val="20"/>
                <w:color w:val="auto"/>
              </w:rPr>
            </w:pPr>
            <w:r>
              <w:rPr>
                <w:rFonts w:ascii="Times New Roman" w:cs="Times New Roman" w:eastAsia="Times New Roman" w:hAnsi="Times New Roman"/>
                <w:sz w:val="16"/>
                <w:szCs w:val="16"/>
                <w:color w:val="auto"/>
              </w:rPr>
              <w:t xml:space="preserve">Retail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30,622</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35,032</w:t>
            </w:r>
          </w:p>
        </w:tc>
      </w:tr>
      <w:tr>
        <w:trPr>
          <w:trHeight w:val="223"/>
        </w:trPr>
        <w:tc>
          <w:tcPr>
            <w:tcW w:w="66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Non-performing TDR's </w:t>
            </w:r>
            <w:r>
              <w:rPr>
                <w:rFonts w:ascii="Times New Roman" w:cs="Times New Roman" w:eastAsia="Times New Roman" w:hAnsi="Times New Roman"/>
                <w:sz w:val="25"/>
                <w:szCs w:val="25"/>
                <w:color w:val="auto"/>
                <w:vertAlign w:val="superscript"/>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jc w:val="right"/>
              <w:ind w:right="160"/>
              <w:spacing w:after="0" w:line="216" w:lineRule="exact"/>
              <w:rPr>
                <w:sz w:val="20"/>
                <w:szCs w:val="20"/>
                <w:color w:val="auto"/>
              </w:rPr>
            </w:pPr>
            <w:r>
              <w:rPr>
                <w:rFonts w:ascii="Times New Roman" w:cs="Times New Roman" w:eastAsia="Times New Roman" w:hAnsi="Times New Roman"/>
                <w:sz w:val="25"/>
                <w:szCs w:val="25"/>
                <w:color w:val="auto"/>
                <w:vertAlign w:val="subscript"/>
              </w:rPr>
              <w:t>875</w:t>
            </w:r>
            <w:r>
              <w:rPr>
                <w:rFonts w:ascii="Times New Roman" w:cs="Times New Roman" w:eastAsia="Times New Roman" w:hAnsi="Times New Roman"/>
                <w:sz w:val="12"/>
                <w:szCs w:val="12"/>
                <w:color w:val="auto"/>
              </w:rPr>
              <w:t>(3)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r>
      <w:tr>
        <w:trPr>
          <w:trHeight w:val="257"/>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35,907</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33"/>
        </w:trPr>
        <w:tc>
          <w:tcPr>
            <w:tcW w:w="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December 31, 2021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jc w:val="center"/>
              <w:ind w:right="520"/>
              <w:spacing w:after="0" w:line="216" w:lineRule="exact"/>
              <w:rPr>
                <w:sz w:val="20"/>
                <w:szCs w:val="20"/>
                <w:color w:val="auto"/>
              </w:rPr>
            </w:pPr>
            <w:r>
              <w:rPr>
                <w:rFonts w:ascii="Times New Roman" w:cs="Times New Roman" w:eastAsia="Times New Roman" w:hAnsi="Times New Roman"/>
                <w:sz w:val="16"/>
                <w:szCs w:val="16"/>
                <w:color w:val="auto"/>
              </w:rPr>
              <w:t xml:space="preserve">Retail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31,589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36,070</w:t>
            </w:r>
          </w:p>
        </w:tc>
        <w:tc>
          <w:tcPr>
            <w:tcW w:w="80" w:type="dxa"/>
            <w:vAlign w:val="bottom"/>
            <w:shd w:val="clear" w:color="auto" w:fill="CCEEFF"/>
          </w:tcPr>
          <w:p>
            <w:pPr>
              <w:spacing w:after="0"/>
              <w:rPr>
                <w:sz w:val="18"/>
                <w:szCs w:val="18"/>
                <w:color w:val="auto"/>
              </w:rPr>
            </w:pPr>
          </w:p>
        </w:tc>
      </w:tr>
      <w:tr>
        <w:trPr>
          <w:trHeight w:val="223"/>
        </w:trPr>
        <w:tc>
          <w:tcPr>
            <w:tcW w:w="66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Non-performing TDR's </w:t>
            </w:r>
            <w:r>
              <w:rPr>
                <w:rFonts w:ascii="Times New Roman" w:cs="Times New Roman" w:eastAsia="Times New Roman" w:hAnsi="Times New Roman"/>
                <w:sz w:val="25"/>
                <w:szCs w:val="25"/>
                <w:color w:val="auto"/>
                <w:vertAlign w:val="superscript"/>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jc w:val="right"/>
              <w:ind w:right="200"/>
              <w:spacing w:after="0" w:line="216" w:lineRule="exact"/>
              <w:rPr>
                <w:sz w:val="20"/>
                <w:szCs w:val="20"/>
                <w:color w:val="auto"/>
              </w:rPr>
            </w:pPr>
            <w:r>
              <w:rPr>
                <w:rFonts w:ascii="Times New Roman" w:cs="Times New Roman" w:eastAsia="Times New Roman" w:hAnsi="Times New Roman"/>
                <w:sz w:val="16"/>
                <w:szCs w:val="16"/>
                <w:color w:val="auto"/>
              </w:rPr>
              <w:t>1,016</w:t>
            </w:r>
            <w:r>
              <w:rPr>
                <w:rFonts w:ascii="Times New Roman" w:cs="Times New Roman" w:eastAsia="Times New Roman" w:hAnsi="Times New Roman"/>
                <w:sz w:val="25"/>
                <w:szCs w:val="25"/>
                <w:color w:val="auto"/>
                <w:vertAlign w:val="superscript"/>
              </w:rPr>
              <w:t>(3)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9"/>
                <w:szCs w:val="19"/>
                <w:color w:val="auto"/>
              </w:rPr>
            </w:pPr>
          </w:p>
        </w:tc>
      </w:tr>
      <w:tr>
        <w:trPr>
          <w:trHeight w:val="257"/>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loans include mortgage and installment loan portfolio segments.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non-performing assets table above.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loans on non-accrual at the time of modification until six payments are received on a timely basis.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Non-performing loans decreased by $0.1 million since year-end 2021, reflecting improving economic conditions and the Company’s ongoing collection efforts. Our collection and resolution efforts have generally resulted in a positive trend in non-performing loans.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Non-performing loans exclude performing loans that are classified as TDRs. Performing TDRs totaled $35.0 million, or 1.2% of total Portfolio Loans, and $36.1 million, or 1.2% of total Portfolio Loans, at March 31, 2022 and December 31, 2021, respectively. The decrease in the amount of performing TDRs in the first three months of 2022 reflects a decrease in both commercial and retail performing TDRs.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real estate and repossessed assets totaled $0.4 million and $0.2 million at March 31, 2022, and December 31, 2021,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activity in our ACL on loans and ACL for unfunded lending commitments as well as the allocation of our ACL on loans.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loans and unfunded lending commitments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7"/>
          </w:tcPr>
          <w:p>
            <w:pPr>
              <w:jc w:val="right"/>
              <w:ind w:right="76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7"/>
          </w:tcPr>
          <w:p>
            <w:pPr>
              <w:jc w:val="right"/>
              <w:ind w:right="1140"/>
              <w:spacing w:after="0"/>
              <w:rPr>
                <w:sz w:val="20"/>
                <w:szCs w:val="20"/>
                <w:color w:val="auto"/>
              </w:rPr>
            </w:pPr>
            <w:r>
              <w:rPr>
                <w:rFonts w:ascii="Times New Roman" w:cs="Times New Roman" w:eastAsia="Times New Roman" w:hAnsi="Times New Roman"/>
                <w:sz w:val="18"/>
                <w:szCs w:val="18"/>
                <w:color w:val="auto"/>
              </w:rPr>
              <w:t>March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Unfunded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9"/>
              </w:rPr>
              <w:t>Unfunded</w:t>
            </w:r>
          </w:p>
        </w:tc>
        <w:tc>
          <w:tcPr>
            <w:tcW w:w="100" w:type="dxa"/>
            <w:vAlign w:val="bottom"/>
          </w:tcPr>
          <w:p>
            <w:pPr>
              <w:spacing w:after="0"/>
              <w:rPr>
                <w:sz w:val="17"/>
                <w:szCs w:val="17"/>
                <w:color w:val="auto"/>
              </w:rPr>
            </w:pPr>
          </w:p>
        </w:tc>
      </w:tr>
      <w:tr>
        <w:trPr>
          <w:trHeight w:val="241"/>
        </w:trPr>
        <w:tc>
          <w:tcPr>
            <w:tcW w:w="3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Loans</w:t>
            </w:r>
          </w:p>
        </w:tc>
        <w:tc>
          <w:tcPr>
            <w:tcW w:w="13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Commitments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Loans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Commitments</w:t>
            </w:r>
          </w:p>
        </w:tc>
      </w:tr>
      <w:tr>
        <w:trPr>
          <w:trHeight w:val="216"/>
        </w:trPr>
        <w:tc>
          <w:tcPr>
            <w:tcW w:w="3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1"/>
              </w:rPr>
              <w:t>in</w:t>
            </w:r>
          </w:p>
        </w:tc>
        <w:tc>
          <w:tcPr>
            <w:tcW w:w="1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47,252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4,481</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(deductions)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adoption of ASC 326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w:t>
            </w:r>
          </w:p>
        </w:tc>
      </w:tr>
      <w:tr>
        <w:trPr>
          <w:trHeight w:val="216"/>
        </w:trPr>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(1,573)</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allowance on loans purchased with credit deterioration</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Recoveries included in non-interest expense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57"/>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loans charged (recovered) against the allowance to average Portfolio Loans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Allocation of the Allowance for Credit Losses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3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Specific allocations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Pooled analysis allocations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33,359</w:t>
            </w:r>
          </w:p>
        </w:tc>
      </w:tr>
      <w:tr>
        <w:trPr>
          <w:trHeight w:val="223"/>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allocations based on subjective factors</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47,252</w:t>
            </w:r>
          </w:p>
        </w:tc>
      </w:tr>
      <w:tr>
        <w:trPr>
          <w:trHeight w:val="20"/>
        </w:trPr>
        <w:tc>
          <w:tcPr>
            <w:tcW w:w="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loans will not be repaid in full. Therefore, an ACL is maintained at a level which represents our best estimate of expected credit losses. Our ACL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Condensed Consolidated Financial Statements included within this report for further discussion on the ACL.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ACL decreased $1.6 million to $45.6 million at March 31, 2022 from $47.3 million at December 31, 2021 and was equal to 1.52% and 1.63% of total Portfolio Loans at March 31, 2022 and December 31, 2021,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three components of the ACL outlined above decreased since December 31, 2021. The ACL related to specific loans decreased $0.2 million due primarily to a $1.1 million decrease in the amount of such loans. The ACL related to subjective factors decreased $0.7 million due primarily to lower reserve allocations reflecting a decrease in risk related to the COVID-19 pandemic that was partially offset by loan growth during the first quarter of 2022. The ACL related to pooled analysis of loans decreased $0.7 million due primarily to an improved loan risk rating mix in the first quarter of 2022 that was partially offset by loan growth.</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Deposits and borrowings. </w:t>
      </w:r>
      <w:r>
        <w:rPr>
          <w:rFonts w:ascii="Times New Roman" w:cs="Times New Roman" w:eastAsia="Times New Roman" w:hAnsi="Times New Roman"/>
          <w:sz w:val="18"/>
          <w:szCs w:val="18"/>
          <w:color w:val="auto"/>
        </w:rPr>
        <w:t>Historically, the loyalty of our customer base has allowed us to price deposits competitively, contributing to a net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that 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Deposits totaled $4.21 billion and $4.12 billion at March 31, 2022 and December 31, 2021, respectively. The increase in deposits is primarily due to growth in savings and interest bearing checking deposits and reciprocal deposits that were partially offset by a decline in non-interest bearing deposits and time deposits. Reciprocal deposits totaled $605.3 million and $586.6 million at March 31, 2022 and December 31, 2021,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 The continued increase in reciprocal deposits is due in part to sales efforts of our treasury management team.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sure that we will be able to maintain our current level of core deposits. In particular, those deposits that are uninsured may be susceptible to outflow. At March 31, 2022, we had approximately $1.04 billion of uninsured deposits. A reduction in core deposits would likely increase our need to rely on wholesale funding sources.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borrowings, comprised primarily of advances from the FHLB, totaled $30.0 million at both March 31, 2022 and December 31,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above, we have utilized wholesale funding, including federal funds purchased, FHLB and FRB borrowings and Brokered CDs to augment our core deposits and fund a portion of our assets. At March 31, 2022, our use of such wholesale funding sources (including reciprocal deposits) amounted to approximately $638.3 million, or 15.1%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historically employed derivative financial instruments to manage our exposure to changes in interest rates. During the first three months of 2022 and 2021, we entered into $11.2 million and $7.6 million (aggregate notional amounts), respectively, of interest rate swaps with commercial loan customers, which were offset with interest rate swaps that the Bank entered into with a broker-dealer. We recorded $0.15 million and $0.09 million of fee income related to these transactions during the first three months of 2022 and 2021, respectively. See note #6 to the Condensed Consolidated Financial Statements included within this report for more information on our derivative financial instruments.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Liquidity risk is the risk of being unable to timely meet obligations as they come due at a reasonable funding cost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primary sources of funds include our deposit base, secured advances from the FHLB and FRB, federal funds purchased borrowing facilities with other banks, and access to the capital markets (for Brokered CDs).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2022, we had $253.0 million of time deposits that mature in the next 12 months. Historically, a majority of these maturing time deposits are renewed by our customers. Additionally, $3.87 billion of our deposits at March 31, 2022,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we currently have adequate liquidity at our Bank because of our cash and cash equivalents, our portfolio of securities available for sale, our access to secured advances from the FHLB and FRB and our ability to issue Brokered CDs.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believe that the available cash on hand at the parent company (including time deposits) of approximately $47.4 million as of March 31, 2022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March 31,</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39,357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14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39,609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39,592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not qualifying as regulatory capital</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qualifying as regulatory capital</w:t>
            </w:r>
          </w:p>
        </w:tc>
        <w:tc>
          <w:tcPr>
            <w:tcW w:w="140" w:type="dxa"/>
            <w:vAlign w:val="bottom"/>
          </w:tcPr>
          <w:p>
            <w:pPr>
              <w:spacing w:after="0"/>
              <w:rPr>
                <w:sz w:val="19"/>
                <w:szCs w:val="19"/>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78,385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78,368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321,981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323,401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87,882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74,582</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9"/>
                <w:szCs w:val="19"/>
                <w:color w:val="auto"/>
              </w:rPr>
            </w:pP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(54,414)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355,449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433,834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476,852</w:t>
            </w: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March 31, 2022 balance of $39.4 million is net of remaining unamortized deferred issuance costs of approximately $0.6 million that are being amortized through the maturity date into interest expense on other borrowings and subordinated debt and debentures in our Condensed Consolidated Statements of Operations.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four special purpose entities with $39.6 million of outstanding cumulative trust preferred securities as of March 31, 2022.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March 31, 2022 and December 31,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shareholders’ equity decreased to $355.4 million at March 31, 2022, from $398.5 million at December 31, 2021. The decrease is primarily due to a $54.9 million decline in accumulated other comprehensive income (loss) related to unrealized losses on securities available for sale, share repurchases and cash dividend payments that was partially offset by net income. Our tangible common equity (“TCE”) totaled $324.0 million and $366.8 million, respectively, at those same dates. Our ratio of TCE to tangible assets was 6.85% and 7.85% at March 31, 2022, and December 31, 2021, respectively. TCE and the ratio of TCE to tangible assets are non-GAAP measures. TCE represents total common equity less goodwill and other intangible assets.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our Board of Directors authorized a 2022 share repurchase plan. Under the terms of the 2022 share repurchase plan, we are authorized to buy back up to 1,100,000, or approximately 5% of our outstanding common stock. During the first three months of 2022, the Company repurchased 59,002 shares at a weighted average purchase price of $23.46 per share.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pay a quarterly cash dividend on our common stock. These dividends totaled $0.22 per share and $0.21 per share in the first three months of 2022 and 2021, respectively. We generally favor a dividend payout ratio between 30% and 50% of net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our Bank (and holding company) continued to meet the requirements to be considered “well-capitalized” under federal regulatory standards (also see note #10 to the Condensed Consolidated Financial Statements included within this report).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Asset/liability management. </w:t>
      </w:r>
      <w:r>
        <w:rPr>
          <w:rFonts w:ascii="Times New Roman" w:cs="Times New Roman" w:eastAsia="Times New Roman" w:hAnsi="Times New Roman"/>
          <w:sz w:val="18"/>
          <w:szCs w:val="18"/>
          <w:color w:val="auto"/>
        </w:rPr>
        <w:t>Interest-rate risk is created by differences in the cash flow characteristics of our assets and liabilities. Options embedded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financial instruments, including caps on adjustable-rate loans as well as borrowers’ rights to prepay fixed-rate loans, also create interest-rate risk.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During 2022, our interest rate risk profile as measured by our short term earnings simulation has not changed significantly while our longer term interest rate risk measure based on changes in economic value indicates modest exposure to rising rates. The shift is primarily due to an increase in asset duration. The increase in asset duration is attributed to growth in portfolio mortgage loans. However, we are carefully monitoring this change in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and interest rate caps) to manage interest rate risk and may continue to sell some fixed rate jumbo and other portfolio mortgage loans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MARKET VALUE OF PORTFOLIO EQUITY AND NET INTEREST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4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5"/>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Equity(1)</w:t>
            </w:r>
          </w:p>
        </w:tc>
        <w:tc>
          <w:tcPr>
            <w:tcW w:w="14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Income(2)</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8"/>
        </w:trPr>
        <w:tc>
          <w:tcPr>
            <w:tcW w:w="57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79"/>
              </w:rPr>
              <w:t>in</w:t>
            </w: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basis point rise</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511,800</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147,500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 rise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550,800</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146,100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Base-rate scenario</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571,900</w:t>
            </w:r>
          </w:p>
        </w:tc>
        <w:tc>
          <w:tcPr>
            <w:tcW w:w="1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142,500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 decline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543,100</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136,400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basis point rise</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514,200</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 rise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550,900</w:t>
            </w:r>
          </w:p>
        </w:tc>
        <w:tc>
          <w:tcPr>
            <w:tcW w:w="1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0.86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136,800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Base-rate scenario</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546,200</w:t>
            </w:r>
          </w:p>
        </w:tc>
        <w:tc>
          <w:tcPr>
            <w:tcW w:w="1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100 basis point decline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473,000</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126,700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120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186" w:lineRule="exact"/>
        <w:rPr>
          <w:sz w:val="20"/>
          <w:szCs w:val="20"/>
          <w:color w:val="auto"/>
        </w:rPr>
      </w:pPr>
    </w:p>
    <w:p>
      <w:pPr>
        <w:jc w:val="both"/>
        <w:ind w:left="340" w:hanging="332"/>
        <w:spacing w:after="0" w:line="257"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Accounting standards update. </w:t>
      </w:r>
      <w:r>
        <w:rPr>
          <w:rFonts w:ascii="Times New Roman" w:cs="Times New Roman" w:eastAsia="Times New Roman" w:hAnsi="Times New Roman"/>
          <w:sz w:val="18"/>
          <w:szCs w:val="18"/>
          <w:color w:val="auto"/>
        </w:rPr>
        <w:t>See note #2 to the Condensed Consolidated Financial Statements included elsewhere in this report for details on recently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accounting pronouncements and their impact on our interim condensed consolidated financial statements.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valuation of financial instruments. </w:t>
      </w:r>
      <w:r>
        <w:rPr>
          <w:rFonts w:ascii="Times New Roman" w:cs="Times New Roman" w:eastAsia="Times New Roman" w:hAnsi="Times New Roman"/>
          <w:sz w:val="18"/>
          <w:szCs w:val="18"/>
          <w:color w:val="auto"/>
        </w:rPr>
        <w:t>Financial Accounting Standards Board (“FASB”) Accounting Standards Codification (“ASC”) Topic 820 -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available for sale,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itigation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ritical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2021.</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2"/>
          <w:szCs w:val="12"/>
          <w:b w:val="1"/>
          <w:bCs w:val="1"/>
          <w:color w:val="auto"/>
        </w:rPr>
        <w:t>uantitative and</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ualitative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isclosures about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arket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applicable disclosures set forth in “Management’s Discussion and Analysis of Financial Condition and Results of Operations” in Item 2 under the caption “Asset/liability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ontrols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229"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March 31, 2022, have concluded that, as of such date, our disclosure controls and procedures were effective.</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w:t>
      </w:r>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2022, there were no changes in our internal control over financial reporting that materially affected, or are reasonably likely to materially affect, our internal control over financial reporting.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auto"/>
        </w:rPr>
        <w:t>Item 1A.</w:t>
      </w:r>
      <w:r>
        <w:rPr>
          <w:sz w:val="20"/>
          <w:szCs w:val="20"/>
          <w:color w:val="auto"/>
        </w:rPr>
        <w:tab/>
      </w:r>
      <w:r>
        <w:rPr>
          <w:rFonts w:ascii="Times New Roman" w:cs="Times New Roman" w:eastAsia="Times New Roman" w:hAnsi="Times New Roman"/>
          <w:sz w:val="17"/>
          <w:szCs w:val="17"/>
          <w:u w:val="single" w:color="auto"/>
          <w:color w:val="auto"/>
        </w:rPr>
        <w:t>Risk Factors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Risk Factors of our Annual Report on Form 10-K for the year ended December 31, 2021.</w:t>
      </w:r>
    </w:p>
    <w:p>
      <w:pPr>
        <w:spacing w:after="0" w:line="16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7"/>
          <w:szCs w:val="17"/>
          <w:u w:val="single" w:color="auto"/>
          <w:color w:val="auto"/>
        </w:rPr>
        <w:t>Unregistered Sales of Equity Securities and Use of Proceeds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first quarter of 2022, the Company issued 345 shares of common stock to non-employee directors on a current basis and 3,630 shares of common stock to the trust for distribution to directors on a deferred basis. These shares were issued on January 1, 2022 representing aggregate fees of $0.09 million. The shares on a current basis were issued at a price of $23.87 per share and the shares on a deferred basis were issued at a price of $21.48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relating to repurchases of common stock for the three-months ended March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6"/>
        </w:trPr>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6"/>
        </w:trPr>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 a</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Shares Authorized</w:t>
            </w:r>
          </w:p>
        </w:tc>
      </w:tr>
      <w:tr>
        <w:trPr>
          <w:trHeight w:val="216"/>
        </w:trPr>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 Number of</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Average Price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Publicly</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for Purchase</w:t>
            </w:r>
          </w:p>
        </w:tc>
      </w:tr>
      <w:tr>
        <w:trPr>
          <w:trHeight w:val="241"/>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37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Shares Purchased (1)</w:t>
            </w:r>
          </w:p>
        </w:tc>
        <w:tc>
          <w:tcPr>
            <w:tcW w:w="13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Paid Per Share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Announced Plan</w:t>
            </w: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Under the Plan</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2022</w:t>
            </w:r>
          </w:p>
        </w:tc>
        <w:tc>
          <w:tcPr>
            <w:tcW w:w="3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22,482</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24.58</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February 2022</w:t>
            </w:r>
          </w:p>
        </w:tc>
        <w:tc>
          <w:tcPr>
            <w:tcW w:w="3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68,468</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24.09</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1,077,600</w:t>
            </w:r>
          </w:p>
        </w:tc>
        <w:tc>
          <w:tcPr>
            <w:tcW w:w="100" w:type="dxa"/>
            <w:vAlign w:val="bottom"/>
          </w:tcPr>
          <w:p>
            <w:pPr>
              <w:spacing w:after="0"/>
              <w:rPr>
                <w:sz w:val="18"/>
                <w:szCs w:val="18"/>
                <w:color w:val="auto"/>
              </w:rPr>
            </w:pPr>
          </w:p>
        </w:tc>
      </w:tr>
      <w:tr>
        <w:trPr>
          <w:trHeight w:val="223"/>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2022</w:t>
            </w:r>
          </w:p>
        </w:tc>
        <w:tc>
          <w:tcPr>
            <w:tcW w:w="2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37,871</w:t>
            </w: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23.11</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36,602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1,040,998</w:t>
            </w:r>
          </w:p>
        </w:tc>
        <w:tc>
          <w:tcPr>
            <w:tcW w:w="100" w:type="dxa"/>
            <w:vAlign w:val="bottom"/>
            <w:tcBorders>
              <w:bottom w:val="single" w:sz="8" w:color="auto"/>
            </w:tcBorders>
            <w:shd w:val="clear" w:color="auto" w:fill="CCEEFF"/>
          </w:tcPr>
          <w:p>
            <w:pPr>
              <w:spacing w:after="0"/>
              <w:rPr>
                <w:sz w:val="19"/>
                <w:szCs w:val="19"/>
                <w:color w:val="auto"/>
              </w:rPr>
            </w:pPr>
          </w:p>
        </w:tc>
      </w:tr>
      <w:tr>
        <w:trPr>
          <w:trHeight w:val="216"/>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128,821</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23.89</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59,002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1,040,998</w:t>
            </w:r>
          </w:p>
        </w:tc>
        <w:tc>
          <w:tcPr>
            <w:tcW w:w="100" w:type="dxa"/>
            <w:vAlign w:val="bottom"/>
          </w:tcPr>
          <w:p>
            <w:pPr>
              <w:spacing w:after="0"/>
              <w:rPr>
                <w:sz w:val="18"/>
                <w:szCs w:val="18"/>
                <w:color w:val="auto"/>
              </w:rPr>
            </w:pPr>
          </w:p>
        </w:tc>
      </w:tr>
      <w:tr>
        <w:trPr>
          <w:trHeight w:val="21"/>
        </w:trPr>
        <w:tc>
          <w:tcPr>
            <w:tcW w:w="3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February and March include 22,482 shares, 614 shares and 1,269 shares, respectively, withheld from the shares that would otherwise have been issued to certain officers in order to satisfy tax withholding obligations resulting from the vesting of restricted stock and performance share units as well as satisfy tax withholding obligations and stock option exercise price resulting from the exercise of stock options. February also includes 45,454 shares of our common stock purchased in the open market by the Independent Bank Corporation Employee Stock Ownership Trust as part of our employee stock ownership plan.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auto"/>
        </w:rPr>
        <w:t>Item 6.</w:t>
      </w:r>
      <w:r>
        <w:rPr>
          <w:sz w:val="20"/>
          <w:szCs w:val="20"/>
          <w:color w:val="auto"/>
        </w:rPr>
        <w:tab/>
      </w:r>
      <w:r>
        <w:rPr>
          <w:rFonts w:ascii="Times New Roman" w:cs="Times New Roman" w:eastAsia="Times New Roman" w:hAnsi="Times New Roman"/>
          <w:sz w:val="17"/>
          <w:szCs w:val="17"/>
          <w:u w:val="single" w:color="auto"/>
          <w:color w:val="auto"/>
        </w:rPr>
        <w:t>Exhibits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The following exhibits (listed by number corresponding to the Exhibit Table as Item 601 in Regulation S-K) are 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color w:val="auto"/>
        </w:rPr>
        <w:t>Certificate of the Chief Executive Officer of Independent Bank Corporation pursuant to Section 302 of the Sarbanes-Oxley Act of 2002</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(18 U.S.C. 1350).</w:t>
      </w:r>
    </w:p>
    <w:p>
      <w:pPr>
        <w:spacing w:after="0" w:line="9"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8"/>
          <w:szCs w:val="18"/>
          <w:color w:val="auto"/>
        </w:rPr>
        <w:t>Certificate of the Chief Financial Officer of Independent Bank Corporation pursuant to Section 302 of the Sarbanes-Oxley Act of 2002</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32.1</w:t>
      </w:r>
      <w:r>
        <w:rPr>
          <w:sz w:val="20"/>
          <w:szCs w:val="20"/>
          <w:color w:val="auto"/>
        </w:rPr>
        <w:tab/>
      </w:r>
      <w:r>
        <w:rPr>
          <w:rFonts w:ascii="Times New Roman" w:cs="Times New Roman" w:eastAsia="Times New Roman" w:hAnsi="Times New Roman"/>
          <w:sz w:val="18"/>
          <w:szCs w:val="18"/>
          <w:color w:val="auto"/>
        </w:rPr>
        <w:t>Certificate of the Chief Executive Officer of Independent Bank Corporation pursuant to Section 906 of the Sarbanes-Oxley Act of 2002</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(18 U.S.C. 1350).</w:t>
      </w:r>
    </w:p>
    <w:p>
      <w:pPr>
        <w:spacing w:after="0" w:line="9"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32.2</w:t>
      </w:r>
      <w:r>
        <w:rPr>
          <w:sz w:val="20"/>
          <w:szCs w:val="20"/>
          <w:color w:val="auto"/>
        </w:rPr>
        <w:tab/>
      </w:r>
      <w:r>
        <w:rPr>
          <w:rFonts w:ascii="Times New Roman" w:cs="Times New Roman" w:eastAsia="Times New Roman" w:hAnsi="Times New Roman"/>
          <w:sz w:val="18"/>
          <w:szCs w:val="18"/>
          <w:color w:val="auto"/>
        </w:rPr>
        <w:t>Certificate of the Chief Financial Officer of Independent Bank Corporation pursuant to Section 906 of the Sarbanes-Oxley Act of 2002</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360" w:right="20" w:hanging="677"/>
        <w:spacing w:after="0" w:line="250" w:lineRule="auto"/>
        <w:tabs>
          <w:tab w:leader="none" w:pos="1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 Inline XBRL Instance Document (the instance document does not appear in the Interactive Data File because its XBRL tags are embedded within the Inline XBRL document)</w:t>
      </w:r>
    </w:p>
    <w:p>
      <w:pPr>
        <w:spacing w:after="0" w:line="1" w:lineRule="exact"/>
        <w:rPr>
          <w:sz w:val="20"/>
          <w:szCs w:val="20"/>
          <w:color w:val="auto"/>
        </w:rPr>
      </w:pPr>
    </w:p>
    <w:p>
      <w:pPr>
        <w:ind w:left="1360" w:hanging="677"/>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360" w:hanging="677"/>
        <w:spacing w:after="0"/>
        <w:tabs>
          <w:tab w:leader="none" w:pos="1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Inline XBRL Taxonomy Extension Calculation Linkbase Document</w:t>
      </w:r>
    </w:p>
    <w:p>
      <w:pPr>
        <w:spacing w:after="0" w:line="9" w:lineRule="exact"/>
        <w:rPr>
          <w:sz w:val="20"/>
          <w:szCs w:val="20"/>
          <w:color w:val="auto"/>
        </w:rPr>
      </w:pPr>
    </w:p>
    <w:p>
      <w:pPr>
        <w:ind w:left="1360" w:hanging="677"/>
        <w:spacing w:after="0"/>
        <w:tabs>
          <w:tab w:leader="none" w:pos="1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360" w:hanging="677"/>
        <w:spacing w:after="0"/>
        <w:tabs>
          <w:tab w:leader="none" w:pos="1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Inline XBRL Taxonomy Extension Label Linkbase Document</w:t>
      </w:r>
    </w:p>
    <w:p>
      <w:pPr>
        <w:spacing w:after="0" w:line="9" w:lineRule="exact"/>
        <w:rPr>
          <w:sz w:val="20"/>
          <w:szCs w:val="20"/>
          <w:color w:val="auto"/>
        </w:rPr>
      </w:pPr>
    </w:p>
    <w:p>
      <w:pPr>
        <w:ind w:left="1360" w:hanging="677"/>
        <w:spacing w:after="0"/>
        <w:tabs>
          <w:tab w:leader="none" w:pos="1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8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60" w:val="left"/>
          <w:tab w:leader="none" w:pos="6180" w:val="left"/>
        </w:tabs>
        <w:rPr>
          <w:sz w:val="20"/>
          <w:szCs w:val="20"/>
          <w:color w:val="auto"/>
        </w:rPr>
      </w:pPr>
      <w:r>
        <w:rPr>
          <w:rFonts w:ascii="Times New Roman" w:cs="Times New Roman" w:eastAsia="Times New Roman" w:hAnsi="Times New Roman"/>
          <w:sz w:val="18"/>
          <w:szCs w:val="18"/>
          <w:color w:val="auto"/>
        </w:rPr>
        <w:t>Date</w:t>
        <w:tab/>
        <w:t>May 5, 2022</w:t>
      </w:r>
      <w:r>
        <w:rPr>
          <w:sz w:val="20"/>
          <w:szCs w:val="20"/>
          <w:color w:val="auto"/>
        </w:rPr>
        <w:tab/>
      </w:r>
      <w:r>
        <w:rPr>
          <w:rFonts w:ascii="Times New Roman" w:cs="Times New Roman" w:eastAsia="Times New Roman" w:hAnsi="Times New Roman"/>
          <w:sz w:val="18"/>
          <w:szCs w:val="18"/>
          <w:color w:val="auto"/>
        </w:rPr>
        <w:t>By /s/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Gavin A. Mohr, Principal Financial Officer</w:t>
      </w:r>
    </w:p>
    <w:p>
      <w:pPr>
        <w:spacing w:after="0" w:line="225" w:lineRule="exact"/>
        <w:rPr>
          <w:sz w:val="20"/>
          <w:szCs w:val="20"/>
          <w:color w:val="auto"/>
        </w:rPr>
      </w:pPr>
    </w:p>
    <w:p>
      <w:pPr>
        <w:spacing w:after="0"/>
        <w:tabs>
          <w:tab w:leader="none" w:pos="560" w:val="left"/>
          <w:tab w:leader="none" w:pos="6180" w:val="left"/>
        </w:tabs>
        <w:rPr>
          <w:sz w:val="20"/>
          <w:szCs w:val="20"/>
          <w:color w:val="auto"/>
        </w:rPr>
      </w:pPr>
      <w:r>
        <w:rPr>
          <w:rFonts w:ascii="Times New Roman" w:cs="Times New Roman" w:eastAsia="Times New Roman" w:hAnsi="Times New Roman"/>
          <w:sz w:val="18"/>
          <w:szCs w:val="18"/>
          <w:color w:val="auto"/>
        </w:rPr>
        <w:t>Date</w:t>
        <w:tab/>
        <w:t>May 5, 2022</w:t>
      </w:r>
      <w:r>
        <w:rPr>
          <w:sz w:val="20"/>
          <w:szCs w:val="20"/>
          <w:color w:val="auto"/>
        </w:rPr>
        <w:tab/>
      </w:r>
      <w:r>
        <w:rPr>
          <w:rFonts w:ascii="Times New Roman" w:cs="Times New Roman" w:eastAsia="Times New Roman" w:hAnsi="Times New Roman"/>
          <w:sz w:val="18"/>
          <w:szCs w:val="18"/>
          <w:color w:val="auto"/>
        </w:rPr>
        <w:t>By /s/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James J. Twarozynski, Principal Accounting Officer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William B. Kessel, certify that:</w:t>
      </w:r>
    </w:p>
    <w:p>
      <w:pPr>
        <w:spacing w:after="0" w:line="242"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Independent Bank Corporation;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652"/>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50"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50"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BANK CORPORATION</w:t>
            </w:r>
          </w:p>
        </w:tc>
      </w:tr>
      <w:tr>
        <w:trPr>
          <w:trHeight w:val="391"/>
        </w:trPr>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5, 2022</w:t>
            </w: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William B. Kessel</w:t>
            </w:r>
          </w:p>
        </w:tc>
        <w:tc>
          <w:tcPr>
            <w:tcW w:w="4080" w:type="dxa"/>
            <w:vAlign w:val="bottom"/>
          </w:tcPr>
          <w:p>
            <w:pPr>
              <w:spacing w:after="0"/>
              <w:rPr>
                <w:sz w:val="24"/>
                <w:szCs w:val="24"/>
                <w:color w:val="auto"/>
              </w:rPr>
            </w:pPr>
          </w:p>
        </w:tc>
      </w:tr>
      <w:tr>
        <w:trPr>
          <w:trHeight w:val="218"/>
        </w:trPr>
        <w:tc>
          <w:tcPr>
            <w:tcW w:w="562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William B. Kessel</w:t>
            </w:r>
          </w:p>
        </w:tc>
      </w:tr>
      <w:tr>
        <w:trPr>
          <w:trHeight w:val="234"/>
        </w:trPr>
        <w:tc>
          <w:tcPr>
            <w:tcW w:w="5620" w:type="dxa"/>
            <w:vAlign w:val="bottom"/>
          </w:tcPr>
          <w:p>
            <w:pPr>
              <w:spacing w:after="0"/>
              <w:rPr>
                <w:sz w:val="20"/>
                <w:szCs w:val="20"/>
                <w:color w:val="auto"/>
              </w:rPr>
            </w:pPr>
          </w:p>
        </w:tc>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01"/>
        </w:trPr>
        <w:tc>
          <w:tcPr>
            <w:tcW w:w="5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Gavin A. Mohr, certify that:</w:t>
      </w:r>
    </w:p>
    <w:p>
      <w:pPr>
        <w:spacing w:after="0" w:line="242"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Independent Bank Corporation;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652"/>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50"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50"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BANK CORPORATION</w:t>
            </w:r>
          </w:p>
        </w:tc>
      </w:tr>
      <w:tr>
        <w:trPr>
          <w:trHeight w:val="39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Gavin A. Mohr</w:t>
            </w:r>
          </w:p>
        </w:tc>
      </w:tr>
      <w:tr>
        <w:trPr>
          <w:trHeight w:val="218"/>
        </w:trPr>
        <w:tc>
          <w:tcPr>
            <w:tcW w:w="5620" w:type="dxa"/>
            <w:vAlign w:val="bottom"/>
          </w:tcPr>
          <w:p>
            <w:pPr>
              <w:spacing w:after="0"/>
              <w:rPr>
                <w:sz w:val="18"/>
                <w:szCs w:val="18"/>
                <w:color w:val="auto"/>
              </w:rPr>
            </w:pPr>
          </w:p>
        </w:tc>
        <w:tc>
          <w:tcPr>
            <w:tcW w:w="1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Gavin A. Mohr</w:t>
            </w:r>
          </w:p>
        </w:tc>
        <w:tc>
          <w:tcPr>
            <w:tcW w:w="43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01"/>
        </w:trPr>
        <w:tc>
          <w:tcPr>
            <w:tcW w:w="5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CHIEF EXECUTIVE OFFICER OF</w:t>
      </w:r>
    </w:p>
    <w:p>
      <w:pPr>
        <w:jc w:val="center"/>
        <w:spacing w:after="0"/>
        <w:rPr>
          <w:sz w:val="20"/>
          <w:szCs w:val="20"/>
          <w:color w:val="auto"/>
        </w:rPr>
      </w:pPr>
      <w:r>
        <w:rPr>
          <w:rFonts w:ascii="Times New Roman" w:cs="Times New Roman" w:eastAsia="Times New Roman" w:hAnsi="Times New Roman"/>
          <w:sz w:val="22"/>
          <w:szCs w:val="22"/>
          <w:color w:val="auto"/>
        </w:rPr>
        <w:t>INDEPENDENT BANK CORPORATION</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 William B. Kessel, President and Chief Executive Officer of Independent Bank Corporation, certify, to the best of my knowledge and belief, pursuant to Section 906 of the Sarbanes-Oxley Act of 2002 (18 U.S.C. 1350) that:</w:t>
      </w:r>
    </w:p>
    <w:p>
      <w:pPr>
        <w:spacing w:after="0" w:line="185" w:lineRule="exact"/>
        <w:rPr>
          <w:sz w:val="20"/>
          <w:szCs w:val="20"/>
          <w:color w:val="auto"/>
        </w:rPr>
      </w:pPr>
    </w:p>
    <w:p>
      <w:pPr>
        <w:ind w:right="20" w:firstLine="656"/>
        <w:spacing w:after="0" w:line="258" w:lineRule="auto"/>
        <w:tabs>
          <w:tab w:leader="none" w:pos="174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quarterly report on Form 10-Q for the quarterly period ended March 31, 2022, which this statement accompanies, fully complies with requirements of Section 13(a) or 15(d) of the Securities Exchange Act of 1934 and;</w:t>
      </w:r>
    </w:p>
    <w:p>
      <w:pPr>
        <w:spacing w:after="0" w:line="185" w:lineRule="exact"/>
        <w:rPr>
          <w:rFonts w:ascii="Times New Roman" w:cs="Times New Roman" w:eastAsia="Times New Roman" w:hAnsi="Times New Roman"/>
          <w:sz w:val="22"/>
          <w:szCs w:val="22"/>
          <w:color w:val="auto"/>
        </w:rPr>
      </w:pPr>
    </w:p>
    <w:p>
      <w:pPr>
        <w:ind w:right="40" w:firstLine="656"/>
        <w:spacing w:after="0" w:line="282" w:lineRule="auto"/>
        <w:tabs>
          <w:tab w:leader="none" w:pos="149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this quarterly report on Form 10-Q for the quarterly period ended March 31, 2022, fairly presents, in all material respects, the financial condition and results of operations of Independent Bank Corporation.</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INDEPENDENT BANK CORPORATION</w:t>
            </w:r>
          </w:p>
        </w:tc>
      </w:tr>
      <w:tr>
        <w:trPr>
          <w:trHeight w:val="39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3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William B. Kessel</w:t>
            </w:r>
          </w:p>
        </w:tc>
      </w:tr>
      <w:tr>
        <w:trPr>
          <w:trHeight w:val="20"/>
        </w:trPr>
        <w:tc>
          <w:tcPr>
            <w:tcW w:w="55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8"/>
        </w:trPr>
        <w:tc>
          <w:tcPr>
            <w:tcW w:w="556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William B. Kessel</w:t>
            </w:r>
          </w:p>
        </w:tc>
      </w:tr>
      <w:tr>
        <w:trPr>
          <w:trHeight w:val="234"/>
        </w:trPr>
        <w:tc>
          <w:tcPr>
            <w:tcW w:w="5560" w:type="dxa"/>
            <w:vAlign w:val="bottom"/>
          </w:tcPr>
          <w:p>
            <w:pPr>
              <w:spacing w:after="0"/>
              <w:rPr>
                <w:sz w:val="20"/>
                <w:szCs w:val="20"/>
                <w:color w:val="auto"/>
              </w:rPr>
            </w:pPr>
          </w:p>
        </w:tc>
        <w:tc>
          <w:tcPr>
            <w:tcW w:w="3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CHIEF FINANCIAL OFFICER OF</w:t>
      </w:r>
    </w:p>
    <w:p>
      <w:pPr>
        <w:jc w:val="center"/>
        <w:spacing w:after="0"/>
        <w:rPr>
          <w:sz w:val="20"/>
          <w:szCs w:val="20"/>
          <w:color w:val="auto"/>
        </w:rPr>
      </w:pPr>
      <w:r>
        <w:rPr>
          <w:rFonts w:ascii="Times New Roman" w:cs="Times New Roman" w:eastAsia="Times New Roman" w:hAnsi="Times New Roman"/>
          <w:sz w:val="22"/>
          <w:szCs w:val="22"/>
          <w:color w:val="auto"/>
        </w:rPr>
        <w:t>INDEPENDENT BANK CORPORATION</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 Gavin A. Mohr, Chief Financial Officer of Independent Bank Corporation, certify, to the best of my knowledge and belief, pursuant to Section 906 of the Sarbanes-Oxley Act of 2002 (18 U.S.C. 1350) that:</w:t>
      </w:r>
    </w:p>
    <w:p>
      <w:pPr>
        <w:spacing w:after="0" w:line="185" w:lineRule="exact"/>
        <w:rPr>
          <w:sz w:val="20"/>
          <w:szCs w:val="20"/>
          <w:color w:val="auto"/>
        </w:rPr>
      </w:pPr>
    </w:p>
    <w:p>
      <w:pPr>
        <w:ind w:right="20" w:firstLine="656"/>
        <w:spacing w:after="0" w:line="258" w:lineRule="auto"/>
        <w:tabs>
          <w:tab w:leader="none" w:pos="174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quarterly report on Form 10-Q for the quarterly period ended March 31, 2022, which this statement accompanies, fully complies with requirements of Section 13(a) or 15(d) of the Securities Exchange Act of 1934 and;</w:t>
      </w:r>
    </w:p>
    <w:p>
      <w:pPr>
        <w:spacing w:after="0" w:line="185" w:lineRule="exact"/>
        <w:rPr>
          <w:rFonts w:ascii="Times New Roman" w:cs="Times New Roman" w:eastAsia="Times New Roman" w:hAnsi="Times New Roman"/>
          <w:sz w:val="22"/>
          <w:szCs w:val="22"/>
          <w:color w:val="auto"/>
        </w:rPr>
      </w:pPr>
    </w:p>
    <w:p>
      <w:pPr>
        <w:ind w:firstLine="656"/>
        <w:spacing w:after="0" w:line="282" w:lineRule="auto"/>
        <w:tabs>
          <w:tab w:leader="none" w:pos="147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this quarterly report on Form 10-Q for the quarterly period ended March 31, 2022, fairly presents, in all material respects, the financial condition and results of operations of Independent Bank Corporation.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INDEPENDENT BANK CORPORATION</w:t>
            </w:r>
          </w:p>
        </w:tc>
      </w:tr>
      <w:tr>
        <w:trPr>
          <w:trHeight w:val="39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Gavin A. Mohr</w:t>
            </w:r>
          </w:p>
        </w:tc>
      </w:tr>
      <w:tr>
        <w:trPr>
          <w:trHeight w:val="218"/>
        </w:trPr>
        <w:tc>
          <w:tcPr>
            <w:tcW w:w="5620" w:type="dxa"/>
            <w:vAlign w:val="bottom"/>
          </w:tcPr>
          <w:p>
            <w:pPr>
              <w:spacing w:after="0"/>
              <w:rPr>
                <w:sz w:val="18"/>
                <w:szCs w:val="18"/>
                <w:color w:val="auto"/>
              </w:rPr>
            </w:pPr>
          </w:p>
        </w:tc>
        <w:tc>
          <w:tcPr>
            <w:tcW w:w="1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Gavin A. Mohr</w:t>
            </w:r>
          </w:p>
        </w:tc>
        <w:tc>
          <w:tcPr>
            <w:tcW w:w="18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2"/>
    </w:lvl>
  </w:abstractNum>
  <w:abstractNum w:abstractNumId="3">
    <w:nsid w:val="79838CB2"/>
    <w:multiLevelType w:val="hybridMultilevel"/>
    <w:lvl w:ilvl="0">
      <w:lvlJc w:val="left"/>
      <w:lvlText w:val="%1."/>
      <w:numFmt w:val="decimal"/>
      <w:start w:val="4"/>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upperLetter"/>
      <w:start w:val="68"/>
    </w:lvl>
  </w:abstractNum>
  <w:abstractNum w:abstractNumId="7">
    <w:nsid w:val="54E49EB4"/>
    <w:multiLevelType w:val="hybridMultilevel"/>
    <w:lvl w:ilvl="0">
      <w:lvlJc w:val="left"/>
      <w:lvlText w:val="%1"/>
      <w:numFmt w:val="upperLetter"/>
      <w:start w:val="68"/>
    </w:lvl>
  </w:abstractNum>
  <w:abstractNum w:abstractNumId="8">
    <w:nsid w:val="71F32454"/>
    <w:multiLevelType w:val="hybridMultilevel"/>
    <w:lvl w:ilvl="0">
      <w:lvlJc w:val="left"/>
      <w:lvlText w:val="%1."/>
      <w:numFmt w:val="decimal"/>
      <w:start w:val="5"/>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6"/>
    </w:lvl>
  </w:abstractNum>
  <w:abstractNum w:abstractNumId="11">
    <w:nsid w:val="2901D82"/>
    <w:multiLevelType w:val="hybridMultilevel"/>
    <w:lvl w:ilvl="0">
      <w:lvlJc w:val="left"/>
      <w:lvlText w:val="%1."/>
      <w:numFmt w:val="decimal"/>
      <w:start w:val="10"/>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2"/>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3"/>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4"/>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15"/>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6"/>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01"/>
    </w:lvl>
  </w:abstractNum>
  <w:abstractNum w:abstractNumId="37">
    <w:nsid w:val="70A64E2A"/>
    <w:multiLevelType w:val="hybridMultilevel"/>
    <w:lvl w:ilvl="0">
      <w:lvlJc w:val="left"/>
      <w:lvlText w:val="%1."/>
      <w:numFmt w:val="decimal"/>
      <w:start w:val="101"/>
    </w:lvl>
  </w:abstractNum>
  <w:abstractNum w:abstractNumId="38">
    <w:nsid w:val="6A2342EC"/>
    <w:multiLevelType w:val="hybridMultilevel"/>
    <w:lvl w:ilvl="0">
      <w:lvlJc w:val="left"/>
      <w:lvlText w:val="%1."/>
      <w:numFmt w:val="decimal"/>
      <w:start w:val="101"/>
    </w:lvl>
  </w:abstractNum>
  <w:abstractNum w:abstractNumId="39">
    <w:nsid w:val="2A487CB0"/>
    <w:multiLevelType w:val="hybridMultilevel"/>
    <w:lvl w:ilvl="0">
      <w:lvlJc w:val="left"/>
      <w:lvlText w:val="%1."/>
      <w:numFmt w:val="decimal"/>
      <w:start w:val="101"/>
    </w:lvl>
  </w:abstractNum>
  <w:abstractNum w:abstractNumId="40">
    <w:nsid w:val="1D4ED43B"/>
    <w:multiLevelType w:val="hybridMultilevel"/>
    <w:lvl w:ilvl="0">
      <w:lvlJc w:val="left"/>
      <w:lvlText w:val="%1."/>
      <w:numFmt w:val="decimal"/>
      <w:start w:val="101"/>
    </w:lvl>
  </w:abstractNum>
  <w:abstractNum w:abstractNumId="41">
    <w:nsid w:val="725A06FB"/>
    <w:multiLevelType w:val="hybridMultilevel"/>
    <w:lvl w:ilvl="0">
      <w:lvlJc w:val="left"/>
      <w:lvlText w:val="%1."/>
      <w:numFmt w:val="decimal"/>
      <w:start w:val="10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2022-05-05T10:10:23Z</dcterms:created>
  <dcterms:modified xsi:type="dcterms:W3CDTF">2022-05-05T10:10:23Z</dcterms:modified>
</cp:coreProperties>
</file>